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E5B136462CD84E94849C6FFF3E7F0EA7" style="width:450.25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1</w:t>
      </w:r>
      <w:r>
        <w:rPr>
          <w:rFonts w:ascii="Times New Roman" w:hAnsi="Times New Roman"/>
          <w:noProof/>
        </w:rPr>
        <w:t>: Flux quotidiens de migrants et de réfugiés arrivant en Italie par la voie de la Méditerranée centrale</w:t>
      </w:r>
    </w:p>
    <w:p>
      <w:pPr>
        <w:rPr>
          <w:rFonts w:ascii="Times New Roman" w:hAnsi="Times New Roman" w:cs="Times New Roman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668512" cy="5003597"/>
            <wp:effectExtent l="0" t="0" r="18415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rPr>
          <w:noProof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>
      <w:pPr>
        <w:rPr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Annexe 2</w:t>
      </w:r>
      <w:r>
        <w:rPr>
          <w:rFonts w:ascii="Times New Roman" w:hAnsi="Times New Roman"/>
          <w:noProof/>
        </w:rPr>
        <w:t>: Relocalisation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818"/>
      </w:tblGrid>
      <w:tr>
        <w:tc>
          <w:tcPr>
            <w:tcW w:w="691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</w:tc>
      </w:tr>
      <w:tr>
        <w:trPr>
          <w:trHeight w:val="28"/>
        </w:trPr>
        <w:tc>
          <w:tcPr>
            <w:tcW w:w="3094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Relocalisations terminées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Suède (9 octobre, 19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Suède (21 octobre, 19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Finlande (21 octobre, 48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France (5 novembre, 19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Espagne (8 novembre, 12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Allemagne (13 novembre, 11 personnes)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Suède (19 novembre, 1 personne)</w:t>
            </w:r>
          </w:p>
        </w:tc>
      </w:tr>
      <w:tr>
        <w:trPr>
          <w:trHeight w:val="28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Finlande (11 décembre, 14 personnes)</w:t>
            </w:r>
          </w:p>
        </w:tc>
      </w:tr>
      <w:tr>
        <w:trPr>
          <w:trHeight w:val="224"/>
        </w:trPr>
        <w:tc>
          <w:tcPr>
            <w:tcW w:w="3094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Relocalisations programmées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Portugal (17 décembre, 4 personnes)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Belgique (17 décembre, 6 personnes)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Espagne (22 décembre, 6 personnes)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France (décembre/janvier, 50 personnes)</w:t>
            </w:r>
          </w:p>
        </w:tc>
      </w:tr>
      <w:tr>
        <w:trPr>
          <w:trHeight w:val="49"/>
        </w:trPr>
        <w:tc>
          <w:tcPr>
            <w:tcW w:w="3094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Lettonie (février, 20 personnes)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États membres ayant pris des engagements de relocalisation à court terme dans leur pays</w:t>
            </w:r>
          </w:p>
        </w:tc>
        <w:tc>
          <w:tcPr>
            <w:tcW w:w="3818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France (550), Finlande (100), Portugal (100), Luxembourg (60), Pays-Bas (50), Espagne (50), Bulgarie (40), Roumanie (30), Irlande (20), Lituanie (20), Chypre (15), Malte (6), Lettonie (146)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des engagements de relocalisation pris par d’autres États membres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1041</w:t>
            </w:r>
          </w:p>
        </w:tc>
      </w:tr>
      <w:tr>
        <w:tc>
          <w:tcPr>
            <w:tcW w:w="3094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de demandes de relocalisation vers d’autres États membres</w:t>
            </w:r>
          </w:p>
        </w:tc>
        <w:tc>
          <w:tcPr>
            <w:tcW w:w="3818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171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Annexe 3</w:t>
      </w:r>
      <w:r>
        <w:rPr>
          <w:rFonts w:ascii="Times New Roman" w:hAnsi="Times New Roman"/>
          <w:noProof/>
        </w:rPr>
        <w:t>: Retour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0"/>
      </w:tblGrid>
      <w:tr>
        <w:tc>
          <w:tcPr>
            <w:tcW w:w="696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</w:tc>
      </w:tr>
      <w:tr>
        <w:trPr>
          <w:trHeight w:val="32"/>
        </w:trPr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 retours forcés en 2015</w:t>
            </w:r>
          </w:p>
        </w:tc>
        <w:tc>
          <w:tcPr>
            <w:tcW w:w="46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14 113</w:t>
            </w:r>
          </w:p>
        </w:tc>
      </w:tr>
      <w:tr>
        <w:trPr>
          <w:trHeight w:val="32"/>
        </w:trPr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 retours volontaires en 2015</w:t>
            </w:r>
          </w:p>
        </w:tc>
        <w:tc>
          <w:tcPr>
            <w:tcW w:w="464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non disponible</w:t>
            </w:r>
          </w:p>
        </w:tc>
      </w:tr>
      <w:tr>
        <w:trPr>
          <w:trHeight w:val="84"/>
        </w:trPr>
        <w:tc>
          <w:tcPr>
            <w:tcW w:w="232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 personnes ayant fait l'objet d'un retour dans le cadre d'opérations conjointes en 2015, par nationalité</w:t>
            </w: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Albanie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Égypte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93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Géorgie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Nigeria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197</w:t>
            </w:r>
          </w:p>
        </w:tc>
      </w:tr>
      <w:tr>
        <w:trPr>
          <w:trHeight w:val="84"/>
        </w:trPr>
        <w:tc>
          <w:tcPr>
            <w:tcW w:w="232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Tunisie</w:t>
            </w:r>
          </w:p>
        </w:tc>
        <w:tc>
          <w:tcPr>
            <w:tcW w:w="232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b/>
          <w:noProof/>
        </w:rPr>
        <w:t>Annexe 4</w:t>
      </w:r>
      <w:r>
        <w:rPr>
          <w:rFonts w:ascii="Times New Roman" w:hAnsi="Times New Roman"/>
          <w:noProof/>
        </w:rPr>
        <w:t xml:space="preserve">: Relevé d’empreintes digitales et enregistrement dans le cadre d'EURODAC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700"/>
        <w:gridCol w:w="2321"/>
      </w:tblGrid>
      <w:tr>
        <w:tc>
          <w:tcPr>
            <w:tcW w:w="6962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</w:tc>
      </w:tr>
      <w:tr>
        <w:trPr>
          <w:trHeight w:val="112"/>
        </w:trPr>
        <w:tc>
          <w:tcPr>
            <w:tcW w:w="294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de machines EURODAC servant au relevé des empreintes digitales par centre de crise, au 14 décembre</w:t>
            </w:r>
          </w:p>
        </w:tc>
        <w:tc>
          <w:tcPr>
            <w:tcW w:w="1700" w:type="dxa"/>
            <w:vMerge w:val="restart"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Lampedusa: 5 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Pozzallo:     3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Porto Empedocle: non disponible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Trapani: non disponible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Augusta: non disponible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Taranto: non disponible</w:t>
            </w:r>
          </w:p>
        </w:tc>
      </w:tr>
      <w:tr>
        <w:trPr>
          <w:trHeight w:val="110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Total: 8</w:t>
            </w:r>
          </w:p>
        </w:tc>
      </w:tr>
      <w:tr>
        <w:trPr>
          <w:trHeight w:val="49"/>
        </w:trPr>
        <w:tc>
          <w:tcPr>
            <w:tcW w:w="2941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de nouvelles arrivées par mois (données Frontex)</w:t>
            </w: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janvier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3 613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février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4 338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mars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2 268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avril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16 106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mai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21 004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juin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25 117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juillet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22 582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août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21 313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septembre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16 119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octobre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8 529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novembre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3 227</w:t>
            </w:r>
          </w:p>
        </w:tc>
      </w:tr>
      <w:tr>
        <w:trPr>
          <w:trHeight w:val="49"/>
        </w:trPr>
        <w:tc>
          <w:tcPr>
            <w:tcW w:w="2941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décembre 2015</w:t>
            </w:r>
          </w:p>
        </w:tc>
        <w:tc>
          <w:tcPr>
            <w:tcW w:w="2321" w:type="dxa"/>
          </w:tcPr>
          <w:p>
            <w:pPr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5 448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p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</w:rPr>
        <w:t>Annexe 5</w:t>
      </w:r>
      <w:r>
        <w:rPr>
          <w:rFonts w:ascii="Times New Roman" w:hAnsi="Times New Roman"/>
          <w:noProof/>
        </w:rPr>
        <w:t>: Présence de l’Union dans les centres de crise</w:t>
      </w:r>
    </w:p>
    <w:tbl>
      <w:tblPr>
        <w:tblStyle w:val="TableGrid"/>
        <w:tblW w:w="6384" w:type="dxa"/>
        <w:tblLook w:val="04A0" w:firstRow="1" w:lastRow="0" w:firstColumn="1" w:lastColumn="0" w:noHBand="0" w:noVBand="1"/>
      </w:tblPr>
      <w:tblGrid>
        <w:gridCol w:w="3192"/>
        <w:gridCol w:w="3192"/>
      </w:tblGrid>
      <w:tr>
        <w:trPr>
          <w:trHeight w:val="243"/>
        </w:trPr>
        <w:tc>
          <w:tcPr>
            <w:tcW w:w="63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</w:tc>
      </w:tr>
      <w:tr>
        <w:trPr>
          <w:trHeight w:val="84"/>
        </w:trPr>
        <w:tc>
          <w:tcPr>
            <w:tcW w:w="319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d’agents de Frontex déployés par centre de crise</w:t>
            </w: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Lampedusa: 24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Pozzallo: 14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Porto Empedocle: 0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Trapani: 8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Augusta: 0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Taranto: 6</w:t>
            </w:r>
          </w:p>
        </w:tc>
      </w:tr>
      <w:tr>
        <w:trPr>
          <w:trHeight w:val="84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Total: 52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d’agents et de membres du personnel de Frontex déployés en dehors des zones de crise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248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total d’agents et de membres du personnel de Frontex déployés dans le pays</w:t>
            </w:r>
          </w:p>
        </w:tc>
        <w:tc>
          <w:tcPr>
            <w:tcW w:w="3192" w:type="dxa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300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"/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d’agents de Frontex supplémentaires nécessaires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>Environ 60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d’agents de Frontex supplémentaires promis par les États membres et pourcentage des demandes de Frontex couvertes par les engagements actuels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447 (23 698 jours-personnes: couverture de 31 %) </w:t>
            </w:r>
            <w:r>
              <w:rPr>
                <w:noProof/>
              </w:rPr>
              <w:t>(tant pour l’Italie que pour la Grèce)</w:t>
            </w:r>
          </w:p>
        </w:tc>
      </w:tr>
      <w:tr>
        <w:trPr>
          <w:trHeight w:val="100"/>
        </w:trPr>
        <w:tc>
          <w:tcPr>
            <w:tcW w:w="319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d’experts et de membres du personnel de l'EASO déployés</w:t>
            </w: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Lampedusa:          2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Pozzallo: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Porto Empedocle: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Trapani: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Augusta: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Taranto:                0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Ailleurs en Italie: 17</w:t>
            </w:r>
          </w:p>
        </w:tc>
      </w:tr>
      <w:tr>
        <w:trPr>
          <w:trHeight w:val="96"/>
        </w:trPr>
        <w:tc>
          <w:tcPr>
            <w:tcW w:w="3192" w:type="dxa"/>
            <w:vMerge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Total: 19</w:t>
            </w:r>
          </w:p>
        </w:tc>
      </w:tr>
      <w:tr>
        <w:trPr>
          <w:trHeight w:val="774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d’experts et de membres du personnel de l'EASO nécessaires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>243</w:t>
            </w:r>
          </w:p>
        </w:tc>
      </w:tr>
      <w:tr>
        <w:trPr>
          <w:trHeight w:val="762"/>
        </w:trPr>
        <w:tc>
          <w:tcPr>
            <w:tcW w:w="3192" w:type="dxa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Nombre d’experts de l'EASO supplémentaires promis par les États membres et pourcentage des demandes de l'EASO couvertes par les engagements actuels</w:t>
            </w:r>
          </w:p>
        </w:tc>
        <w:tc>
          <w:tcPr>
            <w:tcW w:w="3192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176 (couverture de 47 %) </w:t>
            </w:r>
            <w:r>
              <w:rPr>
                <w:noProof/>
              </w:rPr>
              <w:t>tant pour l'Italie que pour la Grèce</w:t>
            </w:r>
          </w:p>
        </w:tc>
      </w:tr>
    </w:tbl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0549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75391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Ce chiffre tient compte de la rotation des experts pour atteindre le nombre total de jours-personnes indiqué dans l’appel de Frontex.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E5B136462CD84E94849C6FFF3E7F0EA7"/>
    <w:docVar w:name="LW_CROSSREFERENCE" w:val="&lt;UNUSED&gt;"/>
    <w:docVar w:name="LW_DocType" w:val="NORMAL"/>
    <w:docVar w:name="LW_EMISSION" w:val="15.12.2015"/>
    <w:docVar w:name="LW_EMISSION_ISODATE" w:val="2015-12-15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apport d'avancement sur la mise en oeuvre de l'approche des centres et zones de crise en Italie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7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COMMUNICATION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et1.cec.eu.int\Homes\048\VITASRO\My%20Documents\Home%20-%20statistika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 sz="1800" b="1" i="0" u="none" strike="noStrike" baseline="0">
                <a:effectLst/>
              </a:rPr>
              <a:t>Flux quotidiens de migrants arrivant en Italie par la voie de la Méditerranée centrale</a:t>
            </a:r>
          </a:p>
        </c:rich>
      </c:tx>
      <c:layout>
        <c:manualLayout>
          <c:xMode val="edge"/>
          <c:yMode val="edge"/>
          <c:x val="0.46361370716510902"/>
          <c:y val="1.31255138457807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Sheet3!$I$3</c:f>
              <c:strCache>
                <c:ptCount val="1"/>
                <c:pt idx="0">
                  <c:v>Number of arrivals per day</c:v>
                </c:pt>
              </c:strCache>
            </c:strRef>
          </c:tx>
          <c:marker>
            <c:symbol val="none"/>
          </c:marker>
          <c:cat>
            <c:numRef>
              <c:f>Sheet3!$B$4:$B$46</c:f>
              <c:numCache>
                <c:formatCode>d\-mmm\-yy</c:formatCode>
                <c:ptCount val="43"/>
                <c:pt idx="0">
                  <c:v>42303</c:v>
                </c:pt>
                <c:pt idx="1">
                  <c:v>42304</c:v>
                </c:pt>
                <c:pt idx="2">
                  <c:v>42305</c:v>
                </c:pt>
                <c:pt idx="3">
                  <c:v>42308</c:v>
                </c:pt>
                <c:pt idx="4">
                  <c:v>42309</c:v>
                </c:pt>
                <c:pt idx="5">
                  <c:v>42310</c:v>
                </c:pt>
                <c:pt idx="6">
                  <c:v>42311</c:v>
                </c:pt>
                <c:pt idx="7">
                  <c:v>42312</c:v>
                </c:pt>
                <c:pt idx="8">
                  <c:v>42313</c:v>
                </c:pt>
                <c:pt idx="9">
                  <c:v>42314</c:v>
                </c:pt>
                <c:pt idx="10">
                  <c:v>42315</c:v>
                </c:pt>
                <c:pt idx="11">
                  <c:v>42316</c:v>
                </c:pt>
                <c:pt idx="12">
                  <c:v>42317</c:v>
                </c:pt>
                <c:pt idx="13">
                  <c:v>42318</c:v>
                </c:pt>
                <c:pt idx="14">
                  <c:v>42319</c:v>
                </c:pt>
                <c:pt idx="15">
                  <c:v>42320</c:v>
                </c:pt>
                <c:pt idx="16">
                  <c:v>42321</c:v>
                </c:pt>
                <c:pt idx="17">
                  <c:v>42322</c:v>
                </c:pt>
                <c:pt idx="18">
                  <c:v>42323</c:v>
                </c:pt>
                <c:pt idx="19">
                  <c:v>42324</c:v>
                </c:pt>
                <c:pt idx="20">
                  <c:v>42325</c:v>
                </c:pt>
                <c:pt idx="21">
                  <c:v>42326</c:v>
                </c:pt>
                <c:pt idx="22">
                  <c:v>42327</c:v>
                </c:pt>
                <c:pt idx="23">
                  <c:v>42328</c:v>
                </c:pt>
                <c:pt idx="24">
                  <c:v>42329</c:v>
                </c:pt>
                <c:pt idx="25">
                  <c:v>42330</c:v>
                </c:pt>
                <c:pt idx="26">
                  <c:v>42331</c:v>
                </c:pt>
                <c:pt idx="27">
                  <c:v>42332</c:v>
                </c:pt>
                <c:pt idx="28">
                  <c:v>42333</c:v>
                </c:pt>
                <c:pt idx="29">
                  <c:v>42334</c:v>
                </c:pt>
                <c:pt idx="30">
                  <c:v>42335</c:v>
                </c:pt>
                <c:pt idx="31">
                  <c:v>42336</c:v>
                </c:pt>
                <c:pt idx="32">
                  <c:v>42337</c:v>
                </c:pt>
                <c:pt idx="33">
                  <c:v>42338</c:v>
                </c:pt>
                <c:pt idx="34">
                  <c:v>42339</c:v>
                </c:pt>
                <c:pt idx="35">
                  <c:v>42340</c:v>
                </c:pt>
                <c:pt idx="36">
                  <c:v>42341</c:v>
                </c:pt>
                <c:pt idx="37">
                  <c:v>42342</c:v>
                </c:pt>
                <c:pt idx="38">
                  <c:v>42343</c:v>
                </c:pt>
                <c:pt idx="39">
                  <c:v>42344</c:v>
                </c:pt>
                <c:pt idx="40">
                  <c:v>42345</c:v>
                </c:pt>
                <c:pt idx="41">
                  <c:v>42346</c:v>
                </c:pt>
                <c:pt idx="42">
                  <c:v>42347</c:v>
                </c:pt>
              </c:numCache>
            </c:numRef>
          </c:cat>
          <c:val>
            <c:numRef>
              <c:f>Sheet3!$I$4:$I$46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225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514</c:v>
                </c:pt>
                <c:pt idx="9">
                  <c:v>950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15</c:v>
                </c:pt>
                <c:pt idx="15">
                  <c:v>15</c:v>
                </c:pt>
                <c:pt idx="16">
                  <c:v>0</c:v>
                </c:pt>
                <c:pt idx="17">
                  <c:v>611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89</c:v>
                </c:pt>
                <c:pt idx="28">
                  <c:v>401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1396</c:v>
                </c:pt>
                <c:pt idx="37">
                  <c:v>628</c:v>
                </c:pt>
                <c:pt idx="38">
                  <c:v>394</c:v>
                </c:pt>
                <c:pt idx="39">
                  <c:v>0</c:v>
                </c:pt>
                <c:pt idx="40">
                  <c:v>806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31808"/>
        <c:axId val="70633344"/>
      </c:lineChart>
      <c:dateAx>
        <c:axId val="70631808"/>
        <c:scaling>
          <c:orientation val="minMax"/>
        </c:scaling>
        <c:delete val="0"/>
        <c:axPos val="b"/>
        <c:numFmt formatCode="d\-mmm\-yy" sourceLinked="1"/>
        <c:majorTickMark val="out"/>
        <c:minorTickMark val="none"/>
        <c:tickLblPos val="nextTo"/>
        <c:crossAx val="70633344"/>
        <c:crosses val="autoZero"/>
        <c:auto val="1"/>
        <c:lblOffset val="100"/>
        <c:baseTimeUnit val="days"/>
      </c:dateAx>
      <c:valAx>
        <c:axId val="7063334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fr-FR"/>
                  <a:t>Nombre</a:t>
                </a:r>
              </a:p>
              <a:p>
                <a:pPr>
                  <a:defRPr/>
                </a:pPr>
                <a:r>
                  <a:rPr lang="fr-FR"/>
                  <a:t> d'arrivées par jour</a:t>
                </a:r>
              </a:p>
            </c:rich>
          </c:tx>
          <c:layout>
            <c:manualLayout>
              <c:xMode val="edge"/>
              <c:yMode val="edge"/>
              <c:x val="9.5408467501490787E-3"/>
              <c:y val="0.1031455242256162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063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0.00984</cdr:x>
      <cdr:y>0.76948</cdr:y>
    </cdr:from>
    <cdr:to>
      <cdr:x>0.09571</cdr:x>
      <cdr:y>0.92699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467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0.02147</cdr:x>
      <cdr:y>0.81214</cdr:y>
    </cdr:from>
    <cdr:to>
      <cdr:x>0.10733</cdr:x>
      <cdr:y>0.96965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8600" y="4714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/>
            <a:t>Source: </a:t>
          </a:r>
        </a:p>
        <a:p xmlns:a="http://schemas.openxmlformats.org/drawingml/2006/main">
          <a:r>
            <a:rPr lang="fr-FR"/>
            <a:t>Frontex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9BAE-C64C-4272-A216-2C560A61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523</Words>
  <Characters>2840</Characters>
  <Application>Microsoft Office Word</Application>
  <DocSecurity>0</DocSecurity>
  <Lines>236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DANULESCU Andreea (HOME)</dc:creator>
  <cp:lastModifiedBy>DIGIT/A3</cp:lastModifiedBy>
  <cp:revision>22</cp:revision>
  <dcterms:created xsi:type="dcterms:W3CDTF">2015-12-14T08:49:00Z</dcterms:created>
  <dcterms:modified xsi:type="dcterms:W3CDTF">2016-02-04T09:22:00Z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5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