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BF9ADB7AD80D42C9A918B1F966745B89" style="width:453.75pt;height:381.7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rFonts w:ascii="Times New Roman" w:hAnsi="Times New Roman" w:cs="Times New Roman"/>
          <w:noProof/>
        </w:rPr>
      </w:pPr>
      <w:bookmarkStart w:id="1" w:name="_GoBack"/>
      <w:bookmarkEnd w:id="1"/>
      <w:r>
        <w:rPr>
          <w:rFonts w:ascii="Times New Roman" w:hAnsi="Times New Roman" w:cs="Times New Roman"/>
          <w:b/>
          <w:noProof/>
        </w:rPr>
        <w:lastRenderedPageBreak/>
        <w:t>Приложение 1</w:t>
      </w:r>
      <w:r>
        <w:rPr>
          <w:rFonts w:ascii="Times New Roman" w:hAnsi="Times New Roman" w:cs="Times New Roman"/>
          <w:noProof/>
        </w:rPr>
        <w:t>:</w:t>
      </w:r>
      <w:r>
        <w:rPr>
          <w:rFonts w:ascii="Times New Roman" w:hAnsi="Times New Roman"/>
          <w:noProof/>
        </w:rPr>
        <w:t xml:space="preserve"> Дневен приток на мигранти и бежанци в Италия по маршрута през Централното Средиземноморие</w:t>
      </w:r>
    </w:p>
    <w:p>
      <w:pPr>
        <w:rPr>
          <w:rFonts w:ascii="Times New Roman" w:hAnsi="Times New Roman" w:cs="Times New Roman"/>
          <w:noProof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8668512" cy="5003597"/>
            <wp:effectExtent l="0" t="0" r="18415" b="2603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rPr>
          <w:noProof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40" w:h="11900" w:orient="landscape"/>
          <w:pgMar w:top="1417" w:right="1417" w:bottom="1417" w:left="1417" w:header="708" w:footer="708" w:gutter="0"/>
          <w:pgNumType w:start="2"/>
          <w:cols w:space="720"/>
          <w:docGrid w:linePitch="360"/>
        </w:sectPr>
      </w:pPr>
    </w:p>
    <w:p>
      <w:pPr>
        <w:rPr>
          <w:noProof/>
        </w:rPr>
      </w:pPr>
    </w:p>
    <w:p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noProof/>
        </w:rPr>
        <w:t>Приложение 2</w:t>
      </w:r>
      <w:r>
        <w:rPr>
          <w:rFonts w:ascii="Times New Roman" w:hAnsi="Times New Roman" w:cs="Times New Roman"/>
          <w:noProof/>
        </w:rPr>
        <w:t>: Преместване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4"/>
        <w:gridCol w:w="3818"/>
      </w:tblGrid>
      <w:tr>
        <w:tc>
          <w:tcPr>
            <w:tcW w:w="6912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Италия</w:t>
            </w:r>
          </w:p>
        </w:tc>
      </w:tr>
      <w:tr>
        <w:trPr>
          <w:trHeight w:val="28"/>
        </w:trPr>
        <w:tc>
          <w:tcPr>
            <w:tcW w:w="3094" w:type="dxa"/>
            <w:vMerge w:val="restart"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Извършени премествания</w:t>
            </w:r>
          </w:p>
        </w:tc>
        <w:tc>
          <w:tcPr>
            <w:tcW w:w="3818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Швеция (9 октомври, 19 лица)</w:t>
            </w:r>
          </w:p>
        </w:tc>
      </w:tr>
      <w:tr>
        <w:trPr>
          <w:trHeight w:val="28"/>
        </w:trPr>
        <w:tc>
          <w:tcPr>
            <w:tcW w:w="3094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818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Швеция (21 октомври, 19 лица)</w:t>
            </w:r>
          </w:p>
        </w:tc>
      </w:tr>
      <w:tr>
        <w:trPr>
          <w:trHeight w:val="28"/>
        </w:trPr>
        <w:tc>
          <w:tcPr>
            <w:tcW w:w="3094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818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Финландия (21 октомври, 48 лица)</w:t>
            </w:r>
          </w:p>
        </w:tc>
      </w:tr>
      <w:tr>
        <w:trPr>
          <w:trHeight w:val="28"/>
        </w:trPr>
        <w:tc>
          <w:tcPr>
            <w:tcW w:w="3094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818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Франция (5 ноември, 19 лица)</w:t>
            </w:r>
          </w:p>
        </w:tc>
      </w:tr>
      <w:tr>
        <w:trPr>
          <w:trHeight w:val="28"/>
        </w:trPr>
        <w:tc>
          <w:tcPr>
            <w:tcW w:w="3094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818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Испания (8 ноември, 12 лица)</w:t>
            </w:r>
          </w:p>
        </w:tc>
      </w:tr>
      <w:tr>
        <w:trPr>
          <w:trHeight w:val="28"/>
        </w:trPr>
        <w:tc>
          <w:tcPr>
            <w:tcW w:w="3094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818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Германия (13 ноември, 11 лица)</w:t>
            </w:r>
          </w:p>
        </w:tc>
      </w:tr>
      <w:tr>
        <w:trPr>
          <w:trHeight w:val="28"/>
        </w:trPr>
        <w:tc>
          <w:tcPr>
            <w:tcW w:w="3094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818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Швеция (19 ноември, 1 лице)</w:t>
            </w:r>
          </w:p>
        </w:tc>
      </w:tr>
      <w:tr>
        <w:trPr>
          <w:trHeight w:val="28"/>
        </w:trPr>
        <w:tc>
          <w:tcPr>
            <w:tcW w:w="3094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818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Финландия (11 декември, 14 лица)</w:t>
            </w:r>
          </w:p>
        </w:tc>
      </w:tr>
      <w:tr>
        <w:trPr>
          <w:trHeight w:val="224"/>
        </w:trPr>
        <w:tc>
          <w:tcPr>
            <w:tcW w:w="3094" w:type="dxa"/>
            <w:vMerge w:val="restart"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Планирани премествания</w:t>
            </w:r>
          </w:p>
        </w:tc>
        <w:tc>
          <w:tcPr>
            <w:tcW w:w="3818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Португалия (17 декември, 4 лица)</w:t>
            </w:r>
          </w:p>
        </w:tc>
      </w:tr>
      <w:tr>
        <w:trPr>
          <w:trHeight w:val="49"/>
        </w:trPr>
        <w:tc>
          <w:tcPr>
            <w:tcW w:w="3094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818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Белгия (17 декември, 6 лица)</w:t>
            </w:r>
          </w:p>
        </w:tc>
      </w:tr>
      <w:tr>
        <w:trPr>
          <w:trHeight w:val="49"/>
        </w:trPr>
        <w:tc>
          <w:tcPr>
            <w:tcW w:w="3094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818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Испания (22 декември, 6 лица)</w:t>
            </w:r>
          </w:p>
        </w:tc>
      </w:tr>
      <w:tr>
        <w:trPr>
          <w:trHeight w:val="49"/>
        </w:trPr>
        <w:tc>
          <w:tcPr>
            <w:tcW w:w="3094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818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Франция (декември/януари, 50 лица)</w:t>
            </w:r>
          </w:p>
        </w:tc>
      </w:tr>
      <w:tr>
        <w:trPr>
          <w:trHeight w:val="49"/>
        </w:trPr>
        <w:tc>
          <w:tcPr>
            <w:tcW w:w="3094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818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Латвия (февруари, 20 лица)</w:t>
            </w:r>
          </w:p>
        </w:tc>
      </w:tr>
      <w:tr>
        <w:tc>
          <w:tcPr>
            <w:tcW w:w="3094" w:type="dxa"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Държави членки, поели краткосрочни ангажименти за преместване в съответната държава</w:t>
            </w:r>
          </w:p>
        </w:tc>
        <w:tc>
          <w:tcPr>
            <w:tcW w:w="3818" w:type="dxa"/>
          </w:tcPr>
          <w:p>
            <w:pPr>
              <w:rPr>
                <w:rFonts w:ascii="Times New Roman" w:hAnsi="Times New Roman" w:cs="Times New Roman"/>
                <w:noProof/>
                <w:spacing w:val="-2"/>
              </w:rPr>
            </w:pPr>
            <w:r>
              <w:rPr>
                <w:rFonts w:ascii="Times New Roman" w:hAnsi="Times New Roman"/>
                <w:noProof/>
                <w:spacing w:val="-2"/>
              </w:rPr>
              <w:t>Франция (550), Финландия (100), Португалия (100), Люксембург (60), Нидерландия (50), Испания (50), България (40), Румъния (30), Ирландия (20), Литва (20), Кипър (15), Малта (6), Латвия (146)</w:t>
            </w:r>
          </w:p>
        </w:tc>
      </w:tr>
      <w:tr>
        <w:tc>
          <w:tcPr>
            <w:tcW w:w="3094" w:type="dxa"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Общ брой на ангажиментите за преместване, поети от други държави членки</w:t>
            </w:r>
          </w:p>
        </w:tc>
        <w:tc>
          <w:tcPr>
            <w:tcW w:w="3818" w:type="dxa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1041</w:t>
            </w:r>
          </w:p>
        </w:tc>
      </w:tr>
      <w:tr>
        <w:tc>
          <w:tcPr>
            <w:tcW w:w="3094" w:type="dxa"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Брой на заявленията за преместване, предадени на други държави членки</w:t>
            </w:r>
          </w:p>
        </w:tc>
        <w:tc>
          <w:tcPr>
            <w:tcW w:w="3818" w:type="dxa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171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br w:type="page"/>
      </w:r>
    </w:p>
    <w:p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noProof/>
        </w:rPr>
        <w:t>Приложение 3</w:t>
      </w:r>
      <w:r>
        <w:rPr>
          <w:rFonts w:ascii="Times New Roman" w:hAnsi="Times New Roman" w:cs="Times New Roman"/>
          <w:noProof/>
        </w:rPr>
        <w:t>: Връщане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1"/>
        <w:gridCol w:w="2321"/>
        <w:gridCol w:w="2320"/>
      </w:tblGrid>
      <w:tr>
        <w:tc>
          <w:tcPr>
            <w:tcW w:w="6962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Италия</w:t>
            </w:r>
          </w:p>
        </w:tc>
      </w:tr>
      <w:tr>
        <w:trPr>
          <w:trHeight w:val="32"/>
        </w:trPr>
        <w:tc>
          <w:tcPr>
            <w:tcW w:w="2321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Общ брой принудителни връщания през 2015 г.</w:t>
            </w:r>
          </w:p>
        </w:tc>
        <w:tc>
          <w:tcPr>
            <w:tcW w:w="4641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14 113</w:t>
            </w:r>
          </w:p>
        </w:tc>
      </w:tr>
      <w:tr>
        <w:trPr>
          <w:trHeight w:val="32"/>
        </w:trPr>
        <w:tc>
          <w:tcPr>
            <w:tcW w:w="2321" w:type="dxa"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Общ брой доброволни връщания през 2015 г.</w:t>
            </w:r>
          </w:p>
        </w:tc>
        <w:tc>
          <w:tcPr>
            <w:tcW w:w="4641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Не е приложимо</w:t>
            </w:r>
          </w:p>
        </w:tc>
      </w:tr>
      <w:tr>
        <w:trPr>
          <w:trHeight w:val="84"/>
        </w:trPr>
        <w:tc>
          <w:tcPr>
            <w:tcW w:w="2321" w:type="dxa"/>
            <w:vMerge w:val="restart"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Общ брой с разбивка по гражданство на върнатите лица през 2015 г. в съвместни операции</w:t>
            </w:r>
          </w:p>
        </w:tc>
        <w:tc>
          <w:tcPr>
            <w:tcW w:w="2321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Албания</w:t>
            </w:r>
          </w:p>
        </w:tc>
        <w:tc>
          <w:tcPr>
            <w:tcW w:w="2320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11</w:t>
            </w:r>
          </w:p>
        </w:tc>
      </w:tr>
      <w:tr>
        <w:trPr>
          <w:trHeight w:val="84"/>
        </w:trPr>
        <w:tc>
          <w:tcPr>
            <w:tcW w:w="2321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321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Египет</w:t>
            </w:r>
          </w:p>
        </w:tc>
        <w:tc>
          <w:tcPr>
            <w:tcW w:w="2320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93</w:t>
            </w:r>
          </w:p>
        </w:tc>
      </w:tr>
      <w:tr>
        <w:trPr>
          <w:trHeight w:val="84"/>
        </w:trPr>
        <w:tc>
          <w:tcPr>
            <w:tcW w:w="2321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321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Грузия</w:t>
            </w:r>
          </w:p>
        </w:tc>
        <w:tc>
          <w:tcPr>
            <w:tcW w:w="2320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13</w:t>
            </w:r>
          </w:p>
        </w:tc>
      </w:tr>
      <w:tr>
        <w:trPr>
          <w:trHeight w:val="84"/>
        </w:trPr>
        <w:tc>
          <w:tcPr>
            <w:tcW w:w="2321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321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Нигерия</w:t>
            </w:r>
          </w:p>
        </w:tc>
        <w:tc>
          <w:tcPr>
            <w:tcW w:w="2320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197</w:t>
            </w:r>
          </w:p>
        </w:tc>
      </w:tr>
      <w:tr>
        <w:trPr>
          <w:trHeight w:val="84"/>
        </w:trPr>
        <w:tc>
          <w:tcPr>
            <w:tcW w:w="2321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321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Тунис</w:t>
            </w:r>
          </w:p>
        </w:tc>
        <w:tc>
          <w:tcPr>
            <w:tcW w:w="2320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60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br w:type="page"/>
      </w:r>
    </w:p>
    <w:p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noProof/>
        </w:rPr>
        <w:t>Приложение 4</w:t>
      </w:r>
      <w:r>
        <w:rPr>
          <w:rFonts w:ascii="Times New Roman" w:hAnsi="Times New Roman" w:cs="Times New Roman"/>
          <w:noProof/>
        </w:rPr>
        <w:t>:</w:t>
      </w:r>
      <w:r>
        <w:rPr>
          <w:rFonts w:ascii="Times New Roman" w:hAnsi="Times New Roman"/>
          <w:noProof/>
        </w:rPr>
        <w:t xml:space="preserve"> Снемане на дактилоскопични отпечатъци и регистрация в Евродак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845"/>
        <w:gridCol w:w="2693"/>
      </w:tblGrid>
      <w:tr>
        <w:tc>
          <w:tcPr>
            <w:tcW w:w="7479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Италия</w:t>
            </w:r>
          </w:p>
        </w:tc>
      </w:tr>
      <w:tr>
        <w:trPr>
          <w:trHeight w:val="112"/>
        </w:trPr>
        <w:tc>
          <w:tcPr>
            <w:tcW w:w="2941" w:type="dxa"/>
            <w:vMerge w:val="restart"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Брой устройства за снемане на дактилоскопични отпечатъци за Евродак в съответната „гореща точка“ към 14 декември</w:t>
            </w:r>
          </w:p>
        </w:tc>
        <w:tc>
          <w:tcPr>
            <w:tcW w:w="1845" w:type="dxa"/>
            <w:vMerge w:val="restart"/>
          </w:tcPr>
          <w:p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Лампедуза: 5 </w:t>
            </w:r>
          </w:p>
        </w:tc>
      </w:tr>
      <w:tr>
        <w:trPr>
          <w:trHeight w:val="110"/>
        </w:trPr>
        <w:tc>
          <w:tcPr>
            <w:tcW w:w="2941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845" w:type="dxa"/>
            <w:vMerge/>
          </w:tcPr>
          <w:p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Поцало:     3</w:t>
            </w:r>
          </w:p>
        </w:tc>
      </w:tr>
      <w:tr>
        <w:trPr>
          <w:trHeight w:val="110"/>
        </w:trPr>
        <w:tc>
          <w:tcPr>
            <w:tcW w:w="2941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845" w:type="dxa"/>
            <w:vMerge/>
          </w:tcPr>
          <w:p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Порто Емпедокле: Не е приложимо</w:t>
            </w:r>
          </w:p>
        </w:tc>
      </w:tr>
      <w:tr>
        <w:trPr>
          <w:trHeight w:val="110"/>
        </w:trPr>
        <w:tc>
          <w:tcPr>
            <w:tcW w:w="2941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845" w:type="dxa"/>
            <w:vMerge/>
          </w:tcPr>
          <w:p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Трапани: Не е приложимо</w:t>
            </w:r>
          </w:p>
        </w:tc>
      </w:tr>
      <w:tr>
        <w:trPr>
          <w:trHeight w:val="110"/>
        </w:trPr>
        <w:tc>
          <w:tcPr>
            <w:tcW w:w="2941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845" w:type="dxa"/>
            <w:vMerge/>
          </w:tcPr>
          <w:p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Аугуста: Не е приложимо</w:t>
            </w:r>
          </w:p>
        </w:tc>
      </w:tr>
      <w:tr>
        <w:trPr>
          <w:trHeight w:val="110"/>
        </w:trPr>
        <w:tc>
          <w:tcPr>
            <w:tcW w:w="2941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845" w:type="dxa"/>
            <w:vMerge/>
          </w:tcPr>
          <w:p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Таранто: Не е приложимо</w:t>
            </w:r>
          </w:p>
        </w:tc>
      </w:tr>
      <w:tr>
        <w:trPr>
          <w:trHeight w:val="110"/>
        </w:trPr>
        <w:tc>
          <w:tcPr>
            <w:tcW w:w="2941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845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Общо: 8</w:t>
            </w:r>
          </w:p>
        </w:tc>
      </w:tr>
      <w:tr>
        <w:trPr>
          <w:trHeight w:val="49"/>
        </w:trPr>
        <w:tc>
          <w:tcPr>
            <w:tcW w:w="2941" w:type="dxa"/>
            <w:vMerge w:val="restart"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Общ брой новопристигнали на месец (по данни на FRONTEX)</w:t>
            </w:r>
          </w:p>
        </w:tc>
        <w:tc>
          <w:tcPr>
            <w:tcW w:w="1845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януари 2015 г.</w:t>
            </w:r>
          </w:p>
        </w:tc>
        <w:tc>
          <w:tcPr>
            <w:tcW w:w="2693" w:type="dxa"/>
          </w:tcPr>
          <w:p>
            <w:pPr>
              <w:jc w:val="center"/>
              <w:rPr>
                <w:noProof/>
              </w:rPr>
            </w:pPr>
            <w:r>
              <w:rPr>
                <w:rFonts w:ascii="Times New Roman" w:hAnsi="Times New Roman"/>
                <w:noProof/>
              </w:rPr>
              <w:t>3613</w:t>
            </w:r>
          </w:p>
        </w:tc>
      </w:tr>
      <w:tr>
        <w:trPr>
          <w:trHeight w:val="49"/>
        </w:trPr>
        <w:tc>
          <w:tcPr>
            <w:tcW w:w="2941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845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февруари 2015 г.</w:t>
            </w:r>
          </w:p>
        </w:tc>
        <w:tc>
          <w:tcPr>
            <w:tcW w:w="2693" w:type="dxa"/>
          </w:tcPr>
          <w:p>
            <w:pPr>
              <w:jc w:val="center"/>
              <w:rPr>
                <w:noProof/>
              </w:rPr>
            </w:pPr>
            <w:r>
              <w:rPr>
                <w:rFonts w:ascii="Times New Roman" w:hAnsi="Times New Roman"/>
                <w:noProof/>
              </w:rPr>
              <w:t>4338</w:t>
            </w:r>
          </w:p>
        </w:tc>
      </w:tr>
      <w:tr>
        <w:trPr>
          <w:trHeight w:val="49"/>
        </w:trPr>
        <w:tc>
          <w:tcPr>
            <w:tcW w:w="2941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845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март 2015 г.</w:t>
            </w:r>
          </w:p>
        </w:tc>
        <w:tc>
          <w:tcPr>
            <w:tcW w:w="2693" w:type="dxa"/>
          </w:tcPr>
          <w:p>
            <w:pPr>
              <w:jc w:val="center"/>
              <w:rPr>
                <w:noProof/>
              </w:rPr>
            </w:pPr>
            <w:r>
              <w:rPr>
                <w:rFonts w:ascii="Times New Roman" w:hAnsi="Times New Roman"/>
                <w:noProof/>
              </w:rPr>
              <w:t>2268</w:t>
            </w:r>
          </w:p>
        </w:tc>
      </w:tr>
      <w:tr>
        <w:trPr>
          <w:trHeight w:val="49"/>
        </w:trPr>
        <w:tc>
          <w:tcPr>
            <w:tcW w:w="2941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845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април 2015 г.</w:t>
            </w:r>
          </w:p>
        </w:tc>
        <w:tc>
          <w:tcPr>
            <w:tcW w:w="2693" w:type="dxa"/>
          </w:tcPr>
          <w:p>
            <w:pPr>
              <w:jc w:val="center"/>
              <w:rPr>
                <w:noProof/>
              </w:rPr>
            </w:pPr>
            <w:r>
              <w:rPr>
                <w:rFonts w:ascii="Times New Roman" w:hAnsi="Times New Roman"/>
                <w:noProof/>
              </w:rPr>
              <w:t>16106</w:t>
            </w:r>
          </w:p>
        </w:tc>
      </w:tr>
      <w:tr>
        <w:trPr>
          <w:trHeight w:val="49"/>
        </w:trPr>
        <w:tc>
          <w:tcPr>
            <w:tcW w:w="2941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845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май 2015 г.</w:t>
            </w:r>
          </w:p>
        </w:tc>
        <w:tc>
          <w:tcPr>
            <w:tcW w:w="2693" w:type="dxa"/>
          </w:tcPr>
          <w:p>
            <w:pPr>
              <w:jc w:val="center"/>
              <w:rPr>
                <w:noProof/>
              </w:rPr>
            </w:pPr>
            <w:r>
              <w:rPr>
                <w:rFonts w:ascii="Times New Roman" w:hAnsi="Times New Roman"/>
                <w:noProof/>
              </w:rPr>
              <w:t>21004</w:t>
            </w:r>
          </w:p>
        </w:tc>
      </w:tr>
      <w:tr>
        <w:trPr>
          <w:trHeight w:val="49"/>
        </w:trPr>
        <w:tc>
          <w:tcPr>
            <w:tcW w:w="2941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845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юни 2015 г.</w:t>
            </w:r>
          </w:p>
        </w:tc>
        <w:tc>
          <w:tcPr>
            <w:tcW w:w="2693" w:type="dxa"/>
          </w:tcPr>
          <w:p>
            <w:pPr>
              <w:jc w:val="center"/>
              <w:rPr>
                <w:noProof/>
              </w:rPr>
            </w:pPr>
            <w:r>
              <w:rPr>
                <w:rFonts w:ascii="Times New Roman" w:hAnsi="Times New Roman"/>
                <w:noProof/>
              </w:rPr>
              <w:t>25117</w:t>
            </w:r>
          </w:p>
        </w:tc>
      </w:tr>
      <w:tr>
        <w:trPr>
          <w:trHeight w:val="49"/>
        </w:trPr>
        <w:tc>
          <w:tcPr>
            <w:tcW w:w="2941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845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юли 2015 г.</w:t>
            </w:r>
          </w:p>
        </w:tc>
        <w:tc>
          <w:tcPr>
            <w:tcW w:w="2693" w:type="dxa"/>
          </w:tcPr>
          <w:p>
            <w:pPr>
              <w:jc w:val="center"/>
              <w:rPr>
                <w:noProof/>
              </w:rPr>
            </w:pPr>
            <w:r>
              <w:rPr>
                <w:rFonts w:ascii="Times New Roman" w:hAnsi="Times New Roman"/>
                <w:noProof/>
              </w:rPr>
              <w:t>22582</w:t>
            </w:r>
          </w:p>
        </w:tc>
      </w:tr>
      <w:tr>
        <w:trPr>
          <w:trHeight w:val="49"/>
        </w:trPr>
        <w:tc>
          <w:tcPr>
            <w:tcW w:w="2941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845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август 2015 г.</w:t>
            </w:r>
          </w:p>
        </w:tc>
        <w:tc>
          <w:tcPr>
            <w:tcW w:w="2693" w:type="dxa"/>
          </w:tcPr>
          <w:p>
            <w:pPr>
              <w:jc w:val="center"/>
              <w:rPr>
                <w:noProof/>
              </w:rPr>
            </w:pPr>
            <w:r>
              <w:rPr>
                <w:rFonts w:ascii="Times New Roman" w:hAnsi="Times New Roman"/>
                <w:noProof/>
              </w:rPr>
              <w:t>21313</w:t>
            </w:r>
          </w:p>
        </w:tc>
      </w:tr>
      <w:tr>
        <w:trPr>
          <w:trHeight w:val="49"/>
        </w:trPr>
        <w:tc>
          <w:tcPr>
            <w:tcW w:w="2941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845" w:type="dxa"/>
          </w:tcPr>
          <w:p>
            <w:pPr>
              <w:rPr>
                <w:rFonts w:ascii="Times New Roman" w:hAnsi="Times New Roman" w:cs="Times New Roman"/>
                <w:noProof/>
                <w:spacing w:val="-4"/>
              </w:rPr>
            </w:pPr>
            <w:r>
              <w:rPr>
                <w:rFonts w:ascii="Times New Roman" w:hAnsi="Times New Roman"/>
                <w:noProof/>
                <w:spacing w:val="-4"/>
              </w:rPr>
              <w:t>септември 2015 г.</w:t>
            </w:r>
          </w:p>
        </w:tc>
        <w:tc>
          <w:tcPr>
            <w:tcW w:w="2693" w:type="dxa"/>
          </w:tcPr>
          <w:p>
            <w:pPr>
              <w:jc w:val="center"/>
              <w:rPr>
                <w:noProof/>
              </w:rPr>
            </w:pPr>
            <w:r>
              <w:rPr>
                <w:rFonts w:ascii="Times New Roman" w:hAnsi="Times New Roman"/>
                <w:noProof/>
              </w:rPr>
              <w:t>16119</w:t>
            </w:r>
          </w:p>
        </w:tc>
      </w:tr>
      <w:tr>
        <w:trPr>
          <w:trHeight w:val="49"/>
        </w:trPr>
        <w:tc>
          <w:tcPr>
            <w:tcW w:w="2941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845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октомври 2015 г.</w:t>
            </w:r>
          </w:p>
        </w:tc>
        <w:tc>
          <w:tcPr>
            <w:tcW w:w="2693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8 529</w:t>
            </w:r>
          </w:p>
        </w:tc>
      </w:tr>
      <w:tr>
        <w:trPr>
          <w:trHeight w:val="49"/>
        </w:trPr>
        <w:tc>
          <w:tcPr>
            <w:tcW w:w="2941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845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ноември 2015 г.</w:t>
            </w:r>
          </w:p>
        </w:tc>
        <w:tc>
          <w:tcPr>
            <w:tcW w:w="2693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3 227</w:t>
            </w:r>
          </w:p>
        </w:tc>
      </w:tr>
      <w:tr>
        <w:trPr>
          <w:trHeight w:val="49"/>
        </w:trPr>
        <w:tc>
          <w:tcPr>
            <w:tcW w:w="2941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845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декември 2015 г.</w:t>
            </w:r>
          </w:p>
        </w:tc>
        <w:tc>
          <w:tcPr>
            <w:tcW w:w="2693" w:type="dxa"/>
          </w:tcPr>
          <w:p>
            <w:pPr>
              <w:jc w:val="center"/>
              <w:rPr>
                <w:noProof/>
              </w:rPr>
            </w:pPr>
            <w:r>
              <w:rPr>
                <w:rFonts w:ascii="Times New Roman" w:hAnsi="Times New Roman"/>
                <w:noProof/>
              </w:rPr>
              <w:t>5448</w:t>
            </w:r>
          </w:p>
        </w:tc>
      </w:tr>
    </w:tbl>
    <w:p>
      <w:pPr>
        <w:rPr>
          <w:rFonts w:ascii="Times New Roman" w:hAnsi="Times New Roman" w:cs="Times New Roman"/>
          <w:noProof/>
        </w:rPr>
      </w:pPr>
    </w:p>
    <w:p>
      <w:pPr>
        <w:rPr>
          <w:rFonts w:ascii="Times New Roman" w:hAnsi="Times New Roman" w:cs="Times New Roman"/>
          <w:noProof/>
        </w:rPr>
      </w:pPr>
      <w:r>
        <w:rPr>
          <w:noProof/>
        </w:rPr>
        <w:br w:type="page"/>
      </w:r>
      <w:r>
        <w:rPr>
          <w:rFonts w:ascii="Times New Roman" w:hAnsi="Times New Roman" w:cs="Times New Roman"/>
          <w:b/>
          <w:noProof/>
        </w:rPr>
        <w:t>Приложение 5</w:t>
      </w:r>
      <w:r>
        <w:rPr>
          <w:rFonts w:ascii="Times New Roman" w:hAnsi="Times New Roman" w:cs="Times New Roman"/>
          <w:noProof/>
        </w:rPr>
        <w:t xml:space="preserve">: </w:t>
      </w:r>
      <w:r>
        <w:rPr>
          <w:rFonts w:ascii="Times New Roman" w:hAnsi="Times New Roman"/>
          <w:noProof/>
        </w:rPr>
        <w:t>Присъствие на ЕС в „горещите точки“</w:t>
      </w:r>
    </w:p>
    <w:tbl>
      <w:tblPr>
        <w:tblStyle w:val="TableGrid"/>
        <w:tblW w:w="6384" w:type="dxa"/>
        <w:tblLook w:val="04A0" w:firstRow="1" w:lastRow="0" w:firstColumn="1" w:lastColumn="0" w:noHBand="0" w:noVBand="1"/>
      </w:tblPr>
      <w:tblGrid>
        <w:gridCol w:w="3192"/>
        <w:gridCol w:w="3192"/>
      </w:tblGrid>
      <w:tr>
        <w:trPr>
          <w:trHeight w:val="243"/>
        </w:trPr>
        <w:tc>
          <w:tcPr>
            <w:tcW w:w="638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Италия</w:t>
            </w:r>
          </w:p>
        </w:tc>
      </w:tr>
      <w:tr>
        <w:trPr>
          <w:trHeight w:val="84"/>
        </w:trPr>
        <w:tc>
          <w:tcPr>
            <w:tcW w:w="3192" w:type="dxa"/>
            <w:vMerge w:val="restart"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Брой на служителите на Frontex, разположени в отделните „горещи точки“</w:t>
            </w:r>
          </w:p>
        </w:tc>
        <w:tc>
          <w:tcPr>
            <w:tcW w:w="3192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Лампедуза: 24</w:t>
            </w:r>
          </w:p>
        </w:tc>
      </w:tr>
      <w:tr>
        <w:trPr>
          <w:trHeight w:val="84"/>
        </w:trPr>
        <w:tc>
          <w:tcPr>
            <w:tcW w:w="3192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92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Поцало: 14</w:t>
            </w:r>
          </w:p>
        </w:tc>
      </w:tr>
      <w:tr>
        <w:trPr>
          <w:trHeight w:val="84"/>
        </w:trPr>
        <w:tc>
          <w:tcPr>
            <w:tcW w:w="3192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92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Порто Емпедокле: 0</w:t>
            </w:r>
          </w:p>
        </w:tc>
      </w:tr>
      <w:tr>
        <w:trPr>
          <w:trHeight w:val="84"/>
        </w:trPr>
        <w:tc>
          <w:tcPr>
            <w:tcW w:w="3192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92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Трапани: 8</w:t>
            </w:r>
          </w:p>
        </w:tc>
      </w:tr>
      <w:tr>
        <w:trPr>
          <w:trHeight w:val="84"/>
        </w:trPr>
        <w:tc>
          <w:tcPr>
            <w:tcW w:w="3192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92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Аугуста: 0</w:t>
            </w:r>
          </w:p>
        </w:tc>
      </w:tr>
      <w:tr>
        <w:trPr>
          <w:trHeight w:val="84"/>
        </w:trPr>
        <w:tc>
          <w:tcPr>
            <w:tcW w:w="3192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92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Таранто: 6</w:t>
            </w:r>
          </w:p>
        </w:tc>
      </w:tr>
      <w:tr>
        <w:trPr>
          <w:trHeight w:val="84"/>
        </w:trPr>
        <w:tc>
          <w:tcPr>
            <w:tcW w:w="3192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92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Общо: 52</w:t>
            </w:r>
          </w:p>
        </w:tc>
      </w:tr>
      <w:tr>
        <w:trPr>
          <w:trHeight w:val="762"/>
        </w:trPr>
        <w:tc>
          <w:tcPr>
            <w:tcW w:w="3192" w:type="dxa"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Брой на служителите и членовете на персонала на Frontex, разположени извън районите, обявени за „горещи точки“</w:t>
            </w:r>
          </w:p>
        </w:tc>
        <w:tc>
          <w:tcPr>
            <w:tcW w:w="3192" w:type="dxa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248</w:t>
            </w:r>
          </w:p>
        </w:tc>
      </w:tr>
      <w:tr>
        <w:trPr>
          <w:trHeight w:val="762"/>
        </w:trPr>
        <w:tc>
          <w:tcPr>
            <w:tcW w:w="3192" w:type="dxa"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Общ брой на служителите и членовете на персонала на Frontex, разположени в страната</w:t>
            </w:r>
          </w:p>
        </w:tc>
        <w:tc>
          <w:tcPr>
            <w:tcW w:w="3192" w:type="dxa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300</w:t>
            </w:r>
            <w:r>
              <w:rPr>
                <w:rStyle w:val="FootnoteReference"/>
                <w:rFonts w:ascii="Times New Roman" w:hAnsi="Times New Roman" w:cs="Times New Roman"/>
                <w:noProof/>
              </w:rPr>
              <w:footnoteReference w:id="1"/>
            </w:r>
          </w:p>
        </w:tc>
      </w:tr>
      <w:tr>
        <w:trPr>
          <w:trHeight w:val="762"/>
        </w:trPr>
        <w:tc>
          <w:tcPr>
            <w:tcW w:w="3192" w:type="dxa"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Брой на необходимите допълнителни служители на Frontex </w:t>
            </w:r>
          </w:p>
        </w:tc>
        <w:tc>
          <w:tcPr>
            <w:tcW w:w="3192" w:type="dxa"/>
          </w:tcPr>
          <w:p>
            <w:pPr>
              <w:spacing w:before="24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приблизително 60</w:t>
            </w:r>
          </w:p>
        </w:tc>
      </w:tr>
      <w:tr>
        <w:trPr>
          <w:trHeight w:val="762"/>
        </w:trPr>
        <w:tc>
          <w:tcPr>
            <w:tcW w:w="3192" w:type="dxa"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Брой на допълнителните служители на Frontex, за които  държавите членки са поели ангажимент, и процент на исканията на Frontex, обхванати от настоящите ангажименти</w:t>
            </w:r>
          </w:p>
        </w:tc>
        <w:tc>
          <w:tcPr>
            <w:tcW w:w="3192" w:type="dxa"/>
          </w:tcPr>
          <w:p>
            <w:pPr>
              <w:spacing w:before="24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447 (23698 човекодни: 31 % покритие) (общо за Италия и Гърция)</w:t>
            </w:r>
          </w:p>
        </w:tc>
      </w:tr>
      <w:tr>
        <w:trPr>
          <w:trHeight w:val="100"/>
        </w:trPr>
        <w:tc>
          <w:tcPr>
            <w:tcW w:w="3192" w:type="dxa"/>
            <w:vMerge w:val="restart"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Брой на разположените експерти и членове на персонала от EASO </w:t>
            </w:r>
          </w:p>
        </w:tc>
        <w:tc>
          <w:tcPr>
            <w:tcW w:w="3192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Лампедуза:             2</w:t>
            </w:r>
          </w:p>
        </w:tc>
      </w:tr>
      <w:tr>
        <w:trPr>
          <w:trHeight w:val="96"/>
        </w:trPr>
        <w:tc>
          <w:tcPr>
            <w:tcW w:w="3192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92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Поцало:                   0</w:t>
            </w:r>
          </w:p>
        </w:tc>
      </w:tr>
      <w:tr>
        <w:trPr>
          <w:trHeight w:val="96"/>
        </w:trPr>
        <w:tc>
          <w:tcPr>
            <w:tcW w:w="3192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92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Порто Емпедокле: 0</w:t>
            </w:r>
          </w:p>
        </w:tc>
      </w:tr>
      <w:tr>
        <w:trPr>
          <w:trHeight w:val="96"/>
        </w:trPr>
        <w:tc>
          <w:tcPr>
            <w:tcW w:w="3192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92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Трапани:                 0</w:t>
            </w:r>
          </w:p>
        </w:tc>
      </w:tr>
      <w:tr>
        <w:trPr>
          <w:trHeight w:val="96"/>
        </w:trPr>
        <w:tc>
          <w:tcPr>
            <w:tcW w:w="3192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92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Аугуста:                 0</w:t>
            </w:r>
          </w:p>
        </w:tc>
      </w:tr>
      <w:tr>
        <w:trPr>
          <w:trHeight w:val="96"/>
        </w:trPr>
        <w:tc>
          <w:tcPr>
            <w:tcW w:w="3192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92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Таранто:                 0</w:t>
            </w:r>
          </w:p>
        </w:tc>
      </w:tr>
      <w:tr>
        <w:trPr>
          <w:trHeight w:val="96"/>
        </w:trPr>
        <w:tc>
          <w:tcPr>
            <w:tcW w:w="3192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92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Другаде в Италия: 17</w:t>
            </w:r>
          </w:p>
        </w:tc>
      </w:tr>
      <w:tr>
        <w:trPr>
          <w:trHeight w:val="96"/>
        </w:trPr>
        <w:tc>
          <w:tcPr>
            <w:tcW w:w="3192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92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Общо: 19</w:t>
            </w:r>
          </w:p>
        </w:tc>
      </w:tr>
      <w:tr>
        <w:trPr>
          <w:trHeight w:val="774"/>
        </w:trPr>
        <w:tc>
          <w:tcPr>
            <w:tcW w:w="3192" w:type="dxa"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Брой на необходимите експерти и членове на персонала от EASO </w:t>
            </w:r>
          </w:p>
        </w:tc>
        <w:tc>
          <w:tcPr>
            <w:tcW w:w="3192" w:type="dxa"/>
          </w:tcPr>
          <w:p>
            <w:pPr>
              <w:spacing w:before="24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243</w:t>
            </w:r>
          </w:p>
        </w:tc>
      </w:tr>
      <w:tr>
        <w:trPr>
          <w:trHeight w:val="762"/>
        </w:trPr>
        <w:tc>
          <w:tcPr>
            <w:tcW w:w="3192" w:type="dxa"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Брой на допълнителните експерти от EASO, за които  държавите членки са поели ангажимент, и процент на исканията на EASO, обхванати от настоящите ангажименти</w:t>
            </w:r>
          </w:p>
        </w:tc>
        <w:tc>
          <w:tcPr>
            <w:tcW w:w="3192" w:type="dxa"/>
          </w:tcPr>
          <w:p>
            <w:pPr>
              <w:spacing w:before="24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176 (47 % покритие) общо за Италия и Гърция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sectPr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0" w:h="16840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5805494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753914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В тази цифра се отчита ротацията на експерти, за да бъде достигнат общият брой човекодни, посочен в поканата на Frontex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1"/>
    <w:docVar w:name="LW_ANNEX_NBR_LAST" w:val="5"/>
    <w:docVar w:name="LW_CONFIDENCE" w:val=" "/>
    <w:docVar w:name="LW_CONST_RESTREINT_UE" w:val="RESTREINT UE"/>
    <w:docVar w:name="LW_CORRIGENDUM" w:val="&lt;UNUSED&gt;"/>
    <w:docVar w:name="LW_COVERPAGE_GUID" w:val="BF9ADB7AD80D42C9A918B1F966745B89"/>
    <w:docVar w:name="LW_CROSSREFERENCE" w:val="&lt;UNUSED&gt;"/>
    <w:docVar w:name="LW_DocType" w:val="NORMAL"/>
    <w:docVar w:name="LW_EMISSION" w:val="15.12.2015"/>
    <w:docVar w:name="LW_EMISSION_ISODATE" w:val="2015-12-15"/>
    <w:docVar w:name="LW_EMISSION_LOCATION" w:val="STR"/>
    <w:docVar w:name="LW_EMISSION_PREFIX" w:val="Страсбург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44?\u1086?\u1082?\u1083?\u1072?\u1076? \u1086?\u1090?\u1085?\u1086?\u1089?\u1085?\u1086? \u1085?\u1072?\u1087?\u1088?\u1077?\u1076?\u1098?\u1082?\u1072? \u1074? \u1088?\u1077?\u1072?\u1083?\u1080?\u1079?\u1080?\u1088?\u1072?\u1085?\u1077?\u1090?\u1086? \u1085?\u1072? \u8222?\u1075?\u1086?\u1088?\u1077?\u1097?\u1080?\u1090?\u1077? \u1090?\u1086?\u1095?\u1082?\u1080?\u8220? \u1074? \u1048?\u1090?\u1072?\u1083?\u1080?\u1103?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5) 679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71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net1.cec.eu.int\Homes\048\VITASRO\My%20Documents\Home%20-%20statistika\Book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bg-BG" sz="1800" b="1" i="0" u="none" strike="noStrike" baseline="0">
                <a:effectLst/>
              </a:rPr>
              <a:t>Дневен приток на мигранти в Италия по маршрута през Централното Средиземноморие</a:t>
            </a:r>
          </a:p>
        </c:rich>
      </c:tx>
      <c:layout>
        <c:manualLayout>
          <c:xMode val="edge"/>
          <c:yMode val="edge"/>
          <c:x val="0.27074731043234979"/>
          <c:y val="1.5657288936103447E-2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Sheet3!$I$3</c:f>
              <c:strCache>
                <c:ptCount val="1"/>
                <c:pt idx="0">
                  <c:v>Number of arrivals per day</c:v>
                </c:pt>
              </c:strCache>
            </c:strRef>
          </c:tx>
          <c:marker>
            <c:symbol val="none"/>
          </c:marker>
          <c:cat>
            <c:numRef>
              <c:f>Sheet3!$B$4:$B$46</c:f>
              <c:numCache>
                <c:formatCode>d\-mmm\-yy</c:formatCode>
                <c:ptCount val="43"/>
                <c:pt idx="0">
                  <c:v>42303</c:v>
                </c:pt>
                <c:pt idx="1">
                  <c:v>42304</c:v>
                </c:pt>
                <c:pt idx="2">
                  <c:v>42305</c:v>
                </c:pt>
                <c:pt idx="3">
                  <c:v>42308</c:v>
                </c:pt>
                <c:pt idx="4">
                  <c:v>42309</c:v>
                </c:pt>
                <c:pt idx="5">
                  <c:v>42310</c:v>
                </c:pt>
                <c:pt idx="6">
                  <c:v>42311</c:v>
                </c:pt>
                <c:pt idx="7">
                  <c:v>42312</c:v>
                </c:pt>
                <c:pt idx="8">
                  <c:v>42313</c:v>
                </c:pt>
                <c:pt idx="9">
                  <c:v>42314</c:v>
                </c:pt>
                <c:pt idx="10">
                  <c:v>42315</c:v>
                </c:pt>
                <c:pt idx="11">
                  <c:v>42316</c:v>
                </c:pt>
                <c:pt idx="12">
                  <c:v>42317</c:v>
                </c:pt>
                <c:pt idx="13">
                  <c:v>42318</c:v>
                </c:pt>
                <c:pt idx="14">
                  <c:v>42319</c:v>
                </c:pt>
                <c:pt idx="15">
                  <c:v>42320</c:v>
                </c:pt>
                <c:pt idx="16">
                  <c:v>42321</c:v>
                </c:pt>
                <c:pt idx="17">
                  <c:v>42322</c:v>
                </c:pt>
                <c:pt idx="18">
                  <c:v>42323</c:v>
                </c:pt>
                <c:pt idx="19">
                  <c:v>42324</c:v>
                </c:pt>
                <c:pt idx="20">
                  <c:v>42325</c:v>
                </c:pt>
                <c:pt idx="21">
                  <c:v>42326</c:v>
                </c:pt>
                <c:pt idx="22">
                  <c:v>42327</c:v>
                </c:pt>
                <c:pt idx="23">
                  <c:v>42328</c:v>
                </c:pt>
                <c:pt idx="24">
                  <c:v>42329</c:v>
                </c:pt>
                <c:pt idx="25">
                  <c:v>42330</c:v>
                </c:pt>
                <c:pt idx="26">
                  <c:v>42331</c:v>
                </c:pt>
                <c:pt idx="27">
                  <c:v>42332</c:v>
                </c:pt>
                <c:pt idx="28">
                  <c:v>42333</c:v>
                </c:pt>
                <c:pt idx="29">
                  <c:v>42334</c:v>
                </c:pt>
                <c:pt idx="30">
                  <c:v>42335</c:v>
                </c:pt>
                <c:pt idx="31">
                  <c:v>42336</c:v>
                </c:pt>
                <c:pt idx="32">
                  <c:v>42337</c:v>
                </c:pt>
                <c:pt idx="33">
                  <c:v>42338</c:v>
                </c:pt>
                <c:pt idx="34">
                  <c:v>42339</c:v>
                </c:pt>
                <c:pt idx="35">
                  <c:v>42340</c:v>
                </c:pt>
                <c:pt idx="36">
                  <c:v>42341</c:v>
                </c:pt>
                <c:pt idx="37">
                  <c:v>42342</c:v>
                </c:pt>
                <c:pt idx="38">
                  <c:v>42343</c:v>
                </c:pt>
                <c:pt idx="39">
                  <c:v>42344</c:v>
                </c:pt>
                <c:pt idx="40">
                  <c:v>42345</c:v>
                </c:pt>
                <c:pt idx="41">
                  <c:v>42346</c:v>
                </c:pt>
                <c:pt idx="42">
                  <c:v>42347</c:v>
                </c:pt>
              </c:numCache>
            </c:numRef>
          </c:cat>
          <c:val>
            <c:numRef>
              <c:f>Sheet3!$I$4:$I$46</c:f>
              <c:numCache>
                <c:formatCode>General</c:formatCode>
                <c:ptCount val="43"/>
                <c:pt idx="0">
                  <c:v>0</c:v>
                </c:pt>
                <c:pt idx="1">
                  <c:v>0</c:v>
                </c:pt>
                <c:pt idx="2">
                  <c:v>225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514</c:v>
                </c:pt>
                <c:pt idx="9">
                  <c:v>950</c:v>
                </c:pt>
                <c:pt idx="10">
                  <c:v>0</c:v>
                </c:pt>
                <c:pt idx="11">
                  <c:v>7</c:v>
                </c:pt>
                <c:pt idx="12">
                  <c:v>0</c:v>
                </c:pt>
                <c:pt idx="13">
                  <c:v>0</c:v>
                </c:pt>
                <c:pt idx="14">
                  <c:v>15</c:v>
                </c:pt>
                <c:pt idx="15">
                  <c:v>15</c:v>
                </c:pt>
                <c:pt idx="16">
                  <c:v>0</c:v>
                </c:pt>
                <c:pt idx="17">
                  <c:v>611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13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89</c:v>
                </c:pt>
                <c:pt idx="28">
                  <c:v>401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1396</c:v>
                </c:pt>
                <c:pt idx="37">
                  <c:v>628</c:v>
                </c:pt>
                <c:pt idx="38">
                  <c:v>394</c:v>
                </c:pt>
                <c:pt idx="39">
                  <c:v>0</c:v>
                </c:pt>
                <c:pt idx="40">
                  <c:v>806</c:v>
                </c:pt>
                <c:pt idx="41">
                  <c:v>0</c:v>
                </c:pt>
                <c:pt idx="42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517696"/>
        <c:axId val="69519232"/>
      </c:lineChart>
      <c:dateAx>
        <c:axId val="69517696"/>
        <c:scaling>
          <c:orientation val="minMax"/>
        </c:scaling>
        <c:delete val="0"/>
        <c:axPos val="b"/>
        <c:numFmt formatCode="d\-mmm\-yy" sourceLinked="1"/>
        <c:majorTickMark val="out"/>
        <c:minorTickMark val="none"/>
        <c:tickLblPos val="nextTo"/>
        <c:crossAx val="69519232"/>
        <c:crosses val="autoZero"/>
        <c:auto val="1"/>
        <c:lblOffset val="100"/>
        <c:baseTimeUnit val="days"/>
      </c:dateAx>
      <c:valAx>
        <c:axId val="69519232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bg-BG"/>
                  <a:t>Брой на</a:t>
                </a:r>
              </a:p>
              <a:p>
                <a:pPr>
                  <a:defRPr/>
                </a:pPr>
                <a:r>
                  <a:rPr lang="bg-BG"/>
                  <a:t> пристигащите на ден</a:t>
                </a:r>
              </a:p>
            </c:rich>
          </c:tx>
          <c:layout>
            <c:manualLayout>
              <c:xMode val="edge"/>
              <c:yMode val="edge"/>
              <c:x val="9.5408467501490787E-3"/>
              <c:y val="0.1031455242256162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695176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0.00984</cdr:x>
      <cdr:y>0.76948</cdr:y>
    </cdr:from>
    <cdr:to>
      <cdr:x>0.09571</cdr:x>
      <cdr:y>0.92699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4775" y="44672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GB" sz="1100"/>
        </a:p>
      </cdr:txBody>
    </cdr:sp>
  </cdr:relSizeAnchor>
  <cdr:relSizeAnchor xmlns:cdr="http://schemas.openxmlformats.org/drawingml/2006/chartDrawing">
    <cdr:from>
      <cdr:x>0.02147</cdr:x>
      <cdr:y>0.81214</cdr:y>
    </cdr:from>
    <cdr:to>
      <cdr:x>0.10733</cdr:x>
      <cdr:y>0.96965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8600" y="47148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bg-BG"/>
            <a:t>Източник: </a:t>
          </a:r>
        </a:p>
        <a:p xmlns:a="http://schemas.openxmlformats.org/drawingml/2006/main">
          <a:r>
            <a:rPr lang="bg-BG"/>
            <a:t>Frontex 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1AE96-106F-4ED1-9491-E8CB49C00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517</Words>
  <Characters>2772</Characters>
  <Application>Microsoft Office Word</Application>
  <DocSecurity>0</DocSecurity>
  <Lines>252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DANULESCU Andreea (HOME)</dc:creator>
  <cp:lastModifiedBy>DIGIT/A3</cp:lastModifiedBy>
  <cp:revision>34</cp:revision>
  <dcterms:created xsi:type="dcterms:W3CDTF">2015-12-14T08:49:00Z</dcterms:created>
  <dcterms:modified xsi:type="dcterms:W3CDTF">2016-02-04T09:22:00Z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5</vt:lpwstr>
  </property>
  <property fmtid="{D5CDD505-2E9C-101B-9397-08002B2CF9AE}" pid="4" name="Part">
    <vt:lpwstr>&lt;UNUSED&gt;</vt:lpwstr>
  </property>
  <property fmtid="{D5CDD505-2E9C-101B-9397-08002B2CF9AE}" pid="5" name="Total parts">
    <vt:lpwstr>&lt;UNUSED&gt;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