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2D57D8BDA1640ADB45C25402BA9D5D3" style="width:450.75pt;height:411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szCs w:val="24"/>
        </w:rPr>
      </w:pPr>
      <w:bookmarkStart w:id="0" w:name="_GoBack"/>
      <w:bookmarkEnd w:id="0"/>
      <w:r>
        <w:rPr>
          <w:noProof/>
        </w:rPr>
        <w:lastRenderedPageBreak/>
        <w:t>ANNEXE</w:t>
      </w:r>
    </w:p>
    <w:p>
      <w:pPr>
        <w:jc w:val="center"/>
        <w:rPr>
          <w:b/>
          <w:noProof/>
          <w:szCs w:val="24"/>
        </w:rPr>
      </w:pPr>
      <w:r>
        <w:rPr>
          <w:b/>
          <w:noProof/>
        </w:rPr>
        <w:t>ANNEXE III: Droits de douane du Mozambique sur les produits originaires de l’UE – partie 1</w:t>
      </w:r>
    </w:p>
    <w:p>
      <w:pPr>
        <w:jc w:val="center"/>
        <w:rPr>
          <w:b/>
          <w:noProof/>
          <w:u w:val="single"/>
        </w:rPr>
      </w:pPr>
      <w:r>
        <w:rPr>
          <w:b/>
          <w:noProof/>
          <w:u w:val="single"/>
        </w:rPr>
        <w:t>ANNEXE III:</w:t>
      </w:r>
    </w:p>
    <w:p>
      <w:pPr>
        <w:jc w:val="center"/>
        <w:rPr>
          <w:b/>
          <w:noProof/>
          <w:color w:val="000000"/>
        </w:rPr>
      </w:pPr>
      <w:r>
        <w:rPr>
          <w:b/>
          <w:noProof/>
          <w:color w:val="000000"/>
        </w:rPr>
        <w:t>DROITS DE DOUANE DU MOZAMBIQUE SUR LES PRODUITS ORIGINAIRES DE L’UE</w:t>
      </w:r>
    </w:p>
    <w:p>
      <w:pPr>
        <w:jc w:val="center"/>
        <w:rPr>
          <w:b/>
          <w:noProof/>
        </w:rPr>
      </w:pPr>
      <w:r>
        <w:rPr>
          <w:b/>
          <w:noProof/>
        </w:rPr>
        <w:t>PARTIE I</w:t>
      </w:r>
    </w:p>
    <w:p>
      <w:pPr>
        <w:jc w:val="center"/>
        <w:rPr>
          <w:b/>
          <w:noProof/>
        </w:rPr>
      </w:pPr>
      <w:r>
        <w:rPr>
          <w:b/>
          <w:noProof/>
        </w:rPr>
        <w:t>NOTES GÉNÉRALES</w:t>
      </w:r>
    </w:p>
    <w:p>
      <w:pPr>
        <w:pStyle w:val="ManualNumPar1"/>
        <w:rPr>
          <w:noProof/>
        </w:rPr>
      </w:pPr>
      <w:r>
        <w:rPr>
          <w:noProof/>
        </w:rPr>
        <w:t>1.</w:t>
      </w:r>
      <w:r>
        <w:rPr>
          <w:noProof/>
        </w:rPr>
        <w:tab/>
        <w:t>La concession décrite dans la présente ANNEXE s’applique, pour les marchandises originaires de l’UE et présentées au dédouanement au Mozambique, à partir de la date d’entrée en vigueur du présent accord prévue à l’article 113, paragraphe 2, ou à partir de la date d’application provisoire pertinente prévue à l’article 113, paragraphe 4, la date la plus proche étant retenue.</w:t>
      </w:r>
    </w:p>
    <w:p>
      <w:pPr>
        <w:jc w:val="center"/>
        <w:rPr>
          <w:b/>
          <w:noProof/>
        </w:rPr>
      </w:pPr>
      <w:r>
        <w:rPr>
          <w:b/>
          <w:noProof/>
        </w:rPr>
        <w:t>SECTION A</w:t>
      </w:r>
    </w:p>
    <w:p>
      <w:pPr>
        <w:jc w:val="center"/>
        <w:rPr>
          <w:b/>
          <w:smallCaps/>
          <w:noProof/>
        </w:rPr>
      </w:pPr>
      <w:r>
        <w:rPr>
          <w:b/>
          <w:smallCaps/>
          <w:noProof/>
        </w:rPr>
        <w:t>ÉLIMINATION DES DROITS DE DOUANE</w:t>
      </w:r>
    </w:p>
    <w:p>
      <w:pPr>
        <w:pStyle w:val="ManualNumPar1"/>
        <w:rPr>
          <w:noProof/>
          <w:szCs w:val="24"/>
        </w:rPr>
      </w:pPr>
      <w:r>
        <w:rPr>
          <w:noProof/>
        </w:rPr>
        <w:t>2.</w:t>
      </w:r>
      <w:r>
        <w:rPr>
          <w:noProof/>
        </w:rPr>
        <w:tab/>
        <w:t>Les catégories de démantèlement ci-après s’appliquent à l’élimination des droits de douane par le Mozambique conformément à l’article 25, paragraphe 2.</w:t>
      </w:r>
    </w:p>
    <w:p>
      <w:pPr>
        <w:pStyle w:val="Point1"/>
        <w:rPr>
          <w:noProof/>
        </w:rPr>
      </w:pPr>
      <w:r>
        <w:rPr>
          <w:noProof/>
        </w:rPr>
        <w:t>a)</w:t>
      </w:r>
      <w:r>
        <w:rPr>
          <w:noProof/>
        </w:rPr>
        <w:tab/>
        <w:t>Les droits de douane sur les marchandises originaires indiquées comme relevant de la catégorie de démantèlement «A» dans la liste du Mozambique sont éliminés à la date visée au point 1 de la présente ANNEXE.</w:t>
      </w:r>
    </w:p>
    <w:p>
      <w:pPr>
        <w:pStyle w:val="Point1"/>
        <w:rPr>
          <w:noProof/>
        </w:rPr>
      </w:pPr>
      <w:r>
        <w:rPr>
          <w:noProof/>
        </w:rPr>
        <w:t>b)</w:t>
      </w:r>
      <w:r>
        <w:rPr>
          <w:noProof/>
        </w:rPr>
        <w:tab/>
        <w:t>Les droits de douane sur les marchandises originaires indiquées comme relevant de la catégorie de démantèlement «B» (B1, B21 et B22) dans la liste du Mozambique sont progressivement éliminés dans les cinq (5) ans qui suivent la date visée au point 1 de la présente ANNEXE, conformément aux dispositions suivantes:</w:t>
      </w:r>
    </w:p>
    <w:p>
      <w:pPr>
        <w:pStyle w:val="Point2"/>
        <w:rPr>
          <w:noProof/>
        </w:rPr>
      </w:pPr>
      <w:r>
        <w:rPr>
          <w:noProof/>
        </w:rPr>
        <w:t>i)</w:t>
      </w:r>
      <w:r>
        <w:rPr>
          <w:noProof/>
        </w:rPr>
        <w:tab/>
        <w:t>catégorie «B1»:</w:t>
      </w:r>
    </w:p>
    <w:p>
      <w:pPr>
        <w:pStyle w:val="Bullet3"/>
        <w:numPr>
          <w:ilvl w:val="0"/>
          <w:numId w:val="9"/>
        </w:numPr>
        <w:rPr>
          <w:noProof/>
        </w:rPr>
      </w:pPr>
      <w:r>
        <w:rPr>
          <w:noProof/>
        </w:rPr>
        <w:t>deux (2) ans après la date visée au point 1 de la présente ANNEXE, les droits de douane sont ramenés à 75 % du droit de base,</w:t>
      </w:r>
    </w:p>
    <w:p>
      <w:pPr>
        <w:pStyle w:val="Bullet3"/>
        <w:rPr>
          <w:noProof/>
        </w:rPr>
      </w:pPr>
      <w:r>
        <w:rPr>
          <w:noProof/>
        </w:rPr>
        <w:t>trois (3) ans après la date visée au point 1 de la présente ANNEXE, les droits de douane sont à nouveau réduits et ramenés à 50 % du droit de base,</w:t>
      </w:r>
    </w:p>
    <w:p>
      <w:pPr>
        <w:pStyle w:val="Bullet3"/>
        <w:rPr>
          <w:noProof/>
        </w:rPr>
      </w:pPr>
      <w:r>
        <w:rPr>
          <w:noProof/>
        </w:rPr>
        <w:t>quatre (4) ans après la date visée au point 1 de la présente ANNEXE, les droits de douane sont à nouveau réduits et ramenés à 25 % du droit de base, et</w:t>
      </w:r>
    </w:p>
    <w:p>
      <w:pPr>
        <w:pStyle w:val="Bullet3"/>
        <w:rPr>
          <w:noProof/>
        </w:rPr>
      </w:pPr>
      <w:r>
        <w:rPr>
          <w:noProof/>
        </w:rPr>
        <w:t>cinq (5) ans après la date visée au point 1 de la présente ANNEXE, les droits de douane sont éliminés;</w:t>
      </w:r>
    </w:p>
    <w:p>
      <w:pPr>
        <w:pStyle w:val="Point2"/>
        <w:rPr>
          <w:noProof/>
          <w:szCs w:val="24"/>
        </w:rPr>
      </w:pPr>
      <w:r>
        <w:rPr>
          <w:noProof/>
        </w:rPr>
        <w:t>ii)</w:t>
      </w:r>
      <w:r>
        <w:rPr>
          <w:noProof/>
        </w:rPr>
        <w:tab/>
        <w:t>catégorie «B21»:</w:t>
      </w:r>
    </w:p>
    <w:p>
      <w:pPr>
        <w:pStyle w:val="Bullet3"/>
        <w:rPr>
          <w:noProof/>
        </w:rPr>
      </w:pPr>
      <w:r>
        <w:rPr>
          <w:noProof/>
        </w:rPr>
        <w:t>deux (2) ans après la date visée au point 1 de la présente ANNEXE, les droits de douane sont ramenés à 66,6 % du droit de base,</w:t>
      </w:r>
    </w:p>
    <w:p>
      <w:pPr>
        <w:pStyle w:val="Bullet3"/>
        <w:rPr>
          <w:noProof/>
        </w:rPr>
      </w:pPr>
      <w:r>
        <w:rPr>
          <w:noProof/>
        </w:rPr>
        <w:lastRenderedPageBreak/>
        <w:t>quatre (4) ans après la date visée au point 1 de la présente ANNEXE, les droits de douane sont à nouveau réduits et ramenés à 33,3 % du droit de base, et</w:t>
      </w:r>
    </w:p>
    <w:p>
      <w:pPr>
        <w:pStyle w:val="Bullet3"/>
        <w:rPr>
          <w:noProof/>
          <w:szCs w:val="24"/>
        </w:rPr>
      </w:pPr>
      <w:r>
        <w:rPr>
          <w:noProof/>
        </w:rPr>
        <w:t>cinq (5) ans après la date visée au point 1 de la présente ANNEXE, les droits de douane sont éliminés;</w:t>
      </w:r>
    </w:p>
    <w:p>
      <w:pPr>
        <w:pStyle w:val="Point2"/>
        <w:rPr>
          <w:noProof/>
          <w:szCs w:val="24"/>
        </w:rPr>
      </w:pPr>
      <w:r>
        <w:rPr>
          <w:noProof/>
        </w:rPr>
        <w:t>iii)</w:t>
      </w:r>
      <w:r>
        <w:rPr>
          <w:noProof/>
        </w:rPr>
        <w:tab/>
        <w:t>catégorie «B22»:</w:t>
      </w:r>
    </w:p>
    <w:p>
      <w:pPr>
        <w:pStyle w:val="Bullet3"/>
        <w:rPr>
          <w:noProof/>
        </w:rPr>
      </w:pPr>
      <w:r>
        <w:rPr>
          <w:noProof/>
        </w:rPr>
        <w:t>trois (3) ans après la date visée au point 1 de la présente ANNEXE, les droits de douane sont ramenés à 50 % du droit de base,</w:t>
      </w:r>
    </w:p>
    <w:p>
      <w:pPr>
        <w:pStyle w:val="Bullet3"/>
        <w:rPr>
          <w:noProof/>
        </w:rPr>
      </w:pPr>
      <w:r>
        <w:rPr>
          <w:noProof/>
        </w:rPr>
        <w:t>quatre (4) ans après la date visée au point 1 de la présente ANNEXE, les droits de douane sont à nouveau réduits et ramenés à 40 % du droit de base, et</w:t>
      </w:r>
    </w:p>
    <w:p>
      <w:pPr>
        <w:pStyle w:val="Bullet3"/>
        <w:rPr>
          <w:noProof/>
          <w:szCs w:val="24"/>
        </w:rPr>
      </w:pPr>
      <w:r>
        <w:rPr>
          <w:noProof/>
        </w:rPr>
        <w:t>cinq (5) ans après la date visée au point 1 de la présente ANNEXE, les droits de douane sont éliminés.</w:t>
      </w:r>
    </w:p>
    <w:p>
      <w:pPr>
        <w:pStyle w:val="Point1"/>
        <w:rPr>
          <w:noProof/>
          <w:szCs w:val="24"/>
        </w:rPr>
      </w:pPr>
      <w:r>
        <w:rPr>
          <w:noProof/>
        </w:rPr>
        <w:t>c)</w:t>
      </w:r>
      <w:r>
        <w:rPr>
          <w:noProof/>
        </w:rPr>
        <w:tab/>
        <w:t>Les droits de douane sur les marchandises originaires indiquées comme relevant de la catégorie de démantèlement «C» (C1, C21, C22 et C23) dans la liste du Mozambique sont progressivement éliminés dans les dix (10) ans qui suivent la date visée au point 1 de la présente ANNEXE, conformément aux dispositions suivantes:</w:t>
      </w:r>
    </w:p>
    <w:p>
      <w:pPr>
        <w:pStyle w:val="Point2"/>
        <w:rPr>
          <w:noProof/>
          <w:szCs w:val="24"/>
        </w:rPr>
      </w:pPr>
      <w:r>
        <w:rPr>
          <w:noProof/>
        </w:rPr>
        <w:t>i)</w:t>
      </w:r>
      <w:r>
        <w:rPr>
          <w:noProof/>
        </w:rPr>
        <w:tab/>
        <w:t>catégorie «C1»:</w:t>
      </w:r>
    </w:p>
    <w:p>
      <w:pPr>
        <w:pStyle w:val="Bullet3"/>
        <w:rPr>
          <w:noProof/>
          <w:szCs w:val="24"/>
        </w:rPr>
      </w:pPr>
      <w:r>
        <w:rPr>
          <w:noProof/>
        </w:rPr>
        <w:t>six (6) ans après la date visée au point 1 de la présente ANNEXE, les droits de douane sont ramenés à 75 % du droit de base,</w:t>
      </w:r>
    </w:p>
    <w:p>
      <w:pPr>
        <w:pStyle w:val="Bullet3"/>
        <w:rPr>
          <w:noProof/>
          <w:szCs w:val="24"/>
        </w:rPr>
      </w:pPr>
      <w:r>
        <w:rPr>
          <w:noProof/>
        </w:rPr>
        <w:t>sept (7) ans après la date visée au point 1 de la présente ANNEXE, les droits de douane sont à nouveau réduits et ramenés à 50 % du droit de base,</w:t>
      </w:r>
    </w:p>
    <w:p>
      <w:pPr>
        <w:pStyle w:val="Bullet3"/>
        <w:rPr>
          <w:noProof/>
          <w:szCs w:val="24"/>
        </w:rPr>
      </w:pPr>
      <w:r>
        <w:rPr>
          <w:noProof/>
        </w:rPr>
        <w:t>huit (8) ans après la date visée au point 1 de la présente ANNEXE, les droits de douane sont à nouveau réduits et ramenés à 25 % du droit de base,</w:t>
      </w:r>
    </w:p>
    <w:p>
      <w:pPr>
        <w:pStyle w:val="Bullet3"/>
        <w:rPr>
          <w:noProof/>
          <w:szCs w:val="24"/>
        </w:rPr>
      </w:pPr>
      <w:r>
        <w:rPr>
          <w:noProof/>
        </w:rPr>
        <w:t>neuf (9) ans après la date visée au point 1 de la présente ANNEXE, les droits de douane sont à nouveau réduits et ramenés à 12,5 % du droit de base, et</w:t>
      </w:r>
    </w:p>
    <w:p>
      <w:pPr>
        <w:pStyle w:val="Bullet3"/>
        <w:rPr>
          <w:noProof/>
          <w:szCs w:val="24"/>
        </w:rPr>
      </w:pPr>
      <w:r>
        <w:rPr>
          <w:noProof/>
        </w:rPr>
        <w:t>dix (10) ans après la date visée au point 1 de la présente ANNEXE, les droits de douane sont éliminés;</w:t>
      </w:r>
    </w:p>
    <w:p>
      <w:pPr>
        <w:pStyle w:val="Point2"/>
        <w:rPr>
          <w:noProof/>
          <w:szCs w:val="24"/>
        </w:rPr>
      </w:pPr>
      <w:r>
        <w:rPr>
          <w:noProof/>
        </w:rPr>
        <w:t>ii)</w:t>
      </w:r>
      <w:r>
        <w:rPr>
          <w:noProof/>
        </w:rPr>
        <w:tab/>
        <w:t>catégorie «C21»:</w:t>
      </w:r>
    </w:p>
    <w:p>
      <w:pPr>
        <w:pStyle w:val="Bullet3"/>
        <w:rPr>
          <w:noProof/>
          <w:szCs w:val="24"/>
        </w:rPr>
      </w:pPr>
      <w:r>
        <w:rPr>
          <w:noProof/>
        </w:rPr>
        <w:t>six (6) ans après la date visée au point 1 de la présente ANNEXE, les droits de douane sont ramenés à 66,6 % du droit de base,</w:t>
      </w:r>
    </w:p>
    <w:p>
      <w:pPr>
        <w:pStyle w:val="Bullet3"/>
        <w:rPr>
          <w:noProof/>
          <w:szCs w:val="24"/>
        </w:rPr>
      </w:pPr>
      <w:r>
        <w:rPr>
          <w:noProof/>
        </w:rPr>
        <w:t>huit (8) ans après la date visée au point 1 de la présente ANNEXE, les droits de douane sont à nouveau réduits et ramenés à 33,3 % du droit de base,</w:t>
      </w:r>
    </w:p>
    <w:p>
      <w:pPr>
        <w:pStyle w:val="Bullet3"/>
        <w:rPr>
          <w:noProof/>
          <w:szCs w:val="24"/>
        </w:rPr>
      </w:pPr>
      <w:r>
        <w:rPr>
          <w:noProof/>
        </w:rPr>
        <w:t>neuf (9) ans après la date visée au point 1 de la présente ANNEXE, les droits de douane sont à nouveau réduits et ramenés à 13,3 % du droit de base, et</w:t>
      </w:r>
    </w:p>
    <w:p>
      <w:pPr>
        <w:pStyle w:val="Bullet3"/>
        <w:rPr>
          <w:noProof/>
          <w:szCs w:val="24"/>
        </w:rPr>
      </w:pPr>
      <w:r>
        <w:rPr>
          <w:noProof/>
        </w:rPr>
        <w:lastRenderedPageBreak/>
        <w:t>dix (10) ans après la date visée au point 1 de la présente ANNEXE, les droits de douane sont éliminés;</w:t>
      </w:r>
    </w:p>
    <w:p>
      <w:pPr>
        <w:pStyle w:val="Point2"/>
        <w:rPr>
          <w:noProof/>
          <w:szCs w:val="24"/>
        </w:rPr>
      </w:pPr>
      <w:r>
        <w:rPr>
          <w:noProof/>
        </w:rPr>
        <w:t>iii)</w:t>
      </w:r>
      <w:r>
        <w:rPr>
          <w:noProof/>
        </w:rPr>
        <w:tab/>
        <w:t>catégorie «C22»:</w:t>
      </w:r>
    </w:p>
    <w:p>
      <w:pPr>
        <w:pStyle w:val="Bullet3"/>
        <w:rPr>
          <w:noProof/>
          <w:szCs w:val="24"/>
        </w:rPr>
      </w:pPr>
      <w:r>
        <w:rPr>
          <w:noProof/>
        </w:rPr>
        <w:t>sept (7) ans après la date visée au point 1 de la présente ANNEXE, les droits de douane sont ramenés à 50 % du droit de base,</w:t>
      </w:r>
    </w:p>
    <w:p>
      <w:pPr>
        <w:pStyle w:val="Bullet3"/>
        <w:rPr>
          <w:noProof/>
          <w:szCs w:val="24"/>
        </w:rPr>
      </w:pPr>
      <w:r>
        <w:rPr>
          <w:noProof/>
        </w:rPr>
        <w:t>huit (8) ans après la date visée au point 1 de la présente ANNEXE, les droits de douane sont à nouveau réduits et ramenés à 20 % du droit de base, et</w:t>
      </w:r>
    </w:p>
    <w:p>
      <w:pPr>
        <w:pStyle w:val="Bullet3"/>
        <w:rPr>
          <w:noProof/>
          <w:szCs w:val="24"/>
        </w:rPr>
      </w:pPr>
      <w:r>
        <w:rPr>
          <w:noProof/>
        </w:rPr>
        <w:t>dix (10) ans après la date visée au point 1 de la présente ANNEXE, les droits de douane sont éliminés;</w:t>
      </w:r>
    </w:p>
    <w:p>
      <w:pPr>
        <w:pStyle w:val="Point2"/>
        <w:rPr>
          <w:noProof/>
          <w:szCs w:val="24"/>
        </w:rPr>
      </w:pPr>
      <w:r>
        <w:rPr>
          <w:noProof/>
        </w:rPr>
        <w:t>iv)</w:t>
      </w:r>
      <w:r>
        <w:rPr>
          <w:noProof/>
        </w:rPr>
        <w:tab/>
        <w:t>catégorie «C23»:</w:t>
      </w:r>
    </w:p>
    <w:p>
      <w:pPr>
        <w:pStyle w:val="Bullet3"/>
        <w:rPr>
          <w:noProof/>
          <w:szCs w:val="24"/>
        </w:rPr>
      </w:pPr>
      <w:r>
        <w:rPr>
          <w:noProof/>
        </w:rPr>
        <w:t>sept (7) ans après la date visée au point 1 de la présente ANNEXE, les droits de douane sont ramenés à 80 % du droit de base,</w:t>
      </w:r>
    </w:p>
    <w:p>
      <w:pPr>
        <w:pStyle w:val="Bullet3"/>
        <w:rPr>
          <w:noProof/>
          <w:szCs w:val="24"/>
        </w:rPr>
      </w:pPr>
      <w:r>
        <w:rPr>
          <w:noProof/>
        </w:rPr>
        <w:t>huit (8) ans après la date visée au point 1 de la présente ANNEXE, les droits de douane sont à nouveau réduits et ramenés à 40 % du droit de base, et</w:t>
      </w:r>
    </w:p>
    <w:p>
      <w:pPr>
        <w:pStyle w:val="Bullet3"/>
        <w:rPr>
          <w:noProof/>
          <w:szCs w:val="24"/>
        </w:rPr>
      </w:pPr>
      <w:r>
        <w:rPr>
          <w:noProof/>
        </w:rPr>
        <w:t>dix (10) ans après la date visée au point 1 de la présente ANNEXE, les droits de douane sont éliminés.</w:t>
      </w:r>
    </w:p>
    <w:p>
      <w:pPr>
        <w:pStyle w:val="Point1"/>
        <w:rPr>
          <w:noProof/>
          <w:szCs w:val="24"/>
        </w:rPr>
      </w:pPr>
      <w:r>
        <w:rPr>
          <w:noProof/>
        </w:rPr>
        <w:t>d)</w:t>
      </w:r>
      <w:r>
        <w:rPr>
          <w:noProof/>
        </w:rPr>
        <w:tab/>
        <w:t>Les droits de douane sur les marchandises originaires non indiquées dans la liste du Mozambique sont exclus des engagements de réduction tarifaire.</w:t>
      </w:r>
    </w:p>
    <w:p>
      <w:pPr>
        <w:jc w:val="center"/>
        <w:rPr>
          <w:b/>
          <w:noProof/>
          <w:szCs w:val="24"/>
        </w:rPr>
      </w:pPr>
      <w:r>
        <w:rPr>
          <w:noProof/>
        </w:rPr>
        <w:br w:type="page"/>
      </w:r>
      <w:r>
        <w:rPr>
          <w:b/>
          <w:noProof/>
        </w:rPr>
        <w:lastRenderedPageBreak/>
        <w:t>Démantèlement par le Mozambique des droits de douane appliqués aux marchandises importées depuis l’UE conformément au présent accord</w:t>
      </w:r>
    </w:p>
    <w:tbl>
      <w:tblPr>
        <w:tblW w:w="610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3"/>
        <w:gridCol w:w="838"/>
        <w:gridCol w:w="938"/>
        <w:gridCol w:w="938"/>
        <w:gridCol w:w="938"/>
        <w:gridCol w:w="938"/>
        <w:gridCol w:w="938"/>
        <w:gridCol w:w="938"/>
        <w:gridCol w:w="938"/>
        <w:gridCol w:w="938"/>
        <w:gridCol w:w="938"/>
        <w:gridCol w:w="938"/>
      </w:tblGrid>
      <w:tr>
        <w:trPr>
          <w:trHeight w:val="255"/>
          <w:jc w:val="center"/>
        </w:trPr>
        <w:tc>
          <w:tcPr>
            <w:tcW w:w="523" w:type="pct"/>
          </w:tcPr>
          <w:p>
            <w:pPr>
              <w:rPr>
                <w:b/>
                <w:noProof/>
                <w:sz w:val="22"/>
              </w:rPr>
            </w:pPr>
            <w:r>
              <w:rPr>
                <w:b/>
                <w:noProof/>
                <w:sz w:val="22"/>
              </w:rPr>
              <w:t>Catégorie</w:t>
            </w:r>
          </w:p>
        </w:tc>
        <w:tc>
          <w:tcPr>
            <w:tcW w:w="293" w:type="pct"/>
            <w:tcMar>
              <w:left w:w="28" w:type="dxa"/>
              <w:right w:w="28" w:type="dxa"/>
            </w:tcMar>
          </w:tcPr>
          <w:p>
            <w:pPr>
              <w:jc w:val="center"/>
              <w:rPr>
                <w:b/>
                <w:noProof/>
                <w:sz w:val="22"/>
              </w:rPr>
            </w:pPr>
            <w:r>
              <w:rPr>
                <w:b/>
                <w:noProof/>
                <w:sz w:val="22"/>
              </w:rPr>
              <w:t>Date d’entrée en vigueur (droit de base)</w:t>
            </w:r>
          </w:p>
        </w:tc>
        <w:tc>
          <w:tcPr>
            <w:tcW w:w="418" w:type="pct"/>
          </w:tcPr>
          <w:p>
            <w:pPr>
              <w:jc w:val="center"/>
              <w:rPr>
                <w:b/>
                <w:noProof/>
                <w:sz w:val="22"/>
              </w:rPr>
            </w:pPr>
            <w:r>
              <w:rPr>
                <w:b/>
                <w:noProof/>
                <w:sz w:val="22"/>
              </w:rPr>
              <w:t>1</w:t>
            </w:r>
          </w:p>
          <w:p>
            <w:pPr>
              <w:jc w:val="center"/>
              <w:rPr>
                <w:b/>
                <w:noProof/>
                <w:sz w:val="22"/>
              </w:rPr>
            </w:pPr>
            <w:r>
              <w:rPr>
                <w:b/>
                <w:noProof/>
                <w:sz w:val="22"/>
              </w:rPr>
              <w:t>an après l’entrée en vigueur</w:t>
            </w:r>
          </w:p>
        </w:tc>
        <w:tc>
          <w:tcPr>
            <w:tcW w:w="418" w:type="pct"/>
          </w:tcPr>
          <w:p>
            <w:pPr>
              <w:jc w:val="center"/>
              <w:rPr>
                <w:b/>
                <w:noProof/>
                <w:sz w:val="22"/>
              </w:rPr>
            </w:pPr>
            <w:r>
              <w:rPr>
                <w:b/>
                <w:noProof/>
                <w:sz w:val="22"/>
              </w:rPr>
              <w:t>2</w:t>
            </w:r>
          </w:p>
          <w:p>
            <w:pPr>
              <w:jc w:val="center"/>
              <w:rPr>
                <w:b/>
                <w:noProof/>
                <w:sz w:val="22"/>
              </w:rPr>
            </w:pPr>
            <w:r>
              <w:rPr>
                <w:b/>
                <w:noProof/>
                <w:sz w:val="22"/>
              </w:rPr>
              <w:t>ans après l’entrée en vigueur</w:t>
            </w:r>
          </w:p>
        </w:tc>
        <w:tc>
          <w:tcPr>
            <w:tcW w:w="418" w:type="pct"/>
          </w:tcPr>
          <w:p>
            <w:pPr>
              <w:jc w:val="center"/>
              <w:rPr>
                <w:b/>
                <w:noProof/>
                <w:sz w:val="22"/>
              </w:rPr>
            </w:pPr>
            <w:r>
              <w:rPr>
                <w:b/>
                <w:noProof/>
                <w:sz w:val="22"/>
              </w:rPr>
              <w:t>3</w:t>
            </w:r>
          </w:p>
          <w:p>
            <w:pPr>
              <w:jc w:val="center"/>
              <w:rPr>
                <w:b/>
                <w:noProof/>
                <w:sz w:val="22"/>
              </w:rPr>
            </w:pPr>
            <w:r>
              <w:rPr>
                <w:b/>
                <w:noProof/>
                <w:sz w:val="22"/>
              </w:rPr>
              <w:t>ans après l’entrée en vigueur</w:t>
            </w:r>
          </w:p>
        </w:tc>
        <w:tc>
          <w:tcPr>
            <w:tcW w:w="418" w:type="pct"/>
          </w:tcPr>
          <w:p>
            <w:pPr>
              <w:jc w:val="center"/>
              <w:rPr>
                <w:b/>
                <w:noProof/>
                <w:sz w:val="22"/>
              </w:rPr>
            </w:pPr>
            <w:r>
              <w:rPr>
                <w:b/>
                <w:noProof/>
                <w:sz w:val="22"/>
              </w:rPr>
              <w:t>4</w:t>
            </w:r>
          </w:p>
          <w:p>
            <w:pPr>
              <w:jc w:val="center"/>
              <w:rPr>
                <w:b/>
                <w:noProof/>
                <w:sz w:val="22"/>
              </w:rPr>
            </w:pPr>
            <w:r>
              <w:rPr>
                <w:b/>
                <w:noProof/>
                <w:sz w:val="22"/>
              </w:rPr>
              <w:t>ans après l’entrée en vigueur</w:t>
            </w:r>
          </w:p>
        </w:tc>
        <w:tc>
          <w:tcPr>
            <w:tcW w:w="418" w:type="pct"/>
          </w:tcPr>
          <w:p>
            <w:pPr>
              <w:jc w:val="center"/>
              <w:rPr>
                <w:b/>
                <w:noProof/>
                <w:sz w:val="22"/>
              </w:rPr>
            </w:pPr>
            <w:r>
              <w:rPr>
                <w:b/>
                <w:noProof/>
                <w:sz w:val="22"/>
              </w:rPr>
              <w:t>5</w:t>
            </w:r>
          </w:p>
          <w:p>
            <w:pPr>
              <w:jc w:val="center"/>
              <w:rPr>
                <w:b/>
                <w:noProof/>
                <w:sz w:val="22"/>
              </w:rPr>
            </w:pPr>
            <w:r>
              <w:rPr>
                <w:b/>
                <w:noProof/>
                <w:sz w:val="22"/>
              </w:rPr>
              <w:t>ans après l’entrée en vigueur</w:t>
            </w:r>
          </w:p>
        </w:tc>
        <w:tc>
          <w:tcPr>
            <w:tcW w:w="418" w:type="pct"/>
          </w:tcPr>
          <w:p>
            <w:pPr>
              <w:jc w:val="center"/>
              <w:rPr>
                <w:b/>
                <w:noProof/>
                <w:sz w:val="22"/>
              </w:rPr>
            </w:pPr>
            <w:r>
              <w:rPr>
                <w:b/>
                <w:noProof/>
                <w:sz w:val="22"/>
              </w:rPr>
              <w:t>6</w:t>
            </w:r>
          </w:p>
          <w:p>
            <w:pPr>
              <w:jc w:val="center"/>
              <w:rPr>
                <w:b/>
                <w:noProof/>
                <w:sz w:val="22"/>
              </w:rPr>
            </w:pPr>
            <w:r>
              <w:rPr>
                <w:b/>
                <w:noProof/>
                <w:sz w:val="22"/>
              </w:rPr>
              <w:t>ans après l’entrée en vigueur</w:t>
            </w:r>
          </w:p>
        </w:tc>
        <w:tc>
          <w:tcPr>
            <w:tcW w:w="418" w:type="pct"/>
          </w:tcPr>
          <w:p>
            <w:pPr>
              <w:jc w:val="center"/>
              <w:rPr>
                <w:b/>
                <w:noProof/>
                <w:sz w:val="22"/>
              </w:rPr>
            </w:pPr>
            <w:r>
              <w:rPr>
                <w:b/>
                <w:noProof/>
                <w:sz w:val="22"/>
              </w:rPr>
              <w:t>7</w:t>
            </w:r>
          </w:p>
          <w:p>
            <w:pPr>
              <w:jc w:val="center"/>
              <w:rPr>
                <w:b/>
                <w:noProof/>
                <w:sz w:val="22"/>
              </w:rPr>
            </w:pPr>
            <w:r>
              <w:rPr>
                <w:b/>
                <w:noProof/>
                <w:sz w:val="22"/>
              </w:rPr>
              <w:t>ans après l’entrée en vigueur</w:t>
            </w:r>
          </w:p>
        </w:tc>
        <w:tc>
          <w:tcPr>
            <w:tcW w:w="418" w:type="pct"/>
          </w:tcPr>
          <w:p>
            <w:pPr>
              <w:jc w:val="center"/>
              <w:rPr>
                <w:b/>
                <w:noProof/>
                <w:sz w:val="22"/>
              </w:rPr>
            </w:pPr>
            <w:r>
              <w:rPr>
                <w:b/>
                <w:noProof/>
                <w:sz w:val="22"/>
              </w:rPr>
              <w:t>8</w:t>
            </w:r>
          </w:p>
          <w:p>
            <w:pPr>
              <w:jc w:val="center"/>
              <w:rPr>
                <w:b/>
                <w:noProof/>
                <w:sz w:val="22"/>
              </w:rPr>
            </w:pPr>
            <w:r>
              <w:rPr>
                <w:b/>
                <w:noProof/>
                <w:sz w:val="22"/>
              </w:rPr>
              <w:t>ans après l’entrée en vigueur</w:t>
            </w:r>
          </w:p>
        </w:tc>
        <w:tc>
          <w:tcPr>
            <w:tcW w:w="418" w:type="pct"/>
          </w:tcPr>
          <w:p>
            <w:pPr>
              <w:jc w:val="center"/>
              <w:rPr>
                <w:b/>
                <w:noProof/>
                <w:sz w:val="22"/>
              </w:rPr>
            </w:pPr>
            <w:r>
              <w:rPr>
                <w:b/>
                <w:noProof/>
                <w:sz w:val="22"/>
              </w:rPr>
              <w:t>9</w:t>
            </w:r>
          </w:p>
          <w:p>
            <w:pPr>
              <w:jc w:val="center"/>
              <w:rPr>
                <w:b/>
                <w:noProof/>
                <w:sz w:val="22"/>
              </w:rPr>
            </w:pPr>
            <w:r>
              <w:rPr>
                <w:b/>
                <w:noProof/>
                <w:sz w:val="22"/>
              </w:rPr>
              <w:t>ans après l’entrée en vigueur</w:t>
            </w:r>
          </w:p>
        </w:tc>
        <w:tc>
          <w:tcPr>
            <w:tcW w:w="421" w:type="pct"/>
          </w:tcPr>
          <w:p>
            <w:pPr>
              <w:jc w:val="center"/>
              <w:rPr>
                <w:b/>
                <w:noProof/>
                <w:sz w:val="22"/>
              </w:rPr>
            </w:pPr>
            <w:r>
              <w:rPr>
                <w:b/>
                <w:noProof/>
                <w:sz w:val="22"/>
              </w:rPr>
              <w:t>10</w:t>
            </w:r>
          </w:p>
          <w:p>
            <w:pPr>
              <w:jc w:val="center"/>
              <w:rPr>
                <w:b/>
                <w:noProof/>
                <w:sz w:val="22"/>
              </w:rPr>
            </w:pPr>
            <w:r>
              <w:rPr>
                <w:b/>
                <w:noProof/>
                <w:sz w:val="22"/>
              </w:rPr>
              <w:t>ans après l’entrée en vigueur</w:t>
            </w:r>
          </w:p>
        </w:tc>
      </w:tr>
      <w:tr>
        <w:trPr>
          <w:trHeight w:val="255"/>
          <w:jc w:val="center"/>
        </w:trPr>
        <w:tc>
          <w:tcPr>
            <w:tcW w:w="523" w:type="pct"/>
            <w:vAlign w:val="center"/>
          </w:tcPr>
          <w:p>
            <w:pPr>
              <w:jc w:val="center"/>
              <w:rPr>
                <w:noProof/>
                <w:sz w:val="22"/>
              </w:rPr>
            </w:pPr>
            <w:r>
              <w:rPr>
                <w:noProof/>
                <w:sz w:val="22"/>
              </w:rPr>
              <w:t>A</w:t>
            </w:r>
          </w:p>
        </w:tc>
        <w:tc>
          <w:tcPr>
            <w:tcW w:w="293" w:type="pct"/>
            <w:vAlign w:val="center"/>
          </w:tcPr>
          <w:p>
            <w:pPr>
              <w:jc w:val="center"/>
              <w:rPr>
                <w:noProof/>
                <w:sz w:val="22"/>
              </w:rPr>
            </w:pPr>
            <w:r>
              <w:rPr>
                <w:noProof/>
                <w:sz w:val="22"/>
              </w:rPr>
              <w:t>0,0</w:t>
            </w:r>
          </w:p>
        </w:tc>
        <w:tc>
          <w:tcPr>
            <w:tcW w:w="418" w:type="pct"/>
            <w:vAlign w:val="center"/>
          </w:tcPr>
          <w:p>
            <w:pPr>
              <w:jc w:val="center"/>
              <w:rPr>
                <w:noProof/>
                <w:sz w:val="22"/>
              </w:rPr>
            </w:pPr>
            <w:r>
              <w:rPr>
                <w:noProof/>
                <w:sz w:val="22"/>
              </w:rPr>
              <w:t>0,0</w:t>
            </w:r>
          </w:p>
        </w:tc>
        <w:tc>
          <w:tcPr>
            <w:tcW w:w="418" w:type="pct"/>
            <w:vAlign w:val="center"/>
          </w:tcPr>
          <w:p>
            <w:pPr>
              <w:jc w:val="center"/>
              <w:rPr>
                <w:noProof/>
                <w:sz w:val="22"/>
              </w:rPr>
            </w:pPr>
            <w:r>
              <w:rPr>
                <w:noProof/>
                <w:sz w:val="22"/>
              </w:rPr>
              <w:t>0,0</w:t>
            </w:r>
          </w:p>
        </w:tc>
        <w:tc>
          <w:tcPr>
            <w:tcW w:w="418" w:type="pct"/>
            <w:vAlign w:val="center"/>
          </w:tcPr>
          <w:p>
            <w:pPr>
              <w:jc w:val="center"/>
              <w:rPr>
                <w:noProof/>
                <w:sz w:val="22"/>
              </w:rPr>
            </w:pPr>
            <w:r>
              <w:rPr>
                <w:noProof/>
                <w:sz w:val="22"/>
              </w:rPr>
              <w:t>0,0</w:t>
            </w:r>
          </w:p>
        </w:tc>
        <w:tc>
          <w:tcPr>
            <w:tcW w:w="418" w:type="pct"/>
            <w:vAlign w:val="center"/>
          </w:tcPr>
          <w:p>
            <w:pPr>
              <w:jc w:val="center"/>
              <w:rPr>
                <w:noProof/>
                <w:sz w:val="22"/>
              </w:rPr>
            </w:pPr>
            <w:r>
              <w:rPr>
                <w:noProof/>
                <w:sz w:val="22"/>
              </w:rPr>
              <w:t>0,0</w:t>
            </w:r>
          </w:p>
        </w:tc>
        <w:tc>
          <w:tcPr>
            <w:tcW w:w="418" w:type="pct"/>
            <w:vAlign w:val="center"/>
          </w:tcPr>
          <w:p>
            <w:pPr>
              <w:jc w:val="center"/>
              <w:rPr>
                <w:noProof/>
                <w:sz w:val="22"/>
              </w:rPr>
            </w:pPr>
            <w:r>
              <w:rPr>
                <w:noProof/>
                <w:sz w:val="22"/>
              </w:rPr>
              <w:t>0,0</w:t>
            </w:r>
          </w:p>
        </w:tc>
        <w:tc>
          <w:tcPr>
            <w:tcW w:w="418" w:type="pct"/>
            <w:vAlign w:val="center"/>
          </w:tcPr>
          <w:p>
            <w:pPr>
              <w:jc w:val="center"/>
              <w:rPr>
                <w:noProof/>
                <w:sz w:val="22"/>
              </w:rPr>
            </w:pPr>
            <w:r>
              <w:rPr>
                <w:noProof/>
                <w:sz w:val="22"/>
              </w:rPr>
              <w:t>0,0</w:t>
            </w:r>
          </w:p>
        </w:tc>
        <w:tc>
          <w:tcPr>
            <w:tcW w:w="418" w:type="pct"/>
            <w:vAlign w:val="center"/>
          </w:tcPr>
          <w:p>
            <w:pPr>
              <w:jc w:val="center"/>
              <w:rPr>
                <w:noProof/>
                <w:sz w:val="22"/>
              </w:rPr>
            </w:pPr>
            <w:r>
              <w:rPr>
                <w:noProof/>
                <w:sz w:val="22"/>
              </w:rPr>
              <w:t>0,0</w:t>
            </w:r>
          </w:p>
        </w:tc>
        <w:tc>
          <w:tcPr>
            <w:tcW w:w="418" w:type="pct"/>
            <w:vAlign w:val="center"/>
          </w:tcPr>
          <w:p>
            <w:pPr>
              <w:jc w:val="center"/>
              <w:rPr>
                <w:noProof/>
                <w:sz w:val="22"/>
              </w:rPr>
            </w:pPr>
            <w:r>
              <w:rPr>
                <w:noProof/>
                <w:sz w:val="22"/>
              </w:rPr>
              <w:t>0,0</w:t>
            </w:r>
          </w:p>
        </w:tc>
        <w:tc>
          <w:tcPr>
            <w:tcW w:w="418" w:type="pct"/>
            <w:vAlign w:val="center"/>
          </w:tcPr>
          <w:p>
            <w:pPr>
              <w:jc w:val="center"/>
              <w:rPr>
                <w:noProof/>
                <w:sz w:val="22"/>
              </w:rPr>
            </w:pPr>
            <w:r>
              <w:rPr>
                <w:noProof/>
                <w:sz w:val="22"/>
              </w:rPr>
              <w:t>0,0</w:t>
            </w:r>
          </w:p>
        </w:tc>
        <w:tc>
          <w:tcPr>
            <w:tcW w:w="421" w:type="pct"/>
          </w:tcPr>
          <w:p>
            <w:pPr>
              <w:jc w:val="center"/>
              <w:rPr>
                <w:noProof/>
                <w:sz w:val="22"/>
              </w:rPr>
            </w:pPr>
            <w:r>
              <w:rPr>
                <w:noProof/>
                <w:sz w:val="22"/>
              </w:rPr>
              <w:t>0,0</w:t>
            </w:r>
          </w:p>
        </w:tc>
      </w:tr>
      <w:tr>
        <w:trPr>
          <w:trHeight w:val="255"/>
          <w:jc w:val="center"/>
        </w:trPr>
        <w:tc>
          <w:tcPr>
            <w:tcW w:w="523" w:type="pct"/>
            <w:vAlign w:val="center"/>
          </w:tcPr>
          <w:p>
            <w:pPr>
              <w:jc w:val="center"/>
              <w:rPr>
                <w:noProof/>
                <w:sz w:val="22"/>
              </w:rPr>
            </w:pPr>
            <w:r>
              <w:rPr>
                <w:noProof/>
                <w:sz w:val="22"/>
              </w:rPr>
              <w:t>B1</w:t>
            </w:r>
          </w:p>
        </w:tc>
        <w:tc>
          <w:tcPr>
            <w:tcW w:w="293" w:type="pct"/>
            <w:vAlign w:val="center"/>
          </w:tcPr>
          <w:p>
            <w:pPr>
              <w:jc w:val="center"/>
              <w:rPr>
                <w:noProof/>
                <w:sz w:val="22"/>
              </w:rPr>
            </w:pPr>
            <w:r>
              <w:rPr>
                <w:noProof/>
                <w:sz w:val="22"/>
              </w:rPr>
              <w:t>20,0</w:t>
            </w:r>
          </w:p>
        </w:tc>
        <w:tc>
          <w:tcPr>
            <w:tcW w:w="418" w:type="pct"/>
            <w:vAlign w:val="center"/>
          </w:tcPr>
          <w:p>
            <w:pPr>
              <w:jc w:val="center"/>
              <w:rPr>
                <w:noProof/>
                <w:sz w:val="22"/>
              </w:rPr>
            </w:pPr>
            <w:r>
              <w:rPr>
                <w:noProof/>
                <w:sz w:val="22"/>
              </w:rPr>
              <w:t>20,0</w:t>
            </w:r>
          </w:p>
        </w:tc>
        <w:tc>
          <w:tcPr>
            <w:tcW w:w="418" w:type="pct"/>
            <w:vAlign w:val="center"/>
          </w:tcPr>
          <w:p>
            <w:pPr>
              <w:jc w:val="center"/>
              <w:rPr>
                <w:noProof/>
                <w:sz w:val="22"/>
              </w:rPr>
            </w:pPr>
            <w:r>
              <w:rPr>
                <w:noProof/>
                <w:sz w:val="22"/>
              </w:rPr>
              <w:t>15,0</w:t>
            </w:r>
          </w:p>
        </w:tc>
        <w:tc>
          <w:tcPr>
            <w:tcW w:w="418" w:type="pct"/>
            <w:vAlign w:val="center"/>
          </w:tcPr>
          <w:p>
            <w:pPr>
              <w:jc w:val="center"/>
              <w:rPr>
                <w:noProof/>
                <w:sz w:val="22"/>
              </w:rPr>
            </w:pPr>
            <w:r>
              <w:rPr>
                <w:noProof/>
                <w:sz w:val="22"/>
              </w:rPr>
              <w:t>10,0</w:t>
            </w:r>
          </w:p>
        </w:tc>
        <w:tc>
          <w:tcPr>
            <w:tcW w:w="418" w:type="pct"/>
            <w:vAlign w:val="center"/>
          </w:tcPr>
          <w:p>
            <w:pPr>
              <w:jc w:val="center"/>
              <w:rPr>
                <w:noProof/>
                <w:sz w:val="22"/>
              </w:rPr>
            </w:pPr>
            <w:r>
              <w:rPr>
                <w:noProof/>
                <w:sz w:val="22"/>
              </w:rPr>
              <w:t>5,0</w:t>
            </w:r>
          </w:p>
        </w:tc>
        <w:tc>
          <w:tcPr>
            <w:tcW w:w="418" w:type="pct"/>
            <w:vAlign w:val="center"/>
          </w:tcPr>
          <w:p>
            <w:pPr>
              <w:jc w:val="center"/>
              <w:rPr>
                <w:noProof/>
                <w:sz w:val="22"/>
              </w:rPr>
            </w:pPr>
            <w:r>
              <w:rPr>
                <w:noProof/>
                <w:sz w:val="22"/>
              </w:rPr>
              <w:t>0,0</w:t>
            </w:r>
          </w:p>
        </w:tc>
        <w:tc>
          <w:tcPr>
            <w:tcW w:w="418" w:type="pct"/>
            <w:vAlign w:val="center"/>
          </w:tcPr>
          <w:p>
            <w:pPr>
              <w:jc w:val="center"/>
              <w:rPr>
                <w:noProof/>
                <w:sz w:val="22"/>
              </w:rPr>
            </w:pPr>
          </w:p>
        </w:tc>
        <w:tc>
          <w:tcPr>
            <w:tcW w:w="418" w:type="pct"/>
            <w:vAlign w:val="center"/>
          </w:tcPr>
          <w:p>
            <w:pPr>
              <w:jc w:val="center"/>
              <w:rPr>
                <w:noProof/>
                <w:sz w:val="22"/>
              </w:rPr>
            </w:pPr>
          </w:p>
        </w:tc>
        <w:tc>
          <w:tcPr>
            <w:tcW w:w="418" w:type="pct"/>
            <w:vAlign w:val="center"/>
          </w:tcPr>
          <w:p>
            <w:pPr>
              <w:jc w:val="center"/>
              <w:rPr>
                <w:noProof/>
                <w:sz w:val="22"/>
              </w:rPr>
            </w:pPr>
          </w:p>
        </w:tc>
        <w:tc>
          <w:tcPr>
            <w:tcW w:w="418" w:type="pct"/>
            <w:vAlign w:val="center"/>
          </w:tcPr>
          <w:p>
            <w:pPr>
              <w:jc w:val="center"/>
              <w:rPr>
                <w:noProof/>
                <w:sz w:val="22"/>
              </w:rPr>
            </w:pPr>
          </w:p>
        </w:tc>
        <w:tc>
          <w:tcPr>
            <w:tcW w:w="421" w:type="pct"/>
          </w:tcPr>
          <w:p>
            <w:pPr>
              <w:jc w:val="center"/>
              <w:rPr>
                <w:noProof/>
                <w:sz w:val="22"/>
              </w:rPr>
            </w:pPr>
          </w:p>
        </w:tc>
      </w:tr>
      <w:tr>
        <w:trPr>
          <w:trHeight w:val="255"/>
          <w:jc w:val="center"/>
        </w:trPr>
        <w:tc>
          <w:tcPr>
            <w:tcW w:w="523" w:type="pct"/>
            <w:vAlign w:val="center"/>
          </w:tcPr>
          <w:p>
            <w:pPr>
              <w:jc w:val="center"/>
              <w:rPr>
                <w:noProof/>
                <w:sz w:val="22"/>
              </w:rPr>
            </w:pPr>
            <w:r>
              <w:rPr>
                <w:noProof/>
                <w:sz w:val="22"/>
              </w:rPr>
              <w:t>B21</w:t>
            </w:r>
          </w:p>
        </w:tc>
        <w:tc>
          <w:tcPr>
            <w:tcW w:w="293" w:type="pct"/>
            <w:vAlign w:val="center"/>
          </w:tcPr>
          <w:p>
            <w:pPr>
              <w:jc w:val="center"/>
              <w:rPr>
                <w:noProof/>
                <w:sz w:val="22"/>
              </w:rPr>
            </w:pPr>
            <w:r>
              <w:rPr>
                <w:noProof/>
                <w:sz w:val="22"/>
              </w:rPr>
              <w:t>7,5</w:t>
            </w:r>
          </w:p>
        </w:tc>
        <w:tc>
          <w:tcPr>
            <w:tcW w:w="418" w:type="pct"/>
            <w:vAlign w:val="center"/>
          </w:tcPr>
          <w:p>
            <w:pPr>
              <w:jc w:val="center"/>
              <w:rPr>
                <w:noProof/>
                <w:sz w:val="22"/>
              </w:rPr>
            </w:pPr>
            <w:r>
              <w:rPr>
                <w:noProof/>
                <w:sz w:val="22"/>
              </w:rPr>
              <w:t>7,5</w:t>
            </w:r>
          </w:p>
        </w:tc>
        <w:tc>
          <w:tcPr>
            <w:tcW w:w="418" w:type="pct"/>
            <w:vAlign w:val="center"/>
          </w:tcPr>
          <w:p>
            <w:pPr>
              <w:jc w:val="center"/>
              <w:rPr>
                <w:noProof/>
                <w:sz w:val="22"/>
              </w:rPr>
            </w:pPr>
            <w:r>
              <w:rPr>
                <w:noProof/>
                <w:sz w:val="22"/>
              </w:rPr>
              <w:t>5,0</w:t>
            </w:r>
          </w:p>
        </w:tc>
        <w:tc>
          <w:tcPr>
            <w:tcW w:w="418" w:type="pct"/>
            <w:vAlign w:val="center"/>
          </w:tcPr>
          <w:p>
            <w:pPr>
              <w:jc w:val="center"/>
              <w:rPr>
                <w:noProof/>
                <w:sz w:val="22"/>
              </w:rPr>
            </w:pPr>
            <w:r>
              <w:rPr>
                <w:noProof/>
                <w:sz w:val="22"/>
              </w:rPr>
              <w:t>5,0</w:t>
            </w:r>
          </w:p>
        </w:tc>
        <w:tc>
          <w:tcPr>
            <w:tcW w:w="418" w:type="pct"/>
            <w:vAlign w:val="center"/>
          </w:tcPr>
          <w:p>
            <w:pPr>
              <w:jc w:val="center"/>
              <w:rPr>
                <w:noProof/>
                <w:sz w:val="22"/>
              </w:rPr>
            </w:pPr>
            <w:r>
              <w:rPr>
                <w:noProof/>
                <w:sz w:val="22"/>
              </w:rPr>
              <w:t>2,5</w:t>
            </w:r>
          </w:p>
        </w:tc>
        <w:tc>
          <w:tcPr>
            <w:tcW w:w="418" w:type="pct"/>
            <w:vAlign w:val="center"/>
          </w:tcPr>
          <w:p>
            <w:pPr>
              <w:jc w:val="center"/>
              <w:rPr>
                <w:noProof/>
                <w:sz w:val="22"/>
              </w:rPr>
            </w:pPr>
            <w:r>
              <w:rPr>
                <w:noProof/>
                <w:sz w:val="22"/>
              </w:rPr>
              <w:t>0,0</w:t>
            </w:r>
          </w:p>
        </w:tc>
        <w:tc>
          <w:tcPr>
            <w:tcW w:w="418" w:type="pct"/>
            <w:vAlign w:val="center"/>
          </w:tcPr>
          <w:p>
            <w:pPr>
              <w:jc w:val="center"/>
              <w:rPr>
                <w:noProof/>
                <w:sz w:val="22"/>
              </w:rPr>
            </w:pPr>
          </w:p>
        </w:tc>
        <w:tc>
          <w:tcPr>
            <w:tcW w:w="418" w:type="pct"/>
            <w:vAlign w:val="center"/>
          </w:tcPr>
          <w:p>
            <w:pPr>
              <w:jc w:val="center"/>
              <w:rPr>
                <w:noProof/>
                <w:sz w:val="22"/>
              </w:rPr>
            </w:pPr>
          </w:p>
        </w:tc>
        <w:tc>
          <w:tcPr>
            <w:tcW w:w="418" w:type="pct"/>
            <w:vAlign w:val="center"/>
          </w:tcPr>
          <w:p>
            <w:pPr>
              <w:jc w:val="center"/>
              <w:rPr>
                <w:noProof/>
                <w:sz w:val="22"/>
              </w:rPr>
            </w:pPr>
          </w:p>
        </w:tc>
        <w:tc>
          <w:tcPr>
            <w:tcW w:w="418" w:type="pct"/>
            <w:vAlign w:val="center"/>
          </w:tcPr>
          <w:p>
            <w:pPr>
              <w:jc w:val="center"/>
              <w:rPr>
                <w:noProof/>
                <w:sz w:val="22"/>
              </w:rPr>
            </w:pPr>
          </w:p>
        </w:tc>
        <w:tc>
          <w:tcPr>
            <w:tcW w:w="421" w:type="pct"/>
          </w:tcPr>
          <w:p>
            <w:pPr>
              <w:jc w:val="center"/>
              <w:rPr>
                <w:noProof/>
                <w:sz w:val="22"/>
              </w:rPr>
            </w:pPr>
          </w:p>
        </w:tc>
      </w:tr>
      <w:tr>
        <w:trPr>
          <w:trHeight w:val="255"/>
          <w:jc w:val="center"/>
        </w:trPr>
        <w:tc>
          <w:tcPr>
            <w:tcW w:w="523" w:type="pct"/>
            <w:vAlign w:val="center"/>
          </w:tcPr>
          <w:p>
            <w:pPr>
              <w:jc w:val="center"/>
              <w:rPr>
                <w:noProof/>
                <w:sz w:val="22"/>
              </w:rPr>
            </w:pPr>
            <w:r>
              <w:rPr>
                <w:noProof/>
                <w:sz w:val="22"/>
              </w:rPr>
              <w:t>B22</w:t>
            </w:r>
          </w:p>
        </w:tc>
        <w:tc>
          <w:tcPr>
            <w:tcW w:w="293" w:type="pct"/>
            <w:vAlign w:val="center"/>
          </w:tcPr>
          <w:p>
            <w:pPr>
              <w:jc w:val="center"/>
              <w:rPr>
                <w:noProof/>
                <w:sz w:val="22"/>
              </w:rPr>
            </w:pPr>
            <w:r>
              <w:rPr>
                <w:noProof/>
                <w:sz w:val="22"/>
              </w:rPr>
              <w:t>5,0</w:t>
            </w:r>
          </w:p>
        </w:tc>
        <w:tc>
          <w:tcPr>
            <w:tcW w:w="418" w:type="pct"/>
            <w:vAlign w:val="center"/>
          </w:tcPr>
          <w:p>
            <w:pPr>
              <w:jc w:val="center"/>
              <w:rPr>
                <w:noProof/>
                <w:sz w:val="22"/>
              </w:rPr>
            </w:pPr>
            <w:r>
              <w:rPr>
                <w:noProof/>
                <w:sz w:val="22"/>
              </w:rPr>
              <w:t>5,0</w:t>
            </w:r>
          </w:p>
        </w:tc>
        <w:tc>
          <w:tcPr>
            <w:tcW w:w="418" w:type="pct"/>
            <w:vAlign w:val="center"/>
          </w:tcPr>
          <w:p>
            <w:pPr>
              <w:jc w:val="center"/>
              <w:rPr>
                <w:noProof/>
                <w:sz w:val="22"/>
              </w:rPr>
            </w:pPr>
            <w:r>
              <w:rPr>
                <w:noProof/>
                <w:sz w:val="22"/>
              </w:rPr>
              <w:t>5,0</w:t>
            </w:r>
          </w:p>
        </w:tc>
        <w:tc>
          <w:tcPr>
            <w:tcW w:w="418" w:type="pct"/>
            <w:vAlign w:val="center"/>
          </w:tcPr>
          <w:p>
            <w:pPr>
              <w:jc w:val="center"/>
              <w:rPr>
                <w:noProof/>
                <w:sz w:val="22"/>
              </w:rPr>
            </w:pPr>
            <w:r>
              <w:rPr>
                <w:noProof/>
                <w:sz w:val="22"/>
              </w:rPr>
              <w:t>2,5</w:t>
            </w:r>
          </w:p>
        </w:tc>
        <w:tc>
          <w:tcPr>
            <w:tcW w:w="418" w:type="pct"/>
            <w:vAlign w:val="center"/>
          </w:tcPr>
          <w:p>
            <w:pPr>
              <w:jc w:val="center"/>
              <w:rPr>
                <w:noProof/>
                <w:sz w:val="22"/>
              </w:rPr>
            </w:pPr>
            <w:r>
              <w:rPr>
                <w:noProof/>
                <w:sz w:val="22"/>
              </w:rPr>
              <w:t>2,0</w:t>
            </w:r>
          </w:p>
        </w:tc>
        <w:tc>
          <w:tcPr>
            <w:tcW w:w="418" w:type="pct"/>
            <w:vAlign w:val="center"/>
          </w:tcPr>
          <w:p>
            <w:pPr>
              <w:jc w:val="center"/>
              <w:rPr>
                <w:noProof/>
                <w:sz w:val="22"/>
              </w:rPr>
            </w:pPr>
            <w:r>
              <w:rPr>
                <w:noProof/>
                <w:sz w:val="22"/>
              </w:rPr>
              <w:t>0,0</w:t>
            </w:r>
          </w:p>
        </w:tc>
        <w:tc>
          <w:tcPr>
            <w:tcW w:w="418" w:type="pct"/>
            <w:vAlign w:val="center"/>
          </w:tcPr>
          <w:p>
            <w:pPr>
              <w:jc w:val="center"/>
              <w:rPr>
                <w:noProof/>
                <w:sz w:val="22"/>
              </w:rPr>
            </w:pPr>
          </w:p>
        </w:tc>
        <w:tc>
          <w:tcPr>
            <w:tcW w:w="418" w:type="pct"/>
            <w:vAlign w:val="center"/>
          </w:tcPr>
          <w:p>
            <w:pPr>
              <w:jc w:val="center"/>
              <w:rPr>
                <w:noProof/>
                <w:sz w:val="22"/>
              </w:rPr>
            </w:pPr>
          </w:p>
        </w:tc>
        <w:tc>
          <w:tcPr>
            <w:tcW w:w="418" w:type="pct"/>
            <w:vAlign w:val="center"/>
          </w:tcPr>
          <w:p>
            <w:pPr>
              <w:jc w:val="center"/>
              <w:rPr>
                <w:noProof/>
                <w:sz w:val="22"/>
              </w:rPr>
            </w:pPr>
          </w:p>
        </w:tc>
        <w:tc>
          <w:tcPr>
            <w:tcW w:w="418" w:type="pct"/>
            <w:vAlign w:val="center"/>
          </w:tcPr>
          <w:p>
            <w:pPr>
              <w:jc w:val="center"/>
              <w:rPr>
                <w:noProof/>
                <w:sz w:val="22"/>
              </w:rPr>
            </w:pPr>
          </w:p>
        </w:tc>
        <w:tc>
          <w:tcPr>
            <w:tcW w:w="421" w:type="pct"/>
          </w:tcPr>
          <w:p>
            <w:pPr>
              <w:jc w:val="center"/>
              <w:rPr>
                <w:noProof/>
                <w:sz w:val="22"/>
              </w:rPr>
            </w:pPr>
          </w:p>
        </w:tc>
      </w:tr>
      <w:tr>
        <w:trPr>
          <w:trHeight w:val="255"/>
          <w:jc w:val="center"/>
        </w:trPr>
        <w:tc>
          <w:tcPr>
            <w:tcW w:w="523" w:type="pct"/>
            <w:vAlign w:val="center"/>
          </w:tcPr>
          <w:p>
            <w:pPr>
              <w:jc w:val="center"/>
              <w:rPr>
                <w:noProof/>
                <w:sz w:val="22"/>
              </w:rPr>
            </w:pPr>
            <w:r>
              <w:rPr>
                <w:noProof/>
                <w:sz w:val="22"/>
              </w:rPr>
              <w:t>C1</w:t>
            </w:r>
          </w:p>
        </w:tc>
        <w:tc>
          <w:tcPr>
            <w:tcW w:w="293" w:type="pct"/>
            <w:vAlign w:val="center"/>
          </w:tcPr>
          <w:p>
            <w:pPr>
              <w:jc w:val="center"/>
              <w:rPr>
                <w:noProof/>
                <w:sz w:val="22"/>
              </w:rPr>
            </w:pPr>
            <w:r>
              <w:rPr>
                <w:noProof/>
                <w:sz w:val="22"/>
              </w:rPr>
              <w:t>20,0</w:t>
            </w:r>
          </w:p>
        </w:tc>
        <w:tc>
          <w:tcPr>
            <w:tcW w:w="418" w:type="pct"/>
            <w:vAlign w:val="center"/>
          </w:tcPr>
          <w:p>
            <w:pPr>
              <w:jc w:val="center"/>
              <w:rPr>
                <w:noProof/>
                <w:sz w:val="22"/>
              </w:rPr>
            </w:pPr>
            <w:r>
              <w:rPr>
                <w:noProof/>
                <w:sz w:val="22"/>
              </w:rPr>
              <w:t>20,0</w:t>
            </w:r>
          </w:p>
        </w:tc>
        <w:tc>
          <w:tcPr>
            <w:tcW w:w="418" w:type="pct"/>
            <w:vAlign w:val="center"/>
          </w:tcPr>
          <w:p>
            <w:pPr>
              <w:jc w:val="center"/>
              <w:rPr>
                <w:noProof/>
                <w:sz w:val="22"/>
              </w:rPr>
            </w:pPr>
            <w:r>
              <w:rPr>
                <w:noProof/>
                <w:sz w:val="22"/>
              </w:rPr>
              <w:t>20,0</w:t>
            </w:r>
          </w:p>
        </w:tc>
        <w:tc>
          <w:tcPr>
            <w:tcW w:w="418" w:type="pct"/>
            <w:vAlign w:val="center"/>
          </w:tcPr>
          <w:p>
            <w:pPr>
              <w:jc w:val="center"/>
              <w:rPr>
                <w:noProof/>
                <w:sz w:val="22"/>
              </w:rPr>
            </w:pPr>
            <w:r>
              <w:rPr>
                <w:noProof/>
                <w:sz w:val="22"/>
              </w:rPr>
              <w:t>20,0</w:t>
            </w:r>
          </w:p>
        </w:tc>
        <w:tc>
          <w:tcPr>
            <w:tcW w:w="418" w:type="pct"/>
            <w:vAlign w:val="center"/>
          </w:tcPr>
          <w:p>
            <w:pPr>
              <w:jc w:val="center"/>
              <w:rPr>
                <w:noProof/>
                <w:sz w:val="22"/>
              </w:rPr>
            </w:pPr>
            <w:r>
              <w:rPr>
                <w:noProof/>
                <w:sz w:val="22"/>
              </w:rPr>
              <w:t>20,0</w:t>
            </w:r>
          </w:p>
        </w:tc>
        <w:tc>
          <w:tcPr>
            <w:tcW w:w="418" w:type="pct"/>
            <w:vAlign w:val="center"/>
          </w:tcPr>
          <w:p>
            <w:pPr>
              <w:jc w:val="center"/>
              <w:rPr>
                <w:noProof/>
                <w:sz w:val="22"/>
              </w:rPr>
            </w:pPr>
            <w:r>
              <w:rPr>
                <w:noProof/>
                <w:sz w:val="22"/>
              </w:rPr>
              <w:t>20,0</w:t>
            </w:r>
          </w:p>
        </w:tc>
        <w:tc>
          <w:tcPr>
            <w:tcW w:w="418" w:type="pct"/>
            <w:vAlign w:val="center"/>
          </w:tcPr>
          <w:p>
            <w:pPr>
              <w:jc w:val="center"/>
              <w:rPr>
                <w:noProof/>
                <w:sz w:val="22"/>
              </w:rPr>
            </w:pPr>
            <w:r>
              <w:rPr>
                <w:noProof/>
                <w:sz w:val="22"/>
              </w:rPr>
              <w:t>15,0</w:t>
            </w:r>
          </w:p>
        </w:tc>
        <w:tc>
          <w:tcPr>
            <w:tcW w:w="418" w:type="pct"/>
            <w:vAlign w:val="center"/>
          </w:tcPr>
          <w:p>
            <w:pPr>
              <w:jc w:val="center"/>
              <w:rPr>
                <w:noProof/>
                <w:sz w:val="22"/>
              </w:rPr>
            </w:pPr>
            <w:r>
              <w:rPr>
                <w:noProof/>
                <w:sz w:val="22"/>
              </w:rPr>
              <w:t>10,0</w:t>
            </w:r>
          </w:p>
        </w:tc>
        <w:tc>
          <w:tcPr>
            <w:tcW w:w="418" w:type="pct"/>
            <w:vAlign w:val="center"/>
          </w:tcPr>
          <w:p>
            <w:pPr>
              <w:jc w:val="center"/>
              <w:rPr>
                <w:noProof/>
                <w:sz w:val="22"/>
              </w:rPr>
            </w:pPr>
            <w:r>
              <w:rPr>
                <w:noProof/>
                <w:sz w:val="22"/>
              </w:rPr>
              <w:t>5,0</w:t>
            </w:r>
          </w:p>
        </w:tc>
        <w:tc>
          <w:tcPr>
            <w:tcW w:w="418" w:type="pct"/>
            <w:vAlign w:val="center"/>
          </w:tcPr>
          <w:p>
            <w:pPr>
              <w:jc w:val="center"/>
              <w:rPr>
                <w:noProof/>
                <w:sz w:val="22"/>
              </w:rPr>
            </w:pPr>
            <w:r>
              <w:rPr>
                <w:noProof/>
                <w:sz w:val="22"/>
              </w:rPr>
              <w:t>2,5</w:t>
            </w:r>
          </w:p>
        </w:tc>
        <w:tc>
          <w:tcPr>
            <w:tcW w:w="421" w:type="pct"/>
          </w:tcPr>
          <w:p>
            <w:pPr>
              <w:jc w:val="center"/>
              <w:rPr>
                <w:noProof/>
                <w:sz w:val="22"/>
              </w:rPr>
            </w:pPr>
            <w:r>
              <w:rPr>
                <w:noProof/>
                <w:sz w:val="22"/>
              </w:rPr>
              <w:t>0,0</w:t>
            </w:r>
          </w:p>
        </w:tc>
      </w:tr>
      <w:tr>
        <w:trPr>
          <w:trHeight w:val="255"/>
          <w:jc w:val="center"/>
        </w:trPr>
        <w:tc>
          <w:tcPr>
            <w:tcW w:w="523" w:type="pct"/>
            <w:vAlign w:val="center"/>
          </w:tcPr>
          <w:p>
            <w:pPr>
              <w:jc w:val="center"/>
              <w:rPr>
                <w:noProof/>
                <w:sz w:val="22"/>
              </w:rPr>
            </w:pPr>
            <w:r>
              <w:rPr>
                <w:noProof/>
                <w:sz w:val="22"/>
              </w:rPr>
              <w:t>C21</w:t>
            </w:r>
          </w:p>
        </w:tc>
        <w:tc>
          <w:tcPr>
            <w:tcW w:w="293" w:type="pct"/>
            <w:vAlign w:val="center"/>
          </w:tcPr>
          <w:p>
            <w:pPr>
              <w:jc w:val="center"/>
              <w:rPr>
                <w:noProof/>
                <w:sz w:val="22"/>
              </w:rPr>
            </w:pPr>
            <w:r>
              <w:rPr>
                <w:noProof/>
                <w:sz w:val="22"/>
              </w:rPr>
              <w:t>7,5</w:t>
            </w:r>
          </w:p>
        </w:tc>
        <w:tc>
          <w:tcPr>
            <w:tcW w:w="418" w:type="pct"/>
            <w:vAlign w:val="center"/>
          </w:tcPr>
          <w:p>
            <w:pPr>
              <w:jc w:val="center"/>
              <w:rPr>
                <w:noProof/>
                <w:sz w:val="22"/>
              </w:rPr>
            </w:pPr>
            <w:r>
              <w:rPr>
                <w:noProof/>
                <w:sz w:val="22"/>
              </w:rPr>
              <w:t>7,5</w:t>
            </w:r>
          </w:p>
        </w:tc>
        <w:tc>
          <w:tcPr>
            <w:tcW w:w="418" w:type="pct"/>
            <w:vAlign w:val="center"/>
          </w:tcPr>
          <w:p>
            <w:pPr>
              <w:jc w:val="center"/>
              <w:rPr>
                <w:noProof/>
                <w:sz w:val="22"/>
              </w:rPr>
            </w:pPr>
            <w:r>
              <w:rPr>
                <w:noProof/>
                <w:sz w:val="22"/>
              </w:rPr>
              <w:t>7,5</w:t>
            </w:r>
          </w:p>
        </w:tc>
        <w:tc>
          <w:tcPr>
            <w:tcW w:w="418" w:type="pct"/>
            <w:vAlign w:val="center"/>
          </w:tcPr>
          <w:p>
            <w:pPr>
              <w:jc w:val="center"/>
              <w:rPr>
                <w:noProof/>
                <w:sz w:val="22"/>
              </w:rPr>
            </w:pPr>
            <w:r>
              <w:rPr>
                <w:noProof/>
                <w:sz w:val="22"/>
              </w:rPr>
              <w:t>7,5</w:t>
            </w:r>
          </w:p>
        </w:tc>
        <w:tc>
          <w:tcPr>
            <w:tcW w:w="418" w:type="pct"/>
            <w:vAlign w:val="center"/>
          </w:tcPr>
          <w:p>
            <w:pPr>
              <w:jc w:val="center"/>
              <w:rPr>
                <w:noProof/>
                <w:sz w:val="22"/>
              </w:rPr>
            </w:pPr>
            <w:r>
              <w:rPr>
                <w:noProof/>
                <w:sz w:val="22"/>
              </w:rPr>
              <w:t>7,5</w:t>
            </w:r>
          </w:p>
        </w:tc>
        <w:tc>
          <w:tcPr>
            <w:tcW w:w="418" w:type="pct"/>
            <w:vAlign w:val="center"/>
          </w:tcPr>
          <w:p>
            <w:pPr>
              <w:jc w:val="center"/>
              <w:rPr>
                <w:noProof/>
                <w:sz w:val="22"/>
              </w:rPr>
            </w:pPr>
            <w:r>
              <w:rPr>
                <w:noProof/>
                <w:sz w:val="22"/>
              </w:rPr>
              <w:t>7,5</w:t>
            </w:r>
          </w:p>
        </w:tc>
        <w:tc>
          <w:tcPr>
            <w:tcW w:w="418" w:type="pct"/>
            <w:vAlign w:val="center"/>
          </w:tcPr>
          <w:p>
            <w:pPr>
              <w:jc w:val="center"/>
              <w:rPr>
                <w:noProof/>
                <w:sz w:val="22"/>
              </w:rPr>
            </w:pPr>
            <w:r>
              <w:rPr>
                <w:noProof/>
                <w:sz w:val="22"/>
              </w:rPr>
              <w:t>5,0</w:t>
            </w:r>
          </w:p>
        </w:tc>
        <w:tc>
          <w:tcPr>
            <w:tcW w:w="418" w:type="pct"/>
            <w:vAlign w:val="center"/>
          </w:tcPr>
          <w:p>
            <w:pPr>
              <w:jc w:val="center"/>
              <w:rPr>
                <w:noProof/>
                <w:sz w:val="22"/>
              </w:rPr>
            </w:pPr>
            <w:r>
              <w:rPr>
                <w:noProof/>
                <w:sz w:val="22"/>
              </w:rPr>
              <w:t>5,0</w:t>
            </w:r>
          </w:p>
        </w:tc>
        <w:tc>
          <w:tcPr>
            <w:tcW w:w="418" w:type="pct"/>
            <w:vAlign w:val="center"/>
          </w:tcPr>
          <w:p>
            <w:pPr>
              <w:jc w:val="center"/>
              <w:rPr>
                <w:noProof/>
                <w:sz w:val="22"/>
              </w:rPr>
            </w:pPr>
            <w:r>
              <w:rPr>
                <w:noProof/>
                <w:sz w:val="22"/>
              </w:rPr>
              <w:t>2,5</w:t>
            </w:r>
          </w:p>
        </w:tc>
        <w:tc>
          <w:tcPr>
            <w:tcW w:w="418" w:type="pct"/>
            <w:vAlign w:val="center"/>
          </w:tcPr>
          <w:p>
            <w:pPr>
              <w:jc w:val="center"/>
              <w:rPr>
                <w:noProof/>
                <w:sz w:val="22"/>
              </w:rPr>
            </w:pPr>
            <w:r>
              <w:rPr>
                <w:noProof/>
                <w:sz w:val="22"/>
              </w:rPr>
              <w:t>1,0</w:t>
            </w:r>
          </w:p>
        </w:tc>
        <w:tc>
          <w:tcPr>
            <w:tcW w:w="421" w:type="pct"/>
          </w:tcPr>
          <w:p>
            <w:pPr>
              <w:jc w:val="center"/>
              <w:rPr>
                <w:noProof/>
                <w:sz w:val="22"/>
              </w:rPr>
            </w:pPr>
            <w:r>
              <w:rPr>
                <w:noProof/>
                <w:sz w:val="22"/>
              </w:rPr>
              <w:t>0,0</w:t>
            </w:r>
          </w:p>
        </w:tc>
      </w:tr>
      <w:tr>
        <w:trPr>
          <w:trHeight w:val="255"/>
          <w:jc w:val="center"/>
        </w:trPr>
        <w:tc>
          <w:tcPr>
            <w:tcW w:w="523" w:type="pct"/>
            <w:vAlign w:val="center"/>
          </w:tcPr>
          <w:p>
            <w:pPr>
              <w:jc w:val="center"/>
              <w:rPr>
                <w:noProof/>
                <w:sz w:val="22"/>
              </w:rPr>
            </w:pPr>
            <w:r>
              <w:rPr>
                <w:noProof/>
                <w:sz w:val="22"/>
              </w:rPr>
              <w:t>C22</w:t>
            </w:r>
          </w:p>
        </w:tc>
        <w:tc>
          <w:tcPr>
            <w:tcW w:w="293" w:type="pct"/>
            <w:vAlign w:val="center"/>
          </w:tcPr>
          <w:p>
            <w:pPr>
              <w:jc w:val="center"/>
              <w:rPr>
                <w:noProof/>
                <w:sz w:val="22"/>
              </w:rPr>
            </w:pPr>
            <w:r>
              <w:rPr>
                <w:noProof/>
                <w:sz w:val="22"/>
              </w:rPr>
              <w:t>5,0</w:t>
            </w:r>
          </w:p>
        </w:tc>
        <w:tc>
          <w:tcPr>
            <w:tcW w:w="418" w:type="pct"/>
            <w:vAlign w:val="center"/>
          </w:tcPr>
          <w:p>
            <w:pPr>
              <w:jc w:val="center"/>
              <w:rPr>
                <w:noProof/>
                <w:sz w:val="22"/>
              </w:rPr>
            </w:pPr>
            <w:r>
              <w:rPr>
                <w:noProof/>
                <w:sz w:val="22"/>
              </w:rPr>
              <w:t>5,0</w:t>
            </w:r>
          </w:p>
        </w:tc>
        <w:tc>
          <w:tcPr>
            <w:tcW w:w="418" w:type="pct"/>
            <w:vAlign w:val="center"/>
          </w:tcPr>
          <w:p>
            <w:pPr>
              <w:jc w:val="center"/>
              <w:rPr>
                <w:noProof/>
                <w:sz w:val="22"/>
              </w:rPr>
            </w:pPr>
            <w:r>
              <w:rPr>
                <w:noProof/>
                <w:sz w:val="22"/>
              </w:rPr>
              <w:t>5,0</w:t>
            </w:r>
          </w:p>
        </w:tc>
        <w:tc>
          <w:tcPr>
            <w:tcW w:w="418" w:type="pct"/>
            <w:vAlign w:val="center"/>
          </w:tcPr>
          <w:p>
            <w:pPr>
              <w:jc w:val="center"/>
              <w:rPr>
                <w:noProof/>
                <w:sz w:val="22"/>
              </w:rPr>
            </w:pPr>
            <w:r>
              <w:rPr>
                <w:noProof/>
                <w:sz w:val="22"/>
              </w:rPr>
              <w:t>5,0</w:t>
            </w:r>
          </w:p>
        </w:tc>
        <w:tc>
          <w:tcPr>
            <w:tcW w:w="418" w:type="pct"/>
            <w:vAlign w:val="center"/>
          </w:tcPr>
          <w:p>
            <w:pPr>
              <w:jc w:val="center"/>
              <w:rPr>
                <w:noProof/>
                <w:sz w:val="22"/>
              </w:rPr>
            </w:pPr>
            <w:r>
              <w:rPr>
                <w:noProof/>
                <w:sz w:val="22"/>
              </w:rPr>
              <w:t>5,0</w:t>
            </w:r>
          </w:p>
        </w:tc>
        <w:tc>
          <w:tcPr>
            <w:tcW w:w="418" w:type="pct"/>
            <w:vAlign w:val="center"/>
          </w:tcPr>
          <w:p>
            <w:pPr>
              <w:jc w:val="center"/>
              <w:rPr>
                <w:noProof/>
                <w:sz w:val="22"/>
              </w:rPr>
            </w:pPr>
            <w:r>
              <w:rPr>
                <w:noProof/>
                <w:sz w:val="22"/>
              </w:rPr>
              <w:t>5,0</w:t>
            </w:r>
          </w:p>
        </w:tc>
        <w:tc>
          <w:tcPr>
            <w:tcW w:w="418" w:type="pct"/>
            <w:vAlign w:val="center"/>
          </w:tcPr>
          <w:p>
            <w:pPr>
              <w:jc w:val="center"/>
              <w:rPr>
                <w:noProof/>
                <w:sz w:val="22"/>
              </w:rPr>
            </w:pPr>
            <w:r>
              <w:rPr>
                <w:noProof/>
                <w:sz w:val="22"/>
              </w:rPr>
              <w:t>5,0</w:t>
            </w:r>
          </w:p>
        </w:tc>
        <w:tc>
          <w:tcPr>
            <w:tcW w:w="418" w:type="pct"/>
            <w:vAlign w:val="center"/>
          </w:tcPr>
          <w:p>
            <w:pPr>
              <w:jc w:val="center"/>
              <w:rPr>
                <w:noProof/>
                <w:sz w:val="22"/>
              </w:rPr>
            </w:pPr>
            <w:r>
              <w:rPr>
                <w:noProof/>
                <w:sz w:val="22"/>
              </w:rPr>
              <w:t>2,5</w:t>
            </w:r>
          </w:p>
        </w:tc>
        <w:tc>
          <w:tcPr>
            <w:tcW w:w="418" w:type="pct"/>
            <w:vAlign w:val="center"/>
          </w:tcPr>
          <w:p>
            <w:pPr>
              <w:jc w:val="center"/>
              <w:rPr>
                <w:noProof/>
                <w:sz w:val="22"/>
              </w:rPr>
            </w:pPr>
            <w:r>
              <w:rPr>
                <w:noProof/>
                <w:sz w:val="22"/>
              </w:rPr>
              <w:t>1,0</w:t>
            </w:r>
          </w:p>
        </w:tc>
        <w:tc>
          <w:tcPr>
            <w:tcW w:w="418" w:type="pct"/>
            <w:vAlign w:val="center"/>
          </w:tcPr>
          <w:p>
            <w:pPr>
              <w:jc w:val="center"/>
              <w:rPr>
                <w:noProof/>
                <w:sz w:val="22"/>
              </w:rPr>
            </w:pPr>
            <w:r>
              <w:rPr>
                <w:noProof/>
                <w:sz w:val="22"/>
              </w:rPr>
              <w:t>1,0</w:t>
            </w:r>
          </w:p>
        </w:tc>
        <w:tc>
          <w:tcPr>
            <w:tcW w:w="421" w:type="pct"/>
          </w:tcPr>
          <w:p>
            <w:pPr>
              <w:jc w:val="center"/>
              <w:rPr>
                <w:noProof/>
                <w:sz w:val="22"/>
              </w:rPr>
            </w:pPr>
            <w:r>
              <w:rPr>
                <w:noProof/>
                <w:sz w:val="22"/>
              </w:rPr>
              <w:t>0,0</w:t>
            </w:r>
          </w:p>
        </w:tc>
      </w:tr>
      <w:tr>
        <w:trPr>
          <w:trHeight w:val="255"/>
          <w:jc w:val="center"/>
        </w:trPr>
        <w:tc>
          <w:tcPr>
            <w:tcW w:w="523" w:type="pct"/>
            <w:vAlign w:val="center"/>
          </w:tcPr>
          <w:p>
            <w:pPr>
              <w:jc w:val="center"/>
              <w:rPr>
                <w:noProof/>
                <w:sz w:val="22"/>
              </w:rPr>
            </w:pPr>
            <w:r>
              <w:rPr>
                <w:noProof/>
                <w:sz w:val="22"/>
              </w:rPr>
              <w:t>C23</w:t>
            </w:r>
          </w:p>
        </w:tc>
        <w:tc>
          <w:tcPr>
            <w:tcW w:w="293" w:type="pct"/>
            <w:vAlign w:val="center"/>
          </w:tcPr>
          <w:p>
            <w:pPr>
              <w:jc w:val="center"/>
              <w:rPr>
                <w:noProof/>
                <w:sz w:val="22"/>
              </w:rPr>
            </w:pPr>
            <w:r>
              <w:rPr>
                <w:noProof/>
                <w:sz w:val="22"/>
              </w:rPr>
              <w:t>2,5</w:t>
            </w:r>
          </w:p>
        </w:tc>
        <w:tc>
          <w:tcPr>
            <w:tcW w:w="418" w:type="pct"/>
            <w:vAlign w:val="center"/>
          </w:tcPr>
          <w:p>
            <w:pPr>
              <w:jc w:val="center"/>
              <w:rPr>
                <w:noProof/>
                <w:sz w:val="22"/>
              </w:rPr>
            </w:pPr>
            <w:r>
              <w:rPr>
                <w:noProof/>
                <w:sz w:val="22"/>
              </w:rPr>
              <w:t>2,5</w:t>
            </w:r>
          </w:p>
        </w:tc>
        <w:tc>
          <w:tcPr>
            <w:tcW w:w="418" w:type="pct"/>
            <w:vAlign w:val="center"/>
          </w:tcPr>
          <w:p>
            <w:pPr>
              <w:jc w:val="center"/>
              <w:rPr>
                <w:noProof/>
                <w:sz w:val="22"/>
              </w:rPr>
            </w:pPr>
            <w:r>
              <w:rPr>
                <w:noProof/>
                <w:sz w:val="22"/>
              </w:rPr>
              <w:t>2,5</w:t>
            </w:r>
          </w:p>
        </w:tc>
        <w:tc>
          <w:tcPr>
            <w:tcW w:w="418" w:type="pct"/>
            <w:vAlign w:val="center"/>
          </w:tcPr>
          <w:p>
            <w:pPr>
              <w:jc w:val="center"/>
              <w:rPr>
                <w:noProof/>
                <w:sz w:val="22"/>
              </w:rPr>
            </w:pPr>
            <w:r>
              <w:rPr>
                <w:noProof/>
                <w:sz w:val="22"/>
              </w:rPr>
              <w:t>2,5</w:t>
            </w:r>
          </w:p>
        </w:tc>
        <w:tc>
          <w:tcPr>
            <w:tcW w:w="418" w:type="pct"/>
            <w:vAlign w:val="center"/>
          </w:tcPr>
          <w:p>
            <w:pPr>
              <w:jc w:val="center"/>
              <w:rPr>
                <w:noProof/>
                <w:sz w:val="22"/>
              </w:rPr>
            </w:pPr>
            <w:r>
              <w:rPr>
                <w:noProof/>
                <w:sz w:val="22"/>
              </w:rPr>
              <w:t>2,5</w:t>
            </w:r>
          </w:p>
        </w:tc>
        <w:tc>
          <w:tcPr>
            <w:tcW w:w="418" w:type="pct"/>
            <w:vAlign w:val="center"/>
          </w:tcPr>
          <w:p>
            <w:pPr>
              <w:jc w:val="center"/>
              <w:rPr>
                <w:noProof/>
                <w:sz w:val="22"/>
              </w:rPr>
            </w:pPr>
            <w:r>
              <w:rPr>
                <w:noProof/>
                <w:sz w:val="22"/>
              </w:rPr>
              <w:t>2,5</w:t>
            </w:r>
          </w:p>
        </w:tc>
        <w:tc>
          <w:tcPr>
            <w:tcW w:w="418" w:type="pct"/>
            <w:vAlign w:val="center"/>
          </w:tcPr>
          <w:p>
            <w:pPr>
              <w:jc w:val="center"/>
              <w:rPr>
                <w:noProof/>
                <w:sz w:val="22"/>
              </w:rPr>
            </w:pPr>
            <w:r>
              <w:rPr>
                <w:noProof/>
                <w:sz w:val="22"/>
              </w:rPr>
              <w:t>2,5</w:t>
            </w:r>
          </w:p>
        </w:tc>
        <w:tc>
          <w:tcPr>
            <w:tcW w:w="418" w:type="pct"/>
            <w:vAlign w:val="center"/>
          </w:tcPr>
          <w:p>
            <w:pPr>
              <w:jc w:val="center"/>
              <w:rPr>
                <w:noProof/>
                <w:sz w:val="22"/>
              </w:rPr>
            </w:pPr>
            <w:r>
              <w:rPr>
                <w:noProof/>
                <w:sz w:val="22"/>
              </w:rPr>
              <w:t>2,0</w:t>
            </w:r>
          </w:p>
        </w:tc>
        <w:tc>
          <w:tcPr>
            <w:tcW w:w="418" w:type="pct"/>
            <w:vAlign w:val="center"/>
          </w:tcPr>
          <w:p>
            <w:pPr>
              <w:jc w:val="center"/>
              <w:rPr>
                <w:noProof/>
                <w:sz w:val="22"/>
              </w:rPr>
            </w:pPr>
            <w:r>
              <w:rPr>
                <w:noProof/>
                <w:sz w:val="22"/>
              </w:rPr>
              <w:t>1,0</w:t>
            </w:r>
          </w:p>
        </w:tc>
        <w:tc>
          <w:tcPr>
            <w:tcW w:w="418" w:type="pct"/>
            <w:vAlign w:val="center"/>
          </w:tcPr>
          <w:p>
            <w:pPr>
              <w:jc w:val="center"/>
              <w:rPr>
                <w:noProof/>
                <w:sz w:val="22"/>
              </w:rPr>
            </w:pPr>
            <w:r>
              <w:rPr>
                <w:noProof/>
                <w:sz w:val="22"/>
              </w:rPr>
              <w:t>1,0</w:t>
            </w:r>
          </w:p>
        </w:tc>
        <w:tc>
          <w:tcPr>
            <w:tcW w:w="421" w:type="pct"/>
          </w:tcPr>
          <w:p>
            <w:pPr>
              <w:jc w:val="center"/>
              <w:rPr>
                <w:noProof/>
                <w:sz w:val="22"/>
              </w:rPr>
            </w:pPr>
            <w:r>
              <w:rPr>
                <w:noProof/>
                <w:sz w:val="22"/>
              </w:rPr>
              <w:t>0,0</w:t>
            </w:r>
          </w:p>
        </w:tc>
      </w:tr>
    </w:tbl>
    <w:p>
      <w:pPr>
        <w:jc w:val="center"/>
        <w:rPr>
          <w:b/>
          <w:noProof/>
        </w:rPr>
      </w:pPr>
      <w:r>
        <w:rPr>
          <w:b/>
          <w:noProof/>
        </w:rPr>
        <w:t>PARTIE II</w:t>
      </w:r>
    </w:p>
    <w:p>
      <w:pPr>
        <w:jc w:val="center"/>
        <w:rPr>
          <w:b/>
          <w:noProof/>
        </w:rPr>
      </w:pPr>
      <w:r>
        <w:rPr>
          <w:b/>
          <w:noProof/>
        </w:rPr>
        <w:t>LISTE TARIFAIRE DU MOZAMBIQUE</w:t>
      </w:r>
    </w:p>
    <w:p>
      <w:pPr>
        <w:rPr>
          <w:b/>
          <w:noProof/>
          <w:szCs w:val="24"/>
        </w:rPr>
      </w:pPr>
      <w:r>
        <w:rPr>
          <w:b/>
          <w:noProof/>
        </w:rPr>
        <w:t>[Liste du Mozambique à insérer ici]</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phemia">
    <w:panose1 w:val="020B0503040102020104"/>
    <w:charset w:val="00"/>
    <w:family w:val="swiss"/>
    <w:pitch w:val="variable"/>
    <w:sig w:usb0="8000006F" w:usb1="0000004A" w:usb2="00002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0"/>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6:06: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à la"/>
    <w:docVar w:name="LW_ACCOMPAGNANT.CP" w:val="à la"/>
    <w:docVar w:name="LW_ANNEX_NBR_FIRST" w:val="4"/>
    <w:docVar w:name="LW_ANNEX_NBR_LAST" w:val="4"/>
    <w:docVar w:name="LW_CONFIDENCE" w:val=" "/>
    <w:docVar w:name="LW_CONST_RESTREINT_UE" w:val="RESTREINT UE"/>
    <w:docVar w:name="LW_CORRIGENDUM" w:val="&lt;UNUSED&gt;"/>
    <w:docVar w:name="LW_COVERPAGE_GUID" w:val="02D57D8BDA1640ADB45C25402BA9D5D3"/>
    <w:docVar w:name="LW_CROSSREFERENCE" w:val="&lt;UNUSED&gt;"/>
    <w:docVar w:name="LW_DocType" w:val="ANNEX"/>
    <w:docVar w:name="LW_EMISSION" w:val="22.1.2016"/>
    <w:docVar w:name="LW_EMISSION_ISODATE" w:val="2016-01-2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conclusion de l\u8217?accord de partenariat économique entre l\u8217?Union européenne et ses États membres, d\u8217?une part, et les États de l\u8217?APE CDAA, d\u8217?autre part_x000b_"/>
    <w:docVar w:name="LW_OBJETACTEPRINCIPAL.CP" w:val="relative à la conclusion de l\u8217?accord de partenariat économique entre l\u8217?Union européenne et ses États membres, d\u8217?une part, et les États de l\u8217?APE CDAA, d\u8217?autre part_x000b_"/>
    <w:docVar w:name="LW_PART_NBR" w:val="1"/>
    <w:docVar w:name="LW_PART_NBR_TOTAL" w:val="3"/>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E"/>
    <w:docVar w:name="LW_TYPE.DOC.CP" w:val="ANNEXE"/>
    <w:docVar w:name="LW_TYPEACTEPRINCIPAL" w:val="proposition de décision du Conseil_x000b_"/>
    <w:docVar w:name="LW_TYPEACTEPRINCIPAL.CP" w:val="proposition de décision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nt6">
    <w:name w:val="font6"/>
    <w:basedOn w:val="Normal"/>
    <w:pPr>
      <w:spacing w:before="100" w:beforeAutospacing="1" w:after="100" w:afterAutospacing="1"/>
      <w:jc w:val="left"/>
    </w:pPr>
    <w:rPr>
      <w:rFonts w:ascii="Euphemia" w:eastAsia="Times New Roman" w:hAnsi="Euphemia"/>
      <w:sz w:val="20"/>
      <w:szCs w:val="20"/>
    </w:rPr>
  </w:style>
  <w:style w:type="paragraph" w:customStyle="1" w:styleId="font7">
    <w:name w:val="font7"/>
    <w:basedOn w:val="Normal"/>
    <w:pPr>
      <w:spacing w:before="100" w:beforeAutospacing="1" w:after="100" w:afterAutospacing="1"/>
      <w:jc w:val="left"/>
    </w:pPr>
    <w:rPr>
      <w:rFonts w:ascii="Euphemia" w:eastAsia="Times New Roman" w:hAnsi="Euphemia"/>
      <w:b/>
      <w:bCs/>
      <w:color w:val="000000"/>
      <w:sz w:val="20"/>
      <w:szCs w:val="20"/>
    </w:rPr>
  </w:style>
  <w:style w:type="paragraph" w:customStyle="1" w:styleId="font8">
    <w:name w:val="font8"/>
    <w:basedOn w:val="Normal"/>
    <w:pPr>
      <w:spacing w:before="100" w:beforeAutospacing="1" w:after="100" w:afterAutospacing="1"/>
      <w:jc w:val="left"/>
    </w:pPr>
    <w:rPr>
      <w:rFonts w:ascii="Euphemia" w:eastAsia="Times New Roman" w:hAnsi="Euphemia"/>
      <w:i/>
      <w:iCs/>
      <w:color w:val="000000"/>
      <w:sz w:val="20"/>
      <w:szCs w:val="20"/>
    </w:rPr>
  </w:style>
  <w:style w:type="paragraph" w:customStyle="1" w:styleId="font9">
    <w:name w:val="font9"/>
    <w:basedOn w:val="Normal"/>
    <w:pPr>
      <w:spacing w:before="100" w:beforeAutospacing="1" w:after="100" w:afterAutospacing="1"/>
      <w:jc w:val="left"/>
    </w:pPr>
    <w:rPr>
      <w:rFonts w:ascii="Euphemia" w:eastAsia="Times New Roman" w:hAnsi="Euphemia"/>
      <w:color w:val="000000"/>
      <w:sz w:val="20"/>
      <w:szCs w:val="20"/>
    </w:rPr>
  </w:style>
  <w:style w:type="paragraph" w:customStyle="1" w:styleId="font10">
    <w:name w:val="font10"/>
    <w:basedOn w:val="Normal"/>
    <w:pPr>
      <w:spacing w:before="100" w:beforeAutospacing="1" w:after="100" w:afterAutospacing="1"/>
      <w:jc w:val="left"/>
    </w:pPr>
    <w:rPr>
      <w:rFonts w:ascii="Euphemia" w:eastAsia="Times New Roman" w:hAnsi="Euphemia"/>
      <w:b/>
      <w:bCs/>
      <w:i/>
      <w:iCs/>
      <w:color w:val="000000"/>
      <w:sz w:val="20"/>
      <w:szCs w:val="20"/>
    </w:rPr>
  </w:style>
  <w:style w:type="paragraph" w:customStyle="1" w:styleId="font11">
    <w:name w:val="font11"/>
    <w:basedOn w:val="Normal"/>
    <w:pPr>
      <w:spacing w:before="100" w:beforeAutospacing="1" w:after="100" w:afterAutospacing="1"/>
      <w:jc w:val="left"/>
    </w:pPr>
    <w:rPr>
      <w:rFonts w:ascii="Euphemia" w:eastAsia="Times New Roman" w:hAnsi="Euphemia"/>
      <w:i/>
      <w:iCs/>
      <w:sz w:val="20"/>
      <w:szCs w:val="20"/>
    </w:rPr>
  </w:style>
  <w:style w:type="paragraph" w:customStyle="1" w:styleId="xl63">
    <w:name w:val="xl63"/>
    <w:basedOn w:val="Normal"/>
    <w:pPr>
      <w:pBdr>
        <w:top w:val="single" w:sz="8" w:space="0" w:color="auto"/>
        <w:left w:val="single" w:sz="8" w:space="0" w:color="auto"/>
        <w:right w:val="single" w:sz="8" w:space="0" w:color="auto"/>
      </w:pBdr>
      <w:spacing w:before="100" w:beforeAutospacing="1" w:after="100" w:afterAutospacing="1"/>
      <w:jc w:val="center"/>
      <w:textAlignment w:val="top"/>
    </w:pPr>
    <w:rPr>
      <w:rFonts w:ascii="Euphemia" w:eastAsia="Times New Roman" w:hAnsi="Euphemia"/>
      <w:b/>
      <w:bCs/>
      <w:sz w:val="20"/>
      <w:szCs w:val="20"/>
    </w:rPr>
  </w:style>
  <w:style w:type="paragraph" w:customStyle="1" w:styleId="xl64">
    <w:name w:val="xl64"/>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b/>
      <w:bCs/>
      <w:sz w:val="20"/>
      <w:szCs w:val="20"/>
    </w:rPr>
  </w:style>
  <w:style w:type="paragraph" w:customStyle="1" w:styleId="xl65">
    <w:name w:val="xl65"/>
    <w:basedOn w:val="Normal"/>
    <w:pPr>
      <w:spacing w:before="100" w:beforeAutospacing="1" w:after="100" w:afterAutospacing="1"/>
      <w:jc w:val="left"/>
    </w:pPr>
    <w:rPr>
      <w:rFonts w:ascii="Cambria" w:eastAsia="Times New Roman" w:hAnsi="Cambria"/>
      <w:szCs w:val="24"/>
    </w:rPr>
  </w:style>
  <w:style w:type="paragraph" w:customStyle="1" w:styleId="xl66">
    <w:name w:val="xl66"/>
    <w:basedOn w:val="Normal"/>
    <w:pPr>
      <w:pBdr>
        <w:top w:val="single" w:sz="8" w:space="0" w:color="auto"/>
        <w:left w:val="single" w:sz="8" w:space="0" w:color="auto"/>
        <w:right w:val="single" w:sz="8" w:space="0" w:color="auto"/>
      </w:pBdr>
      <w:spacing w:before="100" w:beforeAutospacing="1" w:after="100" w:afterAutospacing="1"/>
      <w:jc w:val="left"/>
      <w:textAlignment w:val="top"/>
    </w:pPr>
    <w:rPr>
      <w:rFonts w:ascii="Euphemia" w:eastAsia="Times New Roman" w:hAnsi="Euphemia"/>
      <w:b/>
      <w:bCs/>
      <w:sz w:val="20"/>
      <w:szCs w:val="20"/>
    </w:rPr>
  </w:style>
  <w:style w:type="paragraph" w:customStyle="1" w:styleId="xl67">
    <w:name w:val="xl67"/>
    <w:basedOn w:val="Normal"/>
    <w:pPr>
      <w:pBdr>
        <w:top w:val="single" w:sz="8" w:space="0" w:color="auto"/>
        <w:left w:val="single" w:sz="8" w:space="0" w:color="auto"/>
        <w:right w:val="single" w:sz="8" w:space="0" w:color="auto"/>
      </w:pBdr>
      <w:spacing w:before="100" w:beforeAutospacing="1" w:after="100" w:afterAutospacing="1"/>
      <w:jc w:val="right"/>
    </w:pPr>
    <w:rPr>
      <w:rFonts w:ascii="Euphemia" w:eastAsia="Times New Roman" w:hAnsi="Euphemia"/>
      <w:sz w:val="20"/>
      <w:szCs w:val="20"/>
    </w:rPr>
  </w:style>
  <w:style w:type="paragraph" w:customStyle="1" w:styleId="xl68">
    <w:name w:val="xl68"/>
    <w:basedOn w:val="Normal"/>
    <w:pPr>
      <w:pBdr>
        <w:top w:val="single" w:sz="8" w:space="0" w:color="auto"/>
        <w:left w:val="single" w:sz="8" w:space="0" w:color="auto"/>
        <w:right w:val="single" w:sz="8" w:space="0" w:color="auto"/>
      </w:pBdr>
      <w:spacing w:before="100" w:beforeAutospacing="1" w:after="100" w:afterAutospacing="1"/>
      <w:jc w:val="left"/>
    </w:pPr>
    <w:rPr>
      <w:rFonts w:ascii="Euphemia" w:eastAsia="Times New Roman" w:hAnsi="Euphemia"/>
      <w:b/>
      <w:bCs/>
      <w:sz w:val="20"/>
      <w:szCs w:val="20"/>
    </w:rPr>
  </w:style>
  <w:style w:type="paragraph" w:customStyle="1" w:styleId="xl69">
    <w:name w:val="xl69"/>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sz w:val="20"/>
      <w:szCs w:val="20"/>
    </w:rPr>
  </w:style>
  <w:style w:type="paragraph" w:customStyle="1" w:styleId="xl70">
    <w:name w:val="xl70"/>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sz w:val="24"/>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nt6">
    <w:name w:val="font6"/>
    <w:basedOn w:val="Normal"/>
    <w:pPr>
      <w:spacing w:before="100" w:beforeAutospacing="1" w:after="100" w:afterAutospacing="1"/>
      <w:jc w:val="left"/>
    </w:pPr>
    <w:rPr>
      <w:rFonts w:ascii="Euphemia" w:eastAsia="Times New Roman" w:hAnsi="Euphemia"/>
      <w:sz w:val="20"/>
      <w:szCs w:val="20"/>
    </w:rPr>
  </w:style>
  <w:style w:type="paragraph" w:customStyle="1" w:styleId="font7">
    <w:name w:val="font7"/>
    <w:basedOn w:val="Normal"/>
    <w:pPr>
      <w:spacing w:before="100" w:beforeAutospacing="1" w:after="100" w:afterAutospacing="1"/>
      <w:jc w:val="left"/>
    </w:pPr>
    <w:rPr>
      <w:rFonts w:ascii="Euphemia" w:eastAsia="Times New Roman" w:hAnsi="Euphemia"/>
      <w:b/>
      <w:bCs/>
      <w:color w:val="000000"/>
      <w:sz w:val="20"/>
      <w:szCs w:val="20"/>
    </w:rPr>
  </w:style>
  <w:style w:type="paragraph" w:customStyle="1" w:styleId="font8">
    <w:name w:val="font8"/>
    <w:basedOn w:val="Normal"/>
    <w:pPr>
      <w:spacing w:before="100" w:beforeAutospacing="1" w:after="100" w:afterAutospacing="1"/>
      <w:jc w:val="left"/>
    </w:pPr>
    <w:rPr>
      <w:rFonts w:ascii="Euphemia" w:eastAsia="Times New Roman" w:hAnsi="Euphemia"/>
      <w:i/>
      <w:iCs/>
      <w:color w:val="000000"/>
      <w:sz w:val="20"/>
      <w:szCs w:val="20"/>
    </w:rPr>
  </w:style>
  <w:style w:type="paragraph" w:customStyle="1" w:styleId="font9">
    <w:name w:val="font9"/>
    <w:basedOn w:val="Normal"/>
    <w:pPr>
      <w:spacing w:before="100" w:beforeAutospacing="1" w:after="100" w:afterAutospacing="1"/>
      <w:jc w:val="left"/>
    </w:pPr>
    <w:rPr>
      <w:rFonts w:ascii="Euphemia" w:eastAsia="Times New Roman" w:hAnsi="Euphemia"/>
      <w:color w:val="000000"/>
      <w:sz w:val="20"/>
      <w:szCs w:val="20"/>
    </w:rPr>
  </w:style>
  <w:style w:type="paragraph" w:customStyle="1" w:styleId="font10">
    <w:name w:val="font10"/>
    <w:basedOn w:val="Normal"/>
    <w:pPr>
      <w:spacing w:before="100" w:beforeAutospacing="1" w:after="100" w:afterAutospacing="1"/>
      <w:jc w:val="left"/>
    </w:pPr>
    <w:rPr>
      <w:rFonts w:ascii="Euphemia" w:eastAsia="Times New Roman" w:hAnsi="Euphemia"/>
      <w:b/>
      <w:bCs/>
      <w:i/>
      <w:iCs/>
      <w:color w:val="000000"/>
      <w:sz w:val="20"/>
      <w:szCs w:val="20"/>
    </w:rPr>
  </w:style>
  <w:style w:type="paragraph" w:customStyle="1" w:styleId="font11">
    <w:name w:val="font11"/>
    <w:basedOn w:val="Normal"/>
    <w:pPr>
      <w:spacing w:before="100" w:beforeAutospacing="1" w:after="100" w:afterAutospacing="1"/>
      <w:jc w:val="left"/>
    </w:pPr>
    <w:rPr>
      <w:rFonts w:ascii="Euphemia" w:eastAsia="Times New Roman" w:hAnsi="Euphemia"/>
      <w:i/>
      <w:iCs/>
      <w:sz w:val="20"/>
      <w:szCs w:val="20"/>
    </w:rPr>
  </w:style>
  <w:style w:type="paragraph" w:customStyle="1" w:styleId="xl63">
    <w:name w:val="xl63"/>
    <w:basedOn w:val="Normal"/>
    <w:pPr>
      <w:pBdr>
        <w:top w:val="single" w:sz="8" w:space="0" w:color="auto"/>
        <w:left w:val="single" w:sz="8" w:space="0" w:color="auto"/>
        <w:right w:val="single" w:sz="8" w:space="0" w:color="auto"/>
      </w:pBdr>
      <w:spacing w:before="100" w:beforeAutospacing="1" w:after="100" w:afterAutospacing="1"/>
      <w:jc w:val="center"/>
      <w:textAlignment w:val="top"/>
    </w:pPr>
    <w:rPr>
      <w:rFonts w:ascii="Euphemia" w:eastAsia="Times New Roman" w:hAnsi="Euphemia"/>
      <w:b/>
      <w:bCs/>
      <w:sz w:val="20"/>
      <w:szCs w:val="20"/>
    </w:rPr>
  </w:style>
  <w:style w:type="paragraph" w:customStyle="1" w:styleId="xl64">
    <w:name w:val="xl64"/>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b/>
      <w:bCs/>
      <w:sz w:val="20"/>
      <w:szCs w:val="20"/>
    </w:rPr>
  </w:style>
  <w:style w:type="paragraph" w:customStyle="1" w:styleId="xl65">
    <w:name w:val="xl65"/>
    <w:basedOn w:val="Normal"/>
    <w:pPr>
      <w:spacing w:before="100" w:beforeAutospacing="1" w:after="100" w:afterAutospacing="1"/>
      <w:jc w:val="left"/>
    </w:pPr>
    <w:rPr>
      <w:rFonts w:ascii="Cambria" w:eastAsia="Times New Roman" w:hAnsi="Cambria"/>
      <w:szCs w:val="24"/>
    </w:rPr>
  </w:style>
  <w:style w:type="paragraph" w:customStyle="1" w:styleId="xl66">
    <w:name w:val="xl66"/>
    <w:basedOn w:val="Normal"/>
    <w:pPr>
      <w:pBdr>
        <w:top w:val="single" w:sz="8" w:space="0" w:color="auto"/>
        <w:left w:val="single" w:sz="8" w:space="0" w:color="auto"/>
        <w:right w:val="single" w:sz="8" w:space="0" w:color="auto"/>
      </w:pBdr>
      <w:spacing w:before="100" w:beforeAutospacing="1" w:after="100" w:afterAutospacing="1"/>
      <w:jc w:val="left"/>
      <w:textAlignment w:val="top"/>
    </w:pPr>
    <w:rPr>
      <w:rFonts w:ascii="Euphemia" w:eastAsia="Times New Roman" w:hAnsi="Euphemia"/>
      <w:b/>
      <w:bCs/>
      <w:sz w:val="20"/>
      <w:szCs w:val="20"/>
    </w:rPr>
  </w:style>
  <w:style w:type="paragraph" w:customStyle="1" w:styleId="xl67">
    <w:name w:val="xl67"/>
    <w:basedOn w:val="Normal"/>
    <w:pPr>
      <w:pBdr>
        <w:top w:val="single" w:sz="8" w:space="0" w:color="auto"/>
        <w:left w:val="single" w:sz="8" w:space="0" w:color="auto"/>
        <w:right w:val="single" w:sz="8" w:space="0" w:color="auto"/>
      </w:pBdr>
      <w:spacing w:before="100" w:beforeAutospacing="1" w:after="100" w:afterAutospacing="1"/>
      <w:jc w:val="right"/>
    </w:pPr>
    <w:rPr>
      <w:rFonts w:ascii="Euphemia" w:eastAsia="Times New Roman" w:hAnsi="Euphemia"/>
      <w:sz w:val="20"/>
      <w:szCs w:val="20"/>
    </w:rPr>
  </w:style>
  <w:style w:type="paragraph" w:customStyle="1" w:styleId="xl68">
    <w:name w:val="xl68"/>
    <w:basedOn w:val="Normal"/>
    <w:pPr>
      <w:pBdr>
        <w:top w:val="single" w:sz="8" w:space="0" w:color="auto"/>
        <w:left w:val="single" w:sz="8" w:space="0" w:color="auto"/>
        <w:right w:val="single" w:sz="8" w:space="0" w:color="auto"/>
      </w:pBdr>
      <w:spacing w:before="100" w:beforeAutospacing="1" w:after="100" w:afterAutospacing="1"/>
      <w:jc w:val="left"/>
    </w:pPr>
    <w:rPr>
      <w:rFonts w:ascii="Euphemia" w:eastAsia="Times New Roman" w:hAnsi="Euphemia"/>
      <w:b/>
      <w:bCs/>
      <w:sz w:val="20"/>
      <w:szCs w:val="20"/>
    </w:rPr>
  </w:style>
  <w:style w:type="paragraph" w:customStyle="1" w:styleId="xl69">
    <w:name w:val="xl69"/>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sz w:val="20"/>
      <w:szCs w:val="20"/>
    </w:rPr>
  </w:style>
  <w:style w:type="paragraph" w:customStyle="1" w:styleId="xl70">
    <w:name w:val="xl70"/>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sz w:val="24"/>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689339624">
      <w:bodyDiv w:val="1"/>
      <w:marLeft w:val="0"/>
      <w:marRight w:val="0"/>
      <w:marTop w:val="0"/>
      <w:marBottom w:val="0"/>
      <w:divBdr>
        <w:top w:val="none" w:sz="0" w:space="0" w:color="auto"/>
        <w:left w:val="none" w:sz="0" w:space="0" w:color="auto"/>
        <w:bottom w:val="none" w:sz="0" w:space="0" w:color="auto"/>
        <w:right w:val="none" w:sz="0" w:space="0" w:color="auto"/>
      </w:divBdr>
    </w:div>
    <w:div w:id="748887716">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CE61F-5CF2-49A3-A01E-D6DF795A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5</Pages>
  <Words>1162</Words>
  <Characters>4963</Characters>
  <Application>Microsoft Office Word</Application>
  <DocSecurity>0</DocSecurity>
  <Lines>275</Lines>
  <Paragraphs>185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2016-01-11T12:16:00Z</dcterms:created>
  <dcterms:modified xsi:type="dcterms:W3CDTF">2016-01-13T15:06:00Z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4</vt:lpwstr>
  </property>
  <property fmtid="{D5CDD505-2E9C-101B-9397-08002B2CF9AE}" pid="8" name="Last annex">
    <vt:lpwstr>4</vt:lpwstr>
  </property>
  <property fmtid="{D5CDD505-2E9C-101B-9397-08002B2CF9AE}" pid="9" name="Part">
    <vt:lpwstr>1</vt:lpwstr>
  </property>
  <property fmtid="{D5CDD505-2E9C-101B-9397-08002B2CF9AE}" pid="10" name="Total parts">
    <vt:lpwstr>3</vt:lpwstr>
  </property>
  <property fmtid="{D5CDD505-2E9C-101B-9397-08002B2CF9AE}" pid="11" name="LWTemplateID">
    <vt:lpwstr>SG-017</vt:lpwstr>
  </property>
  <property fmtid="{D5CDD505-2E9C-101B-9397-08002B2CF9AE}" pid="12" name="DQCStatus">
    <vt:lpwstr>Green (DQC version 03)</vt:lpwstr>
  </property>
</Properties>
</file>