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B2893F1FD7D44CAACD041362CB0365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lang w:val="fr-FR"/>
        </w:rPr>
      </w:pPr>
      <w:bookmarkStart w:id="1" w:name="_GoBack"/>
      <w:bookmarkEnd w:id="1"/>
      <w:r>
        <w:rPr>
          <w:rFonts w:ascii="Times New Roman" w:hAnsi="Times New Roman"/>
          <w:b/>
          <w:noProof/>
          <w:sz w:val="24"/>
          <w:lang w:val="fr-FR"/>
        </w:rPr>
        <w:lastRenderedPageBreak/>
        <w:t>RAPPORT DE LA COMMISSION AU PARLEMENT EUROPÉEN ET</w:t>
      </w:r>
    </w:p>
    <w:p>
      <w:pPr>
        <w:spacing w:line="240" w:lineRule="auto"/>
        <w:jc w:val="center"/>
        <w:rPr>
          <w:rFonts w:ascii="Times New Roman" w:hAnsi="Times New Roman"/>
          <w:b/>
          <w:noProof/>
          <w:sz w:val="24"/>
          <w:szCs w:val="24"/>
          <w:lang w:val="fr-FR"/>
        </w:rPr>
      </w:pPr>
      <w:r>
        <w:rPr>
          <w:rFonts w:ascii="Times New Roman" w:hAnsi="Times New Roman"/>
          <w:b/>
          <w:noProof/>
          <w:sz w:val="24"/>
          <w:lang w:val="fr-FR"/>
        </w:rPr>
        <w:t>AU CONSEIL</w:t>
      </w:r>
    </w:p>
    <w:p>
      <w:pPr>
        <w:jc w:val="center"/>
        <w:rPr>
          <w:rFonts w:ascii="Times New Roman" w:hAnsi="Times New Roman"/>
          <w:b/>
          <w:noProof/>
          <w:sz w:val="24"/>
          <w:szCs w:val="24"/>
          <w:lang w:val="fr-FR"/>
        </w:rPr>
      </w:pPr>
      <w:r>
        <w:rPr>
          <w:rFonts w:ascii="Times New Roman" w:hAnsi="Times New Roman"/>
          <w:b/>
          <w:noProof/>
          <w:sz w:val="24"/>
          <w:lang w:val="fr-FR"/>
        </w:rPr>
        <w:t>relatif à l’exercice du pouvoir d’adopter des actes délégués conféré à la Commission par le règlement (UE) nº 692/2011 du Parlement européen et du Conseil concernant les statistiques européennes sur le tourisme</w:t>
      </w:r>
    </w:p>
    <w:p>
      <w:pPr>
        <w:rPr>
          <w:rFonts w:ascii="Times New Roman" w:hAnsi="Times New Roman"/>
          <w:noProof/>
          <w:sz w:val="24"/>
          <w:szCs w:val="24"/>
          <w:lang w:val="fr-FR"/>
        </w:rPr>
      </w:pPr>
    </w:p>
    <w:p>
      <w:pPr>
        <w:jc w:val="both"/>
        <w:rPr>
          <w:rFonts w:ascii="Times New Roman" w:hAnsi="Times New Roman"/>
          <w:b/>
          <w:noProof/>
          <w:sz w:val="24"/>
          <w:szCs w:val="24"/>
          <w:lang w:val="fr-FR"/>
        </w:rPr>
      </w:pPr>
      <w:r>
        <w:rPr>
          <w:rFonts w:ascii="Times New Roman" w:hAnsi="Times New Roman"/>
          <w:b/>
          <w:noProof/>
          <w:sz w:val="24"/>
          <w:lang w:val="fr-FR"/>
        </w:rPr>
        <w:t xml:space="preserve">1. </w:t>
      </w:r>
      <w:r>
        <w:rPr>
          <w:noProof/>
          <w:lang w:val="fr-FR"/>
        </w:rPr>
        <w:tab/>
      </w:r>
      <w:r>
        <w:rPr>
          <w:rFonts w:ascii="Times New Roman" w:hAnsi="Times New Roman"/>
          <w:b/>
          <w:noProof/>
          <w:sz w:val="24"/>
          <w:lang w:val="fr-FR"/>
        </w:rPr>
        <w:t>INTRODUCTION</w:t>
      </w:r>
    </w:p>
    <w:p>
      <w:pPr>
        <w:jc w:val="both"/>
        <w:rPr>
          <w:rFonts w:ascii="Times New Roman" w:hAnsi="Times New Roman"/>
          <w:noProof/>
          <w:sz w:val="24"/>
          <w:szCs w:val="24"/>
          <w:lang w:val="fr-FR"/>
        </w:rPr>
      </w:pPr>
      <w:r>
        <w:rPr>
          <w:rFonts w:ascii="Times New Roman" w:hAnsi="Times New Roman"/>
          <w:noProof/>
          <w:sz w:val="24"/>
          <w:lang w:val="fr-FR"/>
        </w:rPr>
        <w:t>Le règlement (UE) nº 692/2011 du Parlement européen et du Conseil</w:t>
      </w:r>
      <w:r>
        <w:rPr>
          <w:rStyle w:val="FootnoteReference"/>
          <w:noProof/>
        </w:rPr>
        <w:footnoteReference w:id="1"/>
      </w:r>
      <w:r>
        <w:rPr>
          <w:rFonts w:ascii="Times New Roman" w:hAnsi="Times New Roman"/>
          <w:noProof/>
          <w:sz w:val="24"/>
          <w:lang w:val="fr-FR"/>
        </w:rPr>
        <w:t xml:space="preserve"> a établi un cadre commun pour le développement, la production et la diffusion systématiques de statistiques sur le tourisme dans l’Union européenne. Il visait à rendre compte des changements intervenus en matière d’économie du tourisme et de comportement des touristes depuis l’entrée en vigueur de la directive 95/57/CE du Conseil</w:t>
      </w:r>
      <w:r>
        <w:rPr>
          <w:rStyle w:val="FootnoteReference"/>
          <w:rFonts w:ascii="Times New Roman" w:hAnsi="Times New Roman"/>
          <w:noProof/>
          <w:sz w:val="24"/>
        </w:rPr>
        <w:footnoteReference w:id="2"/>
      </w:r>
      <w:r>
        <w:rPr>
          <w:rFonts w:ascii="Times New Roman" w:hAnsi="Times New Roman"/>
          <w:noProof/>
          <w:sz w:val="24"/>
          <w:lang w:val="fr-FR"/>
        </w:rPr>
        <w:t xml:space="preserve"> et à répondre à l’évolution des besoins des utilisateurs qui en a résulté.</w:t>
      </w:r>
    </w:p>
    <w:p>
      <w:pPr>
        <w:jc w:val="both"/>
        <w:rPr>
          <w:rFonts w:ascii="Times New Roman" w:hAnsi="Times New Roman"/>
          <w:noProof/>
          <w:sz w:val="24"/>
          <w:szCs w:val="24"/>
          <w:lang w:val="fr-FR"/>
        </w:rPr>
      </w:pPr>
      <w:r>
        <w:rPr>
          <w:rFonts w:ascii="Times New Roman" w:hAnsi="Times New Roman"/>
          <w:noProof/>
          <w:sz w:val="24"/>
          <w:lang w:val="fr-FR"/>
        </w:rPr>
        <w:t>Le règlement (UE) nº 692/2011 habilite la Commission à adopter des actes délégués:</w:t>
      </w:r>
    </w:p>
    <w:p>
      <w:pPr>
        <w:pStyle w:val="ListParagraph"/>
        <w:numPr>
          <w:ilvl w:val="0"/>
          <w:numId w:val="2"/>
        </w:numPr>
        <w:jc w:val="both"/>
        <w:rPr>
          <w:rFonts w:ascii="Times New Roman" w:hAnsi="Times New Roman"/>
          <w:noProof/>
          <w:sz w:val="24"/>
          <w:szCs w:val="24"/>
          <w:lang w:val="fr-FR"/>
        </w:rPr>
      </w:pPr>
      <w:r>
        <w:rPr>
          <w:rFonts w:ascii="Times New Roman" w:hAnsi="Times New Roman"/>
          <w:noProof/>
          <w:sz w:val="24"/>
          <w:lang w:val="fr-FR"/>
        </w:rPr>
        <w:t>modifiant les définitions afin de les adapter aux changements apportés aux définitions internationales (article 2, paragraphe 2);</w:t>
      </w:r>
    </w:p>
    <w:p>
      <w:pPr>
        <w:numPr>
          <w:ilvl w:val="0"/>
          <w:numId w:val="2"/>
        </w:numPr>
        <w:ind w:left="714" w:hanging="357"/>
        <w:jc w:val="both"/>
        <w:rPr>
          <w:rFonts w:ascii="Times New Roman" w:hAnsi="Times New Roman"/>
          <w:noProof/>
          <w:sz w:val="24"/>
          <w:szCs w:val="24"/>
          <w:lang w:val="fr-FR"/>
        </w:rPr>
      </w:pPr>
      <w:r>
        <w:rPr>
          <w:rFonts w:ascii="Times New Roman" w:hAnsi="Times New Roman"/>
          <w:noProof/>
          <w:sz w:val="24"/>
          <w:lang w:val="fr-FR"/>
        </w:rPr>
        <w:t>modifiant les délais de transmission des données afin de tenir compte de l’évolution de la situation économique, sociale ou technique (article 9, paragraphe 5); et</w:t>
      </w:r>
    </w:p>
    <w:p>
      <w:pPr>
        <w:pStyle w:val="ListParagraph"/>
        <w:numPr>
          <w:ilvl w:val="0"/>
          <w:numId w:val="2"/>
        </w:numPr>
        <w:jc w:val="both"/>
        <w:rPr>
          <w:rFonts w:ascii="Times New Roman" w:hAnsi="Times New Roman"/>
          <w:noProof/>
          <w:sz w:val="24"/>
          <w:szCs w:val="24"/>
          <w:lang w:val="fr-FR"/>
        </w:rPr>
      </w:pPr>
      <w:r>
        <w:rPr>
          <w:rFonts w:ascii="Times New Roman" w:hAnsi="Times New Roman"/>
          <w:noProof/>
          <w:sz w:val="24"/>
          <w:lang w:val="fr-FR"/>
        </w:rPr>
        <w:t>adaptant les annexes afin de prendre en considération l’évolution de la situation économique, sociale ou technique. Toutefois, la Commission ne peut pas modifier les dispositions des annexes en ce qui concerne le caractère facultatif des données requises et la limitation du champ d’observation (article 3, paragraphe 2).</w:t>
      </w:r>
    </w:p>
    <w:p>
      <w:pPr>
        <w:jc w:val="both"/>
        <w:rPr>
          <w:rFonts w:ascii="Times New Roman" w:hAnsi="Times New Roman"/>
          <w:noProof/>
          <w:color w:val="FF0000"/>
          <w:sz w:val="24"/>
          <w:szCs w:val="24"/>
          <w:lang w:val="fr-FR"/>
        </w:rPr>
      </w:pPr>
      <w:r>
        <w:rPr>
          <w:rFonts w:ascii="Times New Roman" w:hAnsi="Times New Roman"/>
          <w:noProof/>
          <w:sz w:val="24"/>
          <w:lang w:val="fr-FR"/>
        </w:rPr>
        <w:t>En outre, le règlement (UE) nº 692/2011 insiste sur l’importance de la tenue de consultations appropriées par la Commission durant son travail préparatoire, y compris au niveau des experts, avant d’exercer son habilitation.</w:t>
      </w:r>
    </w:p>
    <w:p>
      <w:pPr>
        <w:jc w:val="both"/>
        <w:rPr>
          <w:rFonts w:ascii="Times New Roman" w:hAnsi="Times New Roman"/>
          <w:b/>
          <w:noProof/>
          <w:sz w:val="24"/>
          <w:szCs w:val="24"/>
          <w:lang w:val="fr-FR"/>
        </w:rPr>
      </w:pPr>
      <w:r>
        <w:rPr>
          <w:rFonts w:ascii="Times New Roman" w:hAnsi="Times New Roman"/>
          <w:b/>
          <w:noProof/>
          <w:sz w:val="24"/>
          <w:lang w:val="fr-FR"/>
        </w:rPr>
        <w:t xml:space="preserve">2. </w:t>
      </w:r>
      <w:r>
        <w:rPr>
          <w:noProof/>
          <w:lang w:val="fr-FR"/>
        </w:rPr>
        <w:tab/>
      </w:r>
      <w:r>
        <w:rPr>
          <w:rFonts w:ascii="Times New Roman" w:hAnsi="Times New Roman"/>
          <w:b/>
          <w:noProof/>
          <w:sz w:val="24"/>
          <w:lang w:val="fr-FR"/>
        </w:rPr>
        <w:t>BASE JURIDIQUE</w:t>
      </w:r>
    </w:p>
    <w:p>
      <w:pPr>
        <w:jc w:val="both"/>
        <w:rPr>
          <w:rFonts w:ascii="Times New Roman" w:hAnsi="Times New Roman"/>
          <w:noProof/>
          <w:sz w:val="24"/>
          <w:szCs w:val="24"/>
          <w:lang w:val="fr-FR"/>
        </w:rPr>
      </w:pPr>
      <w:r>
        <w:rPr>
          <w:rFonts w:ascii="Times New Roman" w:hAnsi="Times New Roman"/>
          <w:noProof/>
          <w:sz w:val="24"/>
          <w:lang w:val="fr-FR"/>
        </w:rPr>
        <w:t>Le présent rapport est requis en vertu de l’article 11, paragraphe 2, du règlement (UE) nº 692/2011. Conformément à cette disposition, la Commission est habilitée à adopter des actes délégués pour une période de cinq ans à compter du 11 août 2011 et est tenue d’élaborer un rapport relatif à la délégation de pouvoir au plus tard neuf mois avant la fin de cette période.</w:t>
      </w:r>
    </w:p>
    <w:p>
      <w:pPr>
        <w:jc w:val="both"/>
        <w:rPr>
          <w:rFonts w:ascii="Times New Roman" w:hAnsi="Times New Roman"/>
          <w:b/>
          <w:noProof/>
          <w:sz w:val="24"/>
          <w:szCs w:val="24"/>
          <w:lang w:val="fr-FR"/>
        </w:rPr>
      </w:pPr>
      <w:r>
        <w:rPr>
          <w:rFonts w:ascii="Times New Roman" w:hAnsi="Times New Roman"/>
          <w:b/>
          <w:noProof/>
          <w:sz w:val="24"/>
          <w:lang w:val="fr-FR"/>
        </w:rPr>
        <w:lastRenderedPageBreak/>
        <w:t>3.</w:t>
      </w:r>
      <w:r>
        <w:rPr>
          <w:noProof/>
          <w:lang w:val="fr-FR"/>
        </w:rPr>
        <w:tab/>
      </w:r>
      <w:r>
        <w:rPr>
          <w:rFonts w:ascii="Times New Roman" w:hAnsi="Times New Roman"/>
          <w:b/>
          <w:noProof/>
          <w:sz w:val="24"/>
          <w:lang w:val="fr-FR"/>
        </w:rPr>
        <w:t>EXERCICE DE LA DÉLÉGATION</w:t>
      </w:r>
    </w:p>
    <w:p>
      <w:pPr>
        <w:jc w:val="both"/>
        <w:rPr>
          <w:rFonts w:ascii="Times New Roman" w:hAnsi="Times New Roman"/>
          <w:noProof/>
          <w:color w:val="FF0000"/>
          <w:sz w:val="24"/>
          <w:szCs w:val="24"/>
          <w:lang w:val="fr-FR"/>
        </w:rPr>
      </w:pPr>
      <w:r>
        <w:rPr>
          <w:rFonts w:ascii="Times New Roman" w:hAnsi="Times New Roman"/>
          <w:noProof/>
          <w:sz w:val="24"/>
          <w:lang w:val="fr-FR"/>
        </w:rPr>
        <w:t>Depuis l’entrée en vigueur du règlement (UE) nº 692/2011, la Commission a adopté un acte délégué, le règlement délégué (UE) nº 253/2013 de la Commission</w:t>
      </w:r>
      <w:r>
        <w:rPr>
          <w:rStyle w:val="FootnoteReference"/>
          <w:rFonts w:ascii="Times New Roman" w:hAnsi="Times New Roman"/>
          <w:noProof/>
          <w:sz w:val="24"/>
        </w:rPr>
        <w:footnoteReference w:id="3"/>
      </w:r>
      <w:r>
        <w:rPr>
          <w:rFonts w:ascii="Times New Roman" w:hAnsi="Times New Roman"/>
          <w:noProof/>
          <w:sz w:val="24"/>
          <w:lang w:val="fr-FR"/>
        </w:rPr>
        <w:t xml:space="preserve">. Ce dernier a modifié certaines définitions ayant trait au niveau d’éducation afin de tenir compte des changements apportés à la classification internationale type de l’éducation (CITE). </w:t>
      </w:r>
    </w:p>
    <w:p>
      <w:pPr>
        <w:jc w:val="both"/>
        <w:rPr>
          <w:rFonts w:ascii="Times New Roman" w:hAnsi="Times New Roman"/>
          <w:noProof/>
          <w:sz w:val="24"/>
          <w:szCs w:val="24"/>
          <w:lang w:val="fr-FR"/>
        </w:rPr>
      </w:pPr>
      <w:r>
        <w:rPr>
          <w:rFonts w:ascii="Times New Roman" w:hAnsi="Times New Roman"/>
          <w:noProof/>
          <w:sz w:val="24"/>
          <w:lang w:val="fr-FR"/>
        </w:rPr>
        <w:t>L’exercice de l’habilitation a été jugé nécessaire à la suite de la révision de ladite nomenclature adoptée par l’UNESCO (l’Organisation des Nations unies pour l’éducation, la science et la culture), lors de sa 36</w:t>
      </w:r>
      <w:r>
        <w:rPr>
          <w:rFonts w:ascii="Times New Roman" w:hAnsi="Times New Roman"/>
          <w:noProof/>
          <w:sz w:val="24"/>
          <w:vertAlign w:val="superscript"/>
          <w:lang w:val="fr-FR"/>
        </w:rPr>
        <w:t>e</w:t>
      </w:r>
      <w:r>
        <w:rPr>
          <w:rFonts w:ascii="Times New Roman" w:hAnsi="Times New Roman"/>
          <w:noProof/>
          <w:sz w:val="24"/>
          <w:lang w:val="fr-FR"/>
        </w:rPr>
        <w:t xml:space="preserve"> conférence générale qui s’est tenue en novembre 2011. Conformément à l’article 2, paragraphe 2, du règlement (UE) nº 692/2011, la Commission peut adopter des actes délégués afin d’adapter les définitions utilisées dans les statistiques de l’UE sur le tourisme aux changements apportés aux définitions internationales.</w:t>
      </w:r>
    </w:p>
    <w:p>
      <w:pPr>
        <w:jc w:val="both"/>
        <w:rPr>
          <w:rFonts w:ascii="Times New Roman" w:hAnsi="Times New Roman"/>
          <w:noProof/>
          <w:sz w:val="24"/>
          <w:szCs w:val="24"/>
          <w:lang w:val="fr-FR"/>
        </w:rPr>
      </w:pPr>
      <w:r>
        <w:rPr>
          <w:rFonts w:ascii="Times New Roman" w:hAnsi="Times New Roman"/>
          <w:noProof/>
          <w:sz w:val="24"/>
          <w:lang w:val="fr-FR"/>
        </w:rPr>
        <w:t>Le règlement délégué (UE) nº 253/2013 de la Commission a apporté les modifications suivantes à l’annexe II du règlement (UE) nº 692/2011:</w:t>
      </w:r>
    </w:p>
    <w:p>
      <w:pPr>
        <w:numPr>
          <w:ilvl w:val="0"/>
          <w:numId w:val="2"/>
        </w:numPr>
        <w:ind w:left="714" w:hanging="357"/>
        <w:jc w:val="both"/>
        <w:rPr>
          <w:rFonts w:ascii="Times New Roman" w:hAnsi="Times New Roman"/>
          <w:noProof/>
          <w:sz w:val="24"/>
          <w:szCs w:val="24"/>
          <w:lang w:val="fr-FR"/>
        </w:rPr>
      </w:pPr>
      <w:r>
        <w:rPr>
          <w:rFonts w:ascii="Times New Roman" w:hAnsi="Times New Roman"/>
          <w:noProof/>
          <w:sz w:val="24"/>
          <w:lang w:val="fr-FR"/>
        </w:rPr>
        <w:t>toutes les références à la variable ou ventilation socio-économique «niveau d’études» ont été remplacées par «niveau d’éducation atteint»;</w:t>
      </w:r>
    </w:p>
    <w:p>
      <w:pPr>
        <w:numPr>
          <w:ilvl w:val="0"/>
          <w:numId w:val="2"/>
        </w:numPr>
        <w:ind w:left="714" w:hanging="357"/>
        <w:jc w:val="both"/>
        <w:rPr>
          <w:rFonts w:ascii="Times New Roman" w:hAnsi="Times New Roman"/>
          <w:noProof/>
          <w:sz w:val="24"/>
          <w:szCs w:val="24"/>
          <w:lang w:val="fr-FR"/>
        </w:rPr>
      </w:pPr>
      <w:r>
        <w:rPr>
          <w:rFonts w:ascii="Times New Roman" w:hAnsi="Times New Roman"/>
          <w:noProof/>
          <w:sz w:val="24"/>
          <w:lang w:val="fr-FR"/>
        </w:rPr>
        <w:t>toutes les références aux catégories «faible (CITE 0, 1 ou 2), moyen (CITE 3 ou 4), élevé (CITE 5 ou 6)» ont été remplacées par «au plus 1</w:t>
      </w:r>
      <w:r>
        <w:rPr>
          <w:rFonts w:ascii="Times New Roman" w:hAnsi="Times New Roman"/>
          <w:noProof/>
          <w:sz w:val="24"/>
          <w:vertAlign w:val="superscript"/>
          <w:lang w:val="fr-FR"/>
        </w:rPr>
        <w:t>er</w:t>
      </w:r>
      <w:r>
        <w:rPr>
          <w:rFonts w:ascii="Times New Roman" w:hAnsi="Times New Roman"/>
          <w:noProof/>
          <w:sz w:val="24"/>
          <w:lang w:val="fr-FR"/>
        </w:rPr>
        <w:t xml:space="preserve"> cycle du secondaire, 2</w:t>
      </w:r>
      <w:r>
        <w:rPr>
          <w:rFonts w:ascii="Times New Roman" w:hAnsi="Times New Roman"/>
          <w:noProof/>
          <w:sz w:val="24"/>
          <w:vertAlign w:val="superscript"/>
          <w:lang w:val="fr-FR"/>
        </w:rPr>
        <w:t>e</w:t>
      </w:r>
      <w:r>
        <w:rPr>
          <w:rFonts w:ascii="Times New Roman" w:hAnsi="Times New Roman"/>
          <w:noProof/>
          <w:sz w:val="24"/>
          <w:lang w:val="fr-FR"/>
        </w:rPr>
        <w:t xml:space="preserve"> cycle du secondaire et post-secondaire non supérieur, supérieur».</w:t>
      </w:r>
    </w:p>
    <w:p>
      <w:pPr>
        <w:jc w:val="both"/>
        <w:rPr>
          <w:rFonts w:ascii="Times New Roman" w:hAnsi="Times New Roman"/>
          <w:noProof/>
          <w:sz w:val="24"/>
          <w:szCs w:val="24"/>
          <w:lang w:val="fr-FR"/>
        </w:rPr>
      </w:pPr>
      <w:r>
        <w:rPr>
          <w:rFonts w:ascii="Times New Roman" w:hAnsi="Times New Roman"/>
          <w:noProof/>
          <w:sz w:val="24"/>
          <w:lang w:val="fr-FR"/>
        </w:rPr>
        <w:t>Ces modifications s’appliquent depuis le 1</w:t>
      </w:r>
      <w:r>
        <w:rPr>
          <w:rFonts w:ascii="Times New Roman" w:hAnsi="Times New Roman"/>
          <w:noProof/>
          <w:sz w:val="24"/>
          <w:vertAlign w:val="superscript"/>
          <w:lang w:val="fr-FR"/>
        </w:rPr>
        <w:t>er</w:t>
      </w:r>
      <w:r>
        <w:rPr>
          <w:rFonts w:ascii="Times New Roman" w:hAnsi="Times New Roman"/>
          <w:noProof/>
          <w:sz w:val="24"/>
          <w:lang w:val="fr-FR"/>
        </w:rPr>
        <w:t> janvier 2014.</w:t>
      </w:r>
    </w:p>
    <w:p>
      <w:pPr>
        <w:jc w:val="both"/>
        <w:rPr>
          <w:rFonts w:ascii="Times New Roman" w:hAnsi="Times New Roman"/>
          <w:noProof/>
          <w:sz w:val="24"/>
          <w:szCs w:val="24"/>
          <w:lang w:val="fr-FR"/>
        </w:rPr>
      </w:pPr>
      <w:r>
        <w:rPr>
          <w:rFonts w:ascii="Times New Roman" w:hAnsi="Times New Roman"/>
          <w:noProof/>
          <w:sz w:val="24"/>
          <w:lang w:val="fr-FR"/>
        </w:rPr>
        <w:t>La Commission a consulté des experts, y compris les experts nationaux en matière de statistiques sur le tourisme, en ce qui concerne le projet d’acte délégué sur le plan technique (en juin 2012) et au niveau des directeurs (en juillet 2012). Le projet de règlement délégué de la Commission a été présenté aux directeurs généraux des instituts nationaux de statistique de l’UE en novembre 2012.</w:t>
      </w:r>
    </w:p>
    <w:p>
      <w:pPr>
        <w:jc w:val="both"/>
        <w:rPr>
          <w:rFonts w:ascii="Times New Roman" w:hAnsi="Times New Roman"/>
          <w:noProof/>
          <w:sz w:val="24"/>
          <w:szCs w:val="24"/>
          <w:lang w:val="fr-FR"/>
        </w:rPr>
      </w:pPr>
      <w:r>
        <w:rPr>
          <w:rFonts w:ascii="Times New Roman" w:hAnsi="Times New Roman"/>
          <w:noProof/>
          <w:sz w:val="24"/>
          <w:lang w:val="fr-FR"/>
        </w:rPr>
        <w:t xml:space="preserve">La Commission a adopté le règlement délégué le 15 janvier 2013 et l’a notifié au Parlement européen et au Conseil. Ni le Parlement européen ni le Conseil n’ont formulé d’objection audit règlement dans le délai autorisé de deux mois. À l’expiration de ce délai, le règlement délégué a été publié au </w:t>
      </w:r>
      <w:r>
        <w:rPr>
          <w:rFonts w:ascii="Times New Roman" w:hAnsi="Times New Roman"/>
          <w:i/>
          <w:noProof/>
          <w:sz w:val="24"/>
          <w:lang w:val="fr-FR"/>
        </w:rPr>
        <w:t>Journal officiel de l’Union européenne</w:t>
      </w:r>
      <w:r>
        <w:rPr>
          <w:rFonts w:ascii="Times New Roman" w:hAnsi="Times New Roman"/>
          <w:noProof/>
          <w:sz w:val="24"/>
          <w:lang w:val="fr-FR"/>
        </w:rPr>
        <w:t xml:space="preserve"> le 21 mars 2013 et est entré en vigueur le 1</w:t>
      </w:r>
      <w:r>
        <w:rPr>
          <w:rFonts w:ascii="Times New Roman" w:hAnsi="Times New Roman"/>
          <w:noProof/>
          <w:sz w:val="24"/>
          <w:vertAlign w:val="superscript"/>
          <w:lang w:val="fr-FR"/>
        </w:rPr>
        <w:t>er</w:t>
      </w:r>
      <w:r>
        <w:rPr>
          <w:rFonts w:ascii="Times New Roman" w:hAnsi="Times New Roman"/>
          <w:noProof/>
          <w:sz w:val="24"/>
          <w:lang w:val="fr-FR"/>
        </w:rPr>
        <w:t> janvier 2014.</w:t>
      </w:r>
    </w:p>
    <w:p>
      <w:pPr>
        <w:jc w:val="both"/>
        <w:rPr>
          <w:rFonts w:ascii="Times New Roman" w:hAnsi="Times New Roman"/>
          <w:noProof/>
          <w:sz w:val="24"/>
          <w:szCs w:val="24"/>
          <w:lang w:val="fr-FR"/>
        </w:rPr>
      </w:pPr>
      <w:r>
        <w:rPr>
          <w:rFonts w:ascii="Times New Roman" w:hAnsi="Times New Roman"/>
          <w:noProof/>
          <w:sz w:val="24"/>
          <w:lang w:val="fr-FR"/>
        </w:rPr>
        <w:t>L’habilitation reste pertinente, même s’il n’a pas été nécessaire – durant les cinq ans qui ont suivi l’entrée en vigueur du règlement – d’adopter des actes délégués en ce qui concerne les délais de transmission des données ou l’adaptation des annexes afin de tenir compte de l’évolution de la situation économique, sociale ou technique.</w:t>
      </w:r>
    </w:p>
    <w:p>
      <w:pPr>
        <w:jc w:val="both"/>
        <w:rPr>
          <w:rFonts w:ascii="Times New Roman" w:hAnsi="Times New Roman"/>
          <w:b/>
          <w:noProof/>
          <w:sz w:val="24"/>
          <w:szCs w:val="24"/>
          <w:lang w:val="fr-FR"/>
        </w:rPr>
      </w:pPr>
      <w:r>
        <w:rPr>
          <w:rFonts w:ascii="Times New Roman" w:hAnsi="Times New Roman"/>
          <w:b/>
          <w:noProof/>
          <w:sz w:val="24"/>
          <w:lang w:val="fr-FR"/>
        </w:rPr>
        <w:lastRenderedPageBreak/>
        <w:t xml:space="preserve">4. </w:t>
      </w:r>
      <w:r>
        <w:rPr>
          <w:noProof/>
          <w:lang w:val="fr-FR"/>
        </w:rPr>
        <w:tab/>
      </w:r>
      <w:r>
        <w:rPr>
          <w:rFonts w:ascii="Times New Roman" w:hAnsi="Times New Roman"/>
          <w:b/>
          <w:noProof/>
          <w:sz w:val="24"/>
          <w:lang w:val="fr-FR"/>
        </w:rPr>
        <w:t>CONCLUSION</w:t>
      </w:r>
    </w:p>
    <w:p>
      <w:pPr>
        <w:jc w:val="both"/>
        <w:rPr>
          <w:rFonts w:ascii="Times New Roman" w:hAnsi="Times New Roman"/>
          <w:noProof/>
          <w:sz w:val="24"/>
          <w:szCs w:val="24"/>
          <w:lang w:val="fr-FR"/>
        </w:rPr>
      </w:pPr>
      <w:r>
        <w:rPr>
          <w:rFonts w:ascii="Times New Roman" w:hAnsi="Times New Roman"/>
          <w:noProof/>
          <w:sz w:val="24"/>
          <w:lang w:val="fr-FR"/>
        </w:rPr>
        <w:t>La Commission a correctement exercé ses pouvoirs délégués et invite le Parlement européen et le Conseil à prendre acte du présent rapport.</w:t>
      </w:r>
    </w:p>
    <w:p>
      <w:pPr>
        <w:rPr>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4</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13" w:hanging="113"/>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Règlement (UE) nº 692/2011 du Parlement européen et du Conseil du 6 juillet 2011 concernant les statistiques européennes sur le tourisme et abrogeant la directive 95/57/CE du Conseil (JO L 192 du 22.7.2011, p. 17).</w:t>
      </w:r>
    </w:p>
  </w:footnote>
  <w:footnote w:id="2">
    <w:p>
      <w:pPr>
        <w:pStyle w:val="FootnoteText"/>
        <w:ind w:left="113" w:hanging="113"/>
        <w:rPr>
          <w:rFonts w:ascii="Times New Roman" w:hAnsi="Times New Roman"/>
          <w:lang w:val="fr-FR"/>
        </w:rPr>
      </w:pPr>
      <w:r>
        <w:rPr>
          <w:rStyle w:val="FootnoteReference"/>
          <w:rFonts w:ascii="Times New Roman" w:hAnsi="Times New Roman"/>
        </w:rPr>
        <w:footnoteRef/>
      </w:r>
      <w:r>
        <w:rPr>
          <w:rStyle w:val="FootnoteReference"/>
          <w:rFonts w:ascii="Times New Roman" w:hAnsi="Times New Roman"/>
          <w:lang w:val="fr-FR"/>
        </w:rPr>
        <w:t xml:space="preserve"> </w:t>
      </w:r>
      <w:r>
        <w:rPr>
          <w:rFonts w:ascii="Times New Roman" w:hAnsi="Times New Roman"/>
          <w:lang w:val="fr-FR"/>
        </w:rPr>
        <w:t>Directive 95/57/CE du Conseil du 23 novembre 1995 concernant la collecte d’informations statistiques dans le domaine du tourisme (JO L 291 du 6.12.1995, p. 32).</w:t>
      </w:r>
    </w:p>
  </w:footnote>
  <w:footnote w:id="3">
    <w:p>
      <w:pPr>
        <w:ind w:left="113" w:hanging="113"/>
        <w:rPr>
          <w:rFonts w:ascii="Times New Roman" w:hAnsi="Times New Roman"/>
          <w:sz w:val="20"/>
          <w:szCs w:val="20"/>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sz w:val="20"/>
          <w:lang w:val="fr-FR"/>
        </w:rPr>
        <w:t>Règlement délégué (UE) nº 253/2013 de la Commission du 15 janvier 2013 modifiant l’annexe II du règlement (UE) nº 692/2011 du Parlement européen et du Conseil en ce qui concerne les adaptations effectuées après la révision de la Classification internationale type de l’éducation (CITE) pour ce qui est des variables et des ventilations à transmettre (JO L 79 du 21.3.2013, p.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ECB"/>
    <w:multiLevelType w:val="hybridMultilevel"/>
    <w:tmpl w:val="DBDA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D68F3"/>
    <w:multiLevelType w:val="hybridMultilevel"/>
    <w:tmpl w:val="1FD8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38419C"/>
    <w:multiLevelType w:val="hybridMultilevel"/>
    <w:tmpl w:val="752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FB2893F1FD7D44CAACD041362CB0365A"/>
    <w:docVar w:name="LW_CROSSREFERENCE" w:val="&lt;UNUSED&gt;"/>
    <w:docVar w:name="LW_DocType" w:val="NORMAL"/>
    <w:docVar w:name="LW_EMISSION" w:val="20.1.2016"/>
    <w:docVar w:name="LW_EMISSION_ISODATE" w:val="2016-01-2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
    <w:docVar w:name="LW_REF.INTERNE" w:val="&lt;UNUSED&gt;"/>
    <w:docVar w:name="LW_SOUS.TITRE.OBJ.CP" w:val="&lt;UNUSED&gt;"/>
    <w:docVar w:name="LW_SUPERTITRE" w:val="&lt;UNUSED&gt;"/>
    <w:docVar w:name="LW_TITRE.OBJ.CP" w:val="relatif à l\u8217?exercice du pouvoir d\u8217?adopter des actes délégués conféré à la Commission par le règlement (UE) nº 692/2011 du Parlement européen et du Conseil concernant les statistiques européennes sur le tourisme"/>
    <w:docVar w:name="LW_TYPE.DOC.CP" w:val="RAPPORT DE LA COMMISSION AU PARLEMENT EUROPÉEN ET AU CONSEIL"/>
    <w:docVar w:name="Stamp" w:val="\\dossiers.dgt.cec.eu.int\dossiers\ESTAT\ESTAT-2015-10437\ESTAT-2015-10437-00-00-EN-REV-00.DOC"/>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lang w:val="fr-FR" w:eastAsia="fr-FR"/>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lang w:val="fr-FR" w:eastAsia="fr-FR"/>
    </w:rPr>
  </w:style>
  <w:style w:type="character" w:customStyle="1" w:styleId="HeaderCoverPageChar">
    <w:name w:val="Header Cover Page Char"/>
    <w:link w:val="HeaderCoverPage"/>
    <w:rPr>
      <w:rFonts w:ascii="Times New Roman" w:hAnsi="Times New Roman"/>
      <w:sz w:val="24"/>
    </w:rPr>
  </w:style>
  <w:style w:type="paragraph" w:styleId="FootnoteText">
    <w:name w:val="footnote text"/>
    <w:basedOn w:val="Normal"/>
    <w:uiPriority w:val="99"/>
    <w:semiHidden/>
    <w:unhideWhenUsed/>
    <w:rPr>
      <w:sz w:val="20"/>
      <w:szCs w:val="20"/>
    </w:rPr>
  </w:style>
  <w:style w:type="character" w:customStyle="1" w:styleId="FootnoteTextChar">
    <w:name w:val="Footnote Text Char"/>
    <w:uiPriority w:val="99"/>
    <w:semiHidden/>
    <w:rPr>
      <w:rFonts w:ascii="Calibri" w:eastAsia="Calibri" w:hAnsi="Calibri" w:cs="Times New Roman"/>
      <w:sz w:val="20"/>
      <w:szCs w:val="20"/>
      <w:lang w:val="en-GB"/>
    </w:rPr>
  </w:style>
  <w:style w:type="character" w:styleId="FootnoteReference">
    <w:name w:val="footnote reference"/>
    <w:semiHidden/>
    <w:rPr>
      <w:shd w:val="clear" w:color="auto" w:fill="auto"/>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D1AE7-D09B-46E6-8BF9-2970EC88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755</Words>
  <Characters>4082</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dcterms:created xsi:type="dcterms:W3CDTF">2016-01-11T13:32:00Z</dcterms:created>
  <dcterms:modified xsi:type="dcterms:W3CDTF">2016-01-14T12:02:00Z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