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9E510AC4B243BA85D09AF2B76D3D5E"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предназначени да отстраняват техническите пречки пред търговията с моторни превозни средства между страните по Ревизираното споразумение от 1958 г. и да гарантират,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на ИКЕ на ООН — Световния форум за хармонизация на правилата за превозните средства — се провеждат на три пъти всяка календарна година — през март, юни и ноември. На всяко заседание се приемат нови правила на ООН, изменения на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изменения.</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споразумения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което оправомощава Комисията да гласува от името на Съюза на съответното заседание на Работна група 29.</w:t>
      </w:r>
    </w:p>
    <w:p>
      <w:pPr>
        <w:rPr>
          <w:noProof/>
        </w:rPr>
      </w:pPr>
      <w:r>
        <w:rPr>
          <w:noProof/>
        </w:rPr>
        <w:t>С настоящото решение на Съвета се определя позицията на Съюза при гласуване на правилата, измененията, допълненията и поправките на заседанието на Работна група 29 през март 2016 г., което ще се проведе от 7 до 11 март 2016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t xml:space="preserve">Системата на Работна група 29 засилва международното хармонизиране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w:t>
      </w:r>
      <w:r>
        <w:rPr>
          <w:noProof/>
        </w:rPr>
        <w:lastRenderedPageBreak/>
        <w:t>одобрение на типа със съзнанието, че страните по споразумението ще признаят съответствието на продуктите им със съответното национално законодателство. Тази схема направи възможно чрез Регламент (ЕО) № 661/2009 относно общата безопасност на моторните превозни средства да се отменят повече от 50 директиви на ЕС и да се заменят със съответните правила, разработени съгласно споразумението от 1958 г.</w:t>
      </w:r>
    </w:p>
    <w:p>
      <w:pPr>
        <w:rPr>
          <w:noProof/>
        </w:rPr>
      </w:pPr>
      <w:r>
        <w:rPr>
          <w:noProof/>
        </w:rPr>
        <w:t>Подобен подход бе приложен и към Директива 2007/46/ЕО, с която системите за одобрение в отделните държави членки бяха заменени с процедура на Съюза за одобрение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ИКЕ на ООН бяха включени в системата на ЕС за одобрение на типа на превозните средства като изисквания за одобрение на типа или като алтернативи на законодателството на Съюза. След приемането на посочената директива правилата на ООН във все по-голяма степен се включват в законодателството на Съюза в рамките на системата на ЕС за одобрение на типа.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политиките на Съюза в областта на транспорта и енергетиката, които са надлежно разгледани в процеса на изготвяне и приемане на правилата, попадащи обхвата на споразумението от 1958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на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Гласуването в подкрепа на инструменти на международно ниво, като предложения за правила на ООН, изменения на правила на ООН и проекти на глобални технически правила, и включването им в системата на Съюза за одобрение на типа на моторните превозни средства може да бъде направено единствено от Съюза. Това не само предотвратява разпокъсването на вътрешния пазар, но също така гарантира еднакви стандарти за опазване на здравето и за безопасност в Съюза. Налице са и ползи от гледна точка на икономиите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решение на Съвета оправомощава Комисията да гласува от името на Съюза и е пропорционален инструмент в съответствие с член 5, параграф 1 от Решение 97/836/ЕО на Съвета с цел да се определи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член 218, параграф 9 от ДФЕС е предвидено, че за да бъдат определени позициите, които да бъдат възприети от името на Съюза в орган, създаден чрез международно споразумение, е необходимо решение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се прилага.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се прилагат за настоящото предложение. То обаче беше разгледано от Техническия комитет по моторните превозни средства.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не може да бъде предмет на оценка на въздействието, тъй като то не е от законодателно естество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По отношение на административната тежест инициативата няма отражение, тъй като позоваванията относно измененията, приложени към мегарешението, не въвеждат нови задължения за докладване или други административни задължения за предприятията, включително за МСП. Напротив, цели се намаляването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одобрение на компоненти и системи не само в ЕС, но и на експортните пазари на страните по споразумението от 1958 г. извън ЕС.</w:t>
      </w:r>
    </w:p>
    <w:p>
      <w:pPr>
        <w:rPr>
          <w:noProof/>
        </w:rPr>
      </w:pPr>
      <w:r>
        <w:rPr>
          <w:noProof/>
        </w:rPr>
        <w:t>Предложението има много положително въздействие върху конкурентоспособността на автомобилната промишленост в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бариери пред търговията и за отваряне или разширяване на достъпа до съответните пазари за автомобилни предприятия от ЕС.</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Настоящата инициатива не оказва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rPr>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pPr>
      <w:r>
        <w:rPr>
          <w:noProof/>
        </w:rPr>
        <w:t>С предложението се определя позицията на Съюза при гласуване на предложенията за изменения на правила № 10, 34, 41, 46, 48, 50, 51, 53, 55, 60, 73, 83, 94, 107, 110, 113, 118, 125, 128, 130 и 131 на ООН и на ново правило на ООН относно одобрението на тихи пътни превозни средства.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2016/0046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да се заеме от името на Европейския съюз в рамките на съответните комитети на Икономическата комисия за Европа на Организацията на обединените нации по отношение на предложенията за изменения на правила № 10, 34, 41, 46, 48, 50, 51, 53, 55, 60, 73, 83, 94, 107, 110, 113, 118, 125, 128, 130 и 131 на ООН, както и по отношение на ново правило на ООН относно одобрението на тихите пътни превозни средства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Решение 97/836/ЕО на Съвета</w:t>
      </w:r>
      <w:r>
        <w:rPr>
          <w:rStyle w:val="FootnoteReference"/>
          <w:noProof/>
        </w:rPr>
        <w:footnoteReference w:id="1"/>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w:t>
      </w:r>
    </w:p>
    <w:p>
      <w:pPr>
        <w:pStyle w:val="ManualConsidrant"/>
        <w:rPr>
          <w:noProof/>
        </w:rPr>
      </w:pPr>
      <w:r>
        <w:t>(2)</w:t>
      </w:r>
      <w:r>
        <w:tab/>
      </w:r>
      <w:r>
        <w:rPr>
          <w:noProof/>
        </w:rPr>
        <w:t>В съответствие с Решение 2000/125/ЕО на Съвета</w:t>
      </w:r>
      <w:r>
        <w:rPr>
          <w:rStyle w:val="FootnoteReference"/>
          <w:noProof/>
        </w:rPr>
        <w:footnoteReference w:id="2"/>
      </w:r>
      <w:r>
        <w:rPr>
          <w:noProof/>
        </w:rPr>
        <w:t xml:space="preserve"> Съюзът се присъедини към Споразумението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w:t>
      </w:r>
    </w:p>
    <w:p>
      <w:pPr>
        <w:pStyle w:val="ManualConsidrant"/>
        <w:rPr>
          <w:noProof/>
        </w:rPr>
      </w:pPr>
      <w:r>
        <w:t>(3)</w:t>
      </w:r>
      <w:r>
        <w:tab/>
      </w:r>
      <w:r>
        <w:rPr>
          <w:noProof/>
        </w:rPr>
        <w:t>С Директива 2007/46/ЕО на Европейския парламент и на Съвета</w:t>
      </w:r>
      <w:r>
        <w:rPr>
          <w:rStyle w:val="FootnoteReference"/>
          <w:noProof/>
        </w:rPr>
        <w:footnoteReference w:id="3"/>
      </w:r>
      <w:r>
        <w:rPr>
          <w:noProof/>
        </w:rPr>
        <w:t xml:space="preserve"> системите за одобрение в отделните държави членки бяха заменени с процедура на Съюза за одобрение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ИКЕ на ООН бяха включени в системата на ЕС за одобрение на типа на превозните средства като изисквания за одобрение на типа или като алтернативи на законодателството на Съюза. След приемането на посочената директива правилата на ООН във все по-голяма степен се включват в законодателството на Съюза в рамките на системата на ЕС за одобряване на типа.</w:t>
      </w:r>
    </w:p>
    <w:p>
      <w:pPr>
        <w:pStyle w:val="ManualConsidrant"/>
        <w:rPr>
          <w:noProof/>
        </w:rPr>
      </w:pPr>
      <w:r>
        <w:t>(4)</w:t>
      </w:r>
      <w:r>
        <w:tab/>
      </w:r>
      <w:r>
        <w:rPr>
          <w:noProof/>
        </w:rPr>
        <w:t>Предвид натрупания опит и развитието на техниката е необходимо да бъдат адаптирани в съответствие с техническия прогрес изискванията към някои елементи или характеристики, които са предмет на правила № 10, 34, 41, 46, 48, 50, 51, 53, 55, 60, 73, 83, 107, 110, 113, 118, 125, 128, 130 и 131 на ООН.</w:t>
      </w:r>
    </w:p>
    <w:p>
      <w:pPr>
        <w:pStyle w:val="ManualConsidrant"/>
        <w:rPr>
          <w:noProof/>
        </w:rPr>
      </w:pPr>
      <w:r>
        <w:t>(5)</w:t>
      </w:r>
      <w:r>
        <w:tab/>
      </w:r>
      <w:r>
        <w:rPr>
          <w:noProof/>
        </w:rPr>
        <w:t>С цел да се установят еднакви разпоредби относно одобрението на тихи пътни превозни средства с оглед на тяхната ограничена чуваемост следва да бъде прието ново правило на ООН относно тихите превозни средства.</w:t>
      </w:r>
    </w:p>
    <w:p>
      <w:pPr>
        <w:pStyle w:val="ManualConsidrant"/>
        <w:rPr>
          <w:noProof/>
        </w:rPr>
      </w:pPr>
      <w:r>
        <w:t>(6)</w:t>
      </w:r>
      <w:r>
        <w:tab/>
      </w:r>
      <w:r>
        <w:rPr>
          <w:noProof/>
        </w:rPr>
        <w:t>Поради това е необходимо да се определи позицията, която трябва да се заеме от името на Съюза в Административния комитет по Ревизираното споразумение от 1958 г. и в Изпълнителния комитет по Паралелното споразумение относно приемането на горепосочените актове на ООН,</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на заседанието, което ще се проведе в периода от 7 до 11 март 2016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0A63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B4A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BE9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8E0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809F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D2C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C6D7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C5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09:58: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59E510AC4B243BA85D09AF2B76D3D5E"/>
    <w:docVar w:name="LW_CROSSREFERENCE" w:val="&lt;UNUSED&gt;"/>
    <w:docVar w:name="LW_DocType" w:val="COM"/>
    <w:docVar w:name="LW_EMISSION" w:val="18.2.2016"/>
    <w:docVar w:name="LW_EMISSION_ISODATE" w:val="2016-02-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6"/>
    <w:docVar w:name="LW_REF.II.NEW.CP_YEAR" w:val="2016"/>
    <w:docVar w:name="LW_REF.INST.NEW" w:val="COM"/>
    <w:docVar w:name="LW_REF.INST.NEW_ADOPTED" w:val="final"/>
    <w:docVar w:name="LW_REF.INST.NEW_TEXT" w:val="(2016) 76"/>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0?\u1079?\u1084?\u1077?\u1085?\u1077?\u1085?\u1080?\u1103? \u1085?\u1072? \u1087?\u1088?\u1072?\u1074?\u1080?\u1083?\u1072? \u8470? 10, 34, 41, 46, 48, 50, 51, 53, 55, 60, 73, 83, 94, 107, 110, 113, 118, 125, 128, 130 \u1080? 131 \u1085?\u1072? \u1054?\u1054?\u1053?, \u1082?\u1072?\u1082?\u1090?\u1086? \u1080? \u1087?\u1086? \u1086?\u1090?\u1085?\u1086?\u1096?\u1077?\u1085?\u1080?\u1077? \u1085?\u1072? \u1085?\u1086?\u1074?\u1086? \u1087?\u1088?\u1072?\u1074?\u1080?\u1083?\u1086? \u1085?\u1072? \u1054?\u1054?\u1053? \u1086?\u1090?\u1085?\u1086?\u1089?\u1085?\u1086? \u1086?\u1076?\u1086?\u1073?\u1088?\u1077?\u1085?\u1080?\u1077?\u1090?\u1086? \u1085?\u1072? \u1090?\u1080?\u1093?\u1080?\u1090?\u1077? \u1087?\u1098?\u1090?\u1085?\u1080? \u1087?\u1088?\u1077?\u1074?\u1086?\u1079?\u1085?\u1080? \u1089?\u1088?\u1077?\u1076?\u1089?\u1090?\u107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6CB1-0023-4A82-9A6F-FCFCEDF9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1881</Words>
  <Characters>10727</Characters>
  <Application>Microsoft Office Word</Application>
  <DocSecurity>0</DocSecurity>
  <Lines>202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2016-01-21T13:26:00Z</cp:lastPrinted>
  <dcterms:created xsi:type="dcterms:W3CDTF">2016-02-01T12:50:00Z</dcterms:created>
  <dcterms:modified xsi:type="dcterms:W3CDTF">2016-02-11T08:58:00Z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