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4FD43E55BF242238C8B384DCB47A82C"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tbl>
      <w:tblPr>
        <w:tblW w:w="9800" w:type="dxa"/>
        <w:tblInd w:w="93" w:type="dxa"/>
        <w:tblLook w:val="04A0" w:firstRow="1" w:lastRow="0" w:firstColumn="1" w:lastColumn="0" w:noHBand="0" w:noVBand="1"/>
      </w:tblPr>
      <w:tblGrid>
        <w:gridCol w:w="1120"/>
        <w:gridCol w:w="1000"/>
        <w:gridCol w:w="5000"/>
        <w:gridCol w:w="2680"/>
      </w:tblGrid>
      <w:tr>
        <w:trPr>
          <w:trHeight w:val="630"/>
        </w:trPr>
        <w:tc>
          <w:tcPr>
            <w:tcW w:w="1120"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Règl. nº</w:t>
            </w:r>
          </w:p>
        </w:tc>
        <w:tc>
          <w:tcPr>
            <w:tcW w:w="10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Point de l’ordre du jour</w:t>
            </w:r>
          </w:p>
        </w:tc>
        <w:tc>
          <w:tcPr>
            <w:tcW w:w="50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268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doc.</w:t>
            </w:r>
          </w:p>
        </w:tc>
      </w:tr>
      <w:tr>
        <w:trPr>
          <w:trHeight w:val="87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série 05 d’amendements au règlement nº 10 (compatibilité électromagnétique)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ECE/TRANS/WP.29/2016/16</w:t>
            </w:r>
          </w:p>
        </w:tc>
      </w:tr>
      <w:tr>
        <w:trPr>
          <w:trHeight w:val="78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4.9.2.</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3 à la série 04 d’amendements au règlement nº 10 (compatibilité électromagnétique)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ECE/TRANS/WP.29/2016/17</w:t>
            </w:r>
          </w:p>
        </w:tc>
      </w:tr>
      <w:tr>
        <w:trPr>
          <w:trHeight w:val="55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34</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série 03 d’amendements au règlement nº 34 (prévention des risques d’incendie)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ECE/TRANS/WP.29/2016/8</w:t>
            </w:r>
          </w:p>
        </w:tc>
      </w:tr>
      <w:tr>
        <w:trPr>
          <w:trHeight w:val="75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4.6.1.</w:t>
            </w:r>
          </w:p>
        </w:tc>
        <w:tc>
          <w:tcPr>
            <w:tcW w:w="5000" w:type="dxa"/>
            <w:tcBorders>
              <w:top w:val="nil"/>
              <w:left w:val="nil"/>
              <w:bottom w:val="single" w:sz="4" w:space="0" w:color="auto"/>
              <w:right w:val="single" w:sz="4" w:space="0" w:color="auto"/>
            </w:tcBorders>
            <w:shd w:val="clear" w:color="auto" w:fill="auto"/>
            <w:hideMark/>
          </w:tcPr>
          <w:p>
            <w:pPr>
              <w:spacing w:before="0" w:after="240"/>
              <w:jc w:val="left"/>
              <w:rPr>
                <w:rFonts w:ascii="Times" w:eastAsia="Times New Roman" w:hAnsi="Times" w:cs="Times"/>
                <w:noProof/>
                <w:sz w:val="20"/>
                <w:szCs w:val="20"/>
              </w:rPr>
            </w:pPr>
            <w:r>
              <w:rPr>
                <w:rFonts w:ascii="Times" w:hAnsi="Times"/>
                <w:noProof/>
                <w:sz w:val="20"/>
              </w:rPr>
              <w:t xml:space="preserve">Proposition de complément 4 à la série 04 d’amendements au règlement nº 41 (émissions de bruit des motocycles)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ECE/TRANS/WP.29/2016/3</w:t>
            </w:r>
          </w:p>
        </w:tc>
      </w:tr>
      <w:tr>
        <w:trPr>
          <w:trHeight w:val="52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4.8.2.</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3 à la série 04 d’amendements au règlement nº 46 (systèmes de vision indirecte)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ECE/TRANS/WP.29/2016/9</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4.9.3.</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7 à la série 06 d’amendements au règlement nº 48 (installation des dispositifs d’éclairage et de signalisation lumineuse)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ECE/TRANS/WP.29/2016/18</w:t>
            </w:r>
          </w:p>
        </w:tc>
      </w:tr>
      <w:tr>
        <w:trPr>
          <w:trHeight w:val="61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4.9.4.</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9 à la série 05 d’amendements au règlement nº 48 (installation des dispositifs d’éclairage et de signalisation lumineuse)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ECE/TRANS/WP.29/2016/19</w:t>
            </w:r>
          </w:p>
        </w:tc>
      </w:tr>
      <w:tr>
        <w:trPr>
          <w:trHeight w:val="79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4.9.5.</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 xml:space="preserve">Proposition de complément 16 à la série 04 d’amendements au règlement nº 48 (installation des dispositifs d’éclairage et de signalisation lumineuse)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4.9.6.</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18 à la série originale d’amendements au règlement n</w:t>
            </w:r>
            <w:r>
              <w:rPr>
                <w:rFonts w:ascii="Times" w:hAnsi="Times"/>
                <w:noProof/>
                <w:sz w:val="20"/>
                <w:vertAlign w:val="superscript"/>
              </w:rPr>
              <w:t>o</w:t>
            </w:r>
            <w:r>
              <w:rPr>
                <w:rFonts w:ascii="Times" w:hAnsi="Times"/>
                <w:noProof/>
                <w:sz w:val="20"/>
              </w:rPr>
              <w:t xml:space="preserve"> 50 (feux de position, feux-stop et feux indicateurs de direction pour les cyclomoteurs et les motocycles)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ECE/TRANS/WP.29/2016/21</w:t>
            </w:r>
          </w:p>
        </w:tc>
      </w:tr>
      <w:tr>
        <w:trPr>
          <w:trHeight w:val="61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4.6.2.</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série 03 d’amendements au règlement nº 51 (bruit des véhicules des catégories M et N)</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ECE/TRANS/WP.29/2016/4</w:t>
            </w:r>
          </w:p>
        </w:tc>
      </w:tr>
      <w:tr>
        <w:trPr>
          <w:trHeight w:val="87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53</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4.9.7.</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18 à la série 01 d’amendements au règlement nº 53 (installation des dispositifs d’éclairage et de signalisation lumineuse pour les véhicules L3)</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ECE/TRANS/WP.29/2016/22</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53</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4.9.8.</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 xml:space="preserve">Proposition de nouvelle série 02 d’amendements au règlement nº 53 (installation des dispositifs d’éclairage et de signalisation lumineuse pour les véhicules L3)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ECE/TRANS/WP.29/2016/23</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55</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4.7.1.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5 à la série 01 d’amendements au règlement nº 55 (liaisons mécaniques)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ECE/TRANS/WP.29/2016/5</w:t>
            </w:r>
          </w:p>
        </w:tc>
      </w:tr>
      <w:tr>
        <w:trPr>
          <w:trHeight w:val="87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60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4.15.1.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5 au règlement n</w:t>
            </w:r>
            <w:r>
              <w:rPr>
                <w:rFonts w:ascii="Times" w:hAnsi="Times"/>
                <w:noProof/>
                <w:sz w:val="20"/>
                <w:vertAlign w:val="superscript"/>
              </w:rPr>
              <w:t>o</w:t>
            </w:r>
            <w:r>
              <w:rPr>
                <w:rFonts w:ascii="Times" w:hAnsi="Times"/>
                <w:noProof/>
                <w:sz w:val="20"/>
              </w:rPr>
              <w:t> 60 (identification des commandes, voyants et indicateurs pour les cyclomoteurs et les motocycles)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73</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4.12.1.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rectificatif 1 (français uniquement) à la série 01 d’amendements au règlement nº 73 (dispositifs de protection latérale)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ECE/TRANS/WP.29/2016/31</w:t>
            </w:r>
          </w:p>
        </w:tc>
      </w:tr>
      <w:tr>
        <w:trPr>
          <w:trHeight w:val="64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83</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4.15.2.</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 à la série 07 d’amendements au règlement nº 83 (émissions des véhicules M1 et N1)</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ECE/TRANS/WP.29/2016/28</w:t>
            </w:r>
          </w:p>
        </w:tc>
      </w:tr>
      <w:tr>
        <w:trPr>
          <w:trHeight w:val="64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lastRenderedPageBreak/>
              <w:t>94</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4.11.1.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rectificatif 3 (russe uniquement) à la série 01 d’amendements au règlement nº 94 (protection en cas de collision frontale)</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ECE/TRANS/WP.29/2016/32</w:t>
            </w:r>
          </w:p>
        </w:tc>
      </w:tr>
      <w:tr>
        <w:trPr>
          <w:trHeight w:val="87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107</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4.8.3.</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5 à la série 05 d’amendements au règlement nº 107 (caractéristiques générales de construction d’autobus et d’autocars)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ECE/TRANS/WP.29/2016/10</w:t>
            </w:r>
          </w:p>
        </w:tc>
      </w:tr>
      <w:tr>
        <w:trPr>
          <w:trHeight w:val="84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107</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4.8.4.</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5 à la série 06 d’amendements au règlement nº 107 (caractéristiques générales de construction d’autobus et d’autocars)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ECE/TRANS/WP.29/2016/11</w:t>
            </w:r>
          </w:p>
        </w:tc>
      </w:tr>
      <w:tr>
        <w:trPr>
          <w:trHeight w:val="55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107</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4.8.5.</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projet de série 07 d’amendements au règlement nº 107 (caractéristiques générales de construction d’autobus et d’autocars)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ECE/TRANS/WP.29/2016/12</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4.8.6.</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série 02 d’amendements au règlement nº 110 (véhicules fonctionnant au GNC ou au GNL)</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ECE/TRANS/WP.29/2016/13</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113</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4.9.9.</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 xml:space="preserve">Proposition de complément 6 à la série 01 d’amendements au règlement nº 113 (projecteurs émettant un faisceau de croisement symétrique)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118</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4.8.7.</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 à la série 02 d’amendements au règlement nº 118 (comportement au feu de certains matériaux)</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125</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4.8.8.</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à la série 01 d’amendements au règlement nº 125 (champ de vision du conducteur vers l’avant)</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ECE/TRANS/WP.29/2016/15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128</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4.9.10.</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 xml:space="preserve">Proposition de complément 5 à la série originale d’amendements au règlement nº 128 (sources lumineuses à diodes électroluminescentes (DEL))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ECE/TRANS/WP.29/2016/25</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130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4.7.2.</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1 au règlement nº 130 (système d’avertissement de franchissement de ligne (LDWS))</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ECE/TRANS/WP.29/2016/6</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131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4.7.3.</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complément 2 à la série 01 d’amendements au règlement n</w:t>
            </w:r>
            <w:r>
              <w:rPr>
                <w:rFonts w:ascii="Times" w:hAnsi="Times"/>
                <w:noProof/>
                <w:sz w:val="20"/>
                <w:vertAlign w:val="superscript"/>
              </w:rPr>
              <w:t>o</w:t>
            </w:r>
            <w:r>
              <w:rPr>
                <w:rFonts w:ascii="Times" w:hAnsi="Times"/>
                <w:noProof/>
                <w:sz w:val="20"/>
              </w:rPr>
              <w:t xml:space="preserve"> 131 (systèmes avancés de freinage d’urgence (AEBS)) </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ECE/TRANS/WP.29/2016/7</w:t>
            </w:r>
          </w:p>
        </w:tc>
      </w:tr>
      <w:tr>
        <w:trPr>
          <w:trHeight w:val="675"/>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 </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ascii="Times" w:eastAsia="Times New Roman" w:hAnsi="Times" w:cs="Times"/>
                <w:noProof/>
                <w:sz w:val="20"/>
                <w:szCs w:val="20"/>
              </w:rPr>
            </w:pPr>
            <w:r>
              <w:rPr>
                <w:rFonts w:ascii="Times" w:hAnsi="Times"/>
                <w:noProof/>
                <w:sz w:val="20"/>
              </w:rPr>
              <w:t>4.13.1.</w:t>
            </w:r>
          </w:p>
        </w:tc>
        <w:tc>
          <w:tcPr>
            <w:tcW w:w="500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Proposition de nouveau règlement concernant l’homologation des véhicules routiers silencieux (QRTV)</w:t>
            </w:r>
          </w:p>
        </w:tc>
        <w:tc>
          <w:tcPr>
            <w:tcW w:w="2680" w:type="dxa"/>
            <w:tcBorders>
              <w:top w:val="nil"/>
              <w:left w:val="nil"/>
              <w:bottom w:val="single" w:sz="4" w:space="0" w:color="auto"/>
              <w:right w:val="single" w:sz="4" w:space="0" w:color="auto"/>
            </w:tcBorders>
            <w:shd w:val="clear" w:color="auto" w:fill="auto"/>
            <w:hideMark/>
          </w:tcPr>
          <w:p>
            <w:pPr>
              <w:spacing w:before="0" w:after="0"/>
              <w:jc w:val="left"/>
              <w:rPr>
                <w:rFonts w:ascii="Times" w:eastAsia="Times New Roman" w:hAnsi="Times" w:cs="Times"/>
                <w:noProof/>
                <w:sz w:val="20"/>
                <w:szCs w:val="20"/>
              </w:rPr>
            </w:pPr>
            <w:r>
              <w:rPr>
                <w:rFonts w:ascii="Times" w:hAnsi="Times"/>
                <w:noProof/>
                <w:sz w:val="20"/>
              </w:rPr>
              <w:t>ECE/TRANS/WP.29/2016/26</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BC5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7A0B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2C8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F68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604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C69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1438F4"/>
    <w:lvl w:ilvl="0">
      <w:start w:val="1"/>
      <w:numFmt w:val="decimal"/>
      <w:pStyle w:val="ListNumber"/>
      <w:lvlText w:val="%1."/>
      <w:lvlJc w:val="left"/>
      <w:pPr>
        <w:tabs>
          <w:tab w:val="num" w:pos="360"/>
        </w:tabs>
        <w:ind w:left="360" w:hanging="360"/>
      </w:pPr>
    </w:lvl>
  </w:abstractNum>
  <w:abstractNum w:abstractNumId="7">
    <w:nsid w:val="FFFFFF89"/>
    <w:multiLevelType w:val="singleLevel"/>
    <w:tmpl w:val="79B0CB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oNotTrackMoves/>
  <w:defaultTabStop w:val="720"/>
  <w:hyphenationZone w:val="425"/>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11 09:5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4FD43E55BF242238C8B384DCB47A82C"/>
    <w:docVar w:name="LW_CROSSREFERENCE" w:val="&lt;UNUSED&gt;"/>
    <w:docVar w:name="LW_DocType" w:val="ANNEX"/>
    <w:docVar w:name="LW_EMISSION" w:val="18.2.2016"/>
    <w:docVar w:name="LW_EMISSION_ISODATE" w:val="2016-02-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établissant la position à adopter au nom de l\u8217?Union européenne, au sein des comités compétents de la Commission économique pour l\u8217?Europe des Nations unies, sur les propositions d\u8217?amendements aux règlements nos10, 34, 41, 46, 48, 50, 51, 53, 55, 60, 73, 83, 94, 107, 110, 113, 118, 125, 128, 130 et 131 de l\u8217?ONU et sur la proposition de nouveau règlement concernant l\u8217?homologation des véhicules routiers silencieux (QRTV)"/>
    <w:docVar w:name="LW_OBJETACTEPRINCIPAL_CONTENT_FMTD" w:val="établissant la position à adopter au nom de l\u8217?Union européenne, au sein des comités compétents de la Commission économique pour l\u8217?Europe des Nations unies, sur les propositions d\u8217?amendements aux règlements nos10, 34, 41, 46, 48, 50, 51, 53, 55, 60, 73, 83, 94, 107, 110, 113, 118, 125, 128, 130 et 131 de l\u8217?ONU et sur la proposition de nouveau règlement concernant l\u8217?homologation des véhicules routiers silencieux (QRTV)"/>
    <w:docVar w:name="LW_OBJETACTEPRINCIPAL_USEMAINTEXTFORCP" w:val="1"/>
    <w:docVar w:name="LW_PART_NBR" w:val="1"/>
    <w:docVar w:name="LW_PART_NBR_TOTAL" w:val="1"/>
    <w:docVar w:name="LW_REF.INST.NEW" w:val="COM"/>
    <w:docVar w:name="LW_REF.INST.NEW_ADOPTED" w:val="final"/>
    <w:docVar w:name="LW_REF.INST.NEW_TEXT" w:val="(2016) 76"/>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4683">
      <w:bodyDiv w:val="1"/>
      <w:marLeft w:val="0"/>
      <w:marRight w:val="0"/>
      <w:marTop w:val="0"/>
      <w:marBottom w:val="0"/>
      <w:divBdr>
        <w:top w:val="none" w:sz="0" w:space="0" w:color="auto"/>
        <w:left w:val="none" w:sz="0" w:space="0" w:color="auto"/>
        <w:bottom w:val="none" w:sz="0" w:space="0" w:color="auto"/>
        <w:right w:val="none" w:sz="0" w:space="0" w:color="auto"/>
      </w:divBdr>
    </w:div>
    <w:div w:id="271404448">
      <w:bodyDiv w:val="1"/>
      <w:marLeft w:val="0"/>
      <w:marRight w:val="0"/>
      <w:marTop w:val="0"/>
      <w:marBottom w:val="0"/>
      <w:divBdr>
        <w:top w:val="none" w:sz="0" w:space="0" w:color="auto"/>
        <w:left w:val="none" w:sz="0" w:space="0" w:color="auto"/>
        <w:bottom w:val="none" w:sz="0" w:space="0" w:color="auto"/>
        <w:right w:val="none" w:sz="0" w:space="0" w:color="auto"/>
      </w:divBdr>
    </w:div>
    <w:div w:id="617445644">
      <w:bodyDiv w:val="1"/>
      <w:marLeft w:val="0"/>
      <w:marRight w:val="0"/>
      <w:marTop w:val="0"/>
      <w:marBottom w:val="0"/>
      <w:divBdr>
        <w:top w:val="none" w:sz="0" w:space="0" w:color="auto"/>
        <w:left w:val="none" w:sz="0" w:space="0" w:color="auto"/>
        <w:bottom w:val="none" w:sz="0" w:space="0" w:color="auto"/>
        <w:right w:val="none" w:sz="0" w:space="0" w:color="auto"/>
      </w:divBdr>
    </w:div>
    <w:div w:id="649867829">
      <w:bodyDiv w:val="1"/>
      <w:marLeft w:val="0"/>
      <w:marRight w:val="0"/>
      <w:marTop w:val="0"/>
      <w:marBottom w:val="0"/>
      <w:divBdr>
        <w:top w:val="none" w:sz="0" w:space="0" w:color="auto"/>
        <w:left w:val="none" w:sz="0" w:space="0" w:color="auto"/>
        <w:bottom w:val="none" w:sz="0" w:space="0" w:color="auto"/>
        <w:right w:val="none" w:sz="0" w:space="0" w:color="auto"/>
      </w:divBdr>
    </w:div>
    <w:div w:id="1344623960">
      <w:bodyDiv w:val="1"/>
      <w:marLeft w:val="0"/>
      <w:marRight w:val="0"/>
      <w:marTop w:val="0"/>
      <w:marBottom w:val="0"/>
      <w:divBdr>
        <w:top w:val="none" w:sz="0" w:space="0" w:color="auto"/>
        <w:left w:val="none" w:sz="0" w:space="0" w:color="auto"/>
        <w:bottom w:val="none" w:sz="0" w:space="0" w:color="auto"/>
        <w:right w:val="none" w:sz="0" w:space="0" w:color="auto"/>
      </w:divBdr>
    </w:div>
    <w:div w:id="20620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638</Words>
  <Characters>4079</Characters>
  <Application>Microsoft Office Word</Application>
  <DocSecurity>0</DocSecurity>
  <Lines>177</Lines>
  <Paragraphs>134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schulal</dc:creator>
  <cp:keywords/>
  <cp:lastModifiedBy>DIGIT/A3</cp:lastModifiedBy>
  <cp:revision>7</cp:revision>
  <cp:lastPrinted>2016-01-07T08:50:00Z</cp:lastPrinted>
  <dcterms:created xsi:type="dcterms:W3CDTF">2016-02-01T13:22:00Z</dcterms:created>
  <dcterms:modified xsi:type="dcterms:W3CDTF">2016-02-11T08:57:00Z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