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63214BBDD3F44B485DD95500AF924BE" style="width:451pt;height:451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179"/>
        <w:gridCol w:w="1119"/>
        <w:gridCol w:w="4825"/>
        <w:gridCol w:w="2677"/>
      </w:tblGrid>
      <w:tr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Правило №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Точка от дневния ред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05 на Правило № 10 (електромагнитна съвместимост)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ECE/TRANS/WP.29/2016/16</w:t>
            </w:r>
          </w:p>
        </w:tc>
      </w:tr>
      <w:tr>
        <w:trPr>
          <w:trHeight w:val="7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3 към серия от изменения 04 на Правило № 10 (електромагнитна съвместимост)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ECE/TRANS/WP.29/2016/17</w:t>
            </w:r>
          </w:p>
        </w:tc>
      </w:tr>
      <w:tr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03 на Правило № 34 (предотвратяване на опасността от възникване на пожар)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</w:t>
            </w:r>
          </w:p>
        </w:tc>
      </w:tr>
      <w:tr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4.6.1.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24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4 към серия от изменения 04 на Правило № 41 (шум от мотоциклети)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ECE/TRANS/WP.29/2016/3</w:t>
            </w:r>
          </w:p>
        </w:tc>
      </w:tr>
      <w:tr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3 към серия от изменения 04 на Правило № 46 (устройства за непряко виждане)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</w:t>
            </w:r>
          </w:p>
        </w:tc>
      </w:tr>
      <w:tr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7 към серия от изменения 06 на Правило № 48 (монтиране на устройства за осветяване и светлинна сигнализация)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ECE/TRANS/WP.29/2016/18</w:t>
            </w:r>
          </w:p>
        </w:tc>
      </w:tr>
      <w:tr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4.9.4.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9 към серия от изменения 05 на Правило № 48 (монтиране на устройства за осветяване и светлинна сигнализация)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ECE/TRANS/WP.29/2016/19</w:t>
            </w:r>
          </w:p>
        </w:tc>
      </w:tr>
      <w:tr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4.9.5.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16 към серия от изменения 04 на Правило № 48 (монтиране на устройства за осветяване и светлинна сигнализация)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ECE/TRANS/WP.29/2016/20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4.9.6.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18 към първоначална серия от изменения на Правило № 50 (предни и задни габаритни светлини, стоп-светлини и пътепоказатели за мотопеди и мотоциклети)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ECE/TRANS/WP.29/2016/21</w:t>
            </w:r>
          </w:p>
        </w:tc>
      </w:tr>
      <w:tr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4.6.2.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 1 към серия от изменения 03 на Правило № 51 (излъчване на шум от превозни средства от категории M и 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ECE/TRANS/WP.29/2016/4</w:t>
            </w:r>
          </w:p>
        </w:tc>
      </w:tr>
      <w:tr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4.9.7.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18 към серия от изменения 01 на Правило № 53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ECE/TRANS/WP.29/2016/22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4.9.8.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нова серия от изменения 02 на Правило № 53 (монтиране на устройства за осветяване и светлинна сигнализация за превозните средства от категория L3)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ECE/TRANS/WP.29/2016/23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4.7.1.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 5 към серия от изменения 01 на Правило № 55 (механични теглително-прикачни устройства)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ECE/TRANS/WP.29/2016/5</w:t>
            </w:r>
          </w:p>
        </w:tc>
      </w:tr>
      <w:tr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4.15.1.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Правило № 60 (обозначение на органите за управление, сигналните лампи и показващите уреди)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ECE/TRANS/WP.29/2016/27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4.12.1.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 1 (само на френски език) към серия от изменения 01 на Правило № 73 (устройства за странична защита)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ECE/TRANS/WP.29/2016/31</w:t>
            </w:r>
          </w:p>
        </w:tc>
      </w:tr>
      <w:tr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lastRenderedPageBreak/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4.15.2.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2 към серия от изменения 07 на Правило № 83 (емисии от превозни средства от категории M1 и N1)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ECE/TRANS/WP.29/2016/28</w:t>
            </w:r>
          </w:p>
        </w:tc>
      </w:tr>
      <w:tr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4.11.1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 3 (само на руски език) към серия от изменения 01 на Правило № 94 (защита в случай на челен удар)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ECE/TRANS/WP.29/2016/32</w:t>
            </w:r>
          </w:p>
        </w:tc>
      </w:tr>
      <w:tr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05 на Правило № 107 (обща конструкция на градски и междуградски автобуси)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</w:t>
            </w:r>
          </w:p>
        </w:tc>
      </w:tr>
      <w:tr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4.8.4.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06 на Правило № 107 (общи конструктивни характеристики на градски и междуградски автобуси)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ECE/TRANS/WP.29/2016/11</w:t>
            </w:r>
          </w:p>
        </w:tc>
      </w:tr>
      <w:tr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4.8.5.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проект на серия от изменения 07 на Правило № 107 (общи конструктивни характеристики на градски и междуградски автобуси)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ECE/TRANS/WP.29/2016/12</w:t>
            </w:r>
          </w:p>
        </w:tc>
      </w:tr>
      <w:tr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4.8.6.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02 на Правило № 110 (превозни средства, работещи със сгъстен природен газ и втечнен природен газ)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ECE/TRANS/WP.29/2016/13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4.9.9.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6 към серия от изменения 01 на Правило № 113 (предни фарове, които излъчват симетрична къса светлина)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ECE/TRANS/WP.29/2016/24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4.8.7.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 2 към серия от изменения 02 на Правило № 118 (огнеустойчивост на материалите)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ECE/TRANS/WP.29/2016/14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4.8.8.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01 на Правило № 125 (поле на видимост напред на водачите)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ECE/TRANS/WP.29/2016/15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4.9.10.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5 към първоначална серия от изменения на Правило № 128 (светодиодни светлинни източници)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ECE/TRANS/WP.29/2016/25</w:t>
            </w:r>
          </w:p>
        </w:tc>
      </w:tr>
      <w:tr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4.7.2.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Правило № 130 (система за предупреждение при напускане на лентата за движение)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ECE/TRANS/WP.29/2016/6</w:t>
            </w:r>
          </w:p>
        </w:tc>
      </w:tr>
      <w:tr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4.7.3.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2 към серия от изменения 01 на Правило № 131 (усъвършенствани системи за аварийно спиране)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ECE/TRANS/WP.29/2016/7</w:t>
            </w:r>
          </w:p>
        </w:tc>
      </w:tr>
      <w:tr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4.13.1.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ново правило относно одобрението на тихи пътни превозни средства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ECE/TRANS/WP.29/2016/26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5BC57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A0B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2C8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5F68A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0604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C699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143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9B0C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2-11 09:59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63214BBDD3F44B485DD95500AF924BE"/>
    <w:docVar w:name="LW_CROSSREFERENCE" w:val="&lt;UNUSED&gt;"/>
    <w:docVar w:name="LW_DocType" w:val="ANNEX"/>
    <w:docVar w:name="LW_EMISSION" w:val="18.2.2016"/>
    <w:docVar w:name="LW_EMISSION_ISODATE" w:val="2016-02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&lt;LWCR:NBS&gt;10, 34, 41, 46, 48, 50, 51, 53, 55, 60, 73, 83, 94, 107, 110, 113, 118, 125, 128, 130 \u1080? 131 \u1085?\u1072? \u1054?\u1054?\u1053?, \u1082?\u1072?\u1082?\u1090?\u1086? \u1080? \u1087?\u1086? \u1086?\u1090?\u1085?\u1086?\u1096?\u1077?\u1085?\u1080?\u1077? \u1085?\u1072? \u1085?\u1086?\u1074?\u1086? \u1087?\u1088?\u1072?\u1074?\u1080?\u1083?\u1086? \u1085?\u1072? \u1054?\u1054?\u1053? \u1086?\u1090?\u1085?\u1086?\u1089?\u1085?\u1086? \u1086?\u1076?\u1086?\u1073?\u1088?\u1077?\u1085?\u1080?\u1077?\u1090?\u1086? \u1085?\u1072? \u1090?\u1080?\u1093?\u1080?\u1090?\u1077? \u1087?\u1098?\u1090?\u1085?\u1080? \u1087?\u1088?\u1077?\u1074?\u1086?\u1079?\u1085?\u1080? \u1089?\u1088?\u1077?\u1076?\u1089?\u1090?\u1074?\u1072?_x000b_"/>
    <w:docVar w:name="LW_OBJETACTEPRINCIPAL.CP" w:val="\u1079?\u1072? \u1086?\u1087?\u1088?\u1077?\u1076?\u1077?\u1083?\u1103?\u1085?\u1077? \u1085?\u1072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 10, 34, 41, 46, 48, 50, 51, 53, 55, 60, 73, 83, 94, 107, 110, 113, 118, 125, 128, 130 \u1080? 131 \u1085?\u1072? \u1054?\u1054?\u1053?, \u1082?\u1072?\u1082?\u1090?\u1086? \u1080? \u1087?\u1086? \u1086?\u1090?\u1085?\u1086?\u1096?\u1077?\u1085?\u1080?\u1077? \u1085?\u1072? \u1085?\u1086?\u1074?\u1086? \u1087?\u1088?\u1072?\u1074?\u1080?\u1083?\u1086? \u1085?\u1072? \u1054?\u1054?\u1053? \u1086?\u1090?\u1085?\u1086?\u1089?\u1085?\u1086? \u1086?\u1076?\u1086?\u1073?\u1088?\u1077?\u1085?\u1080?\u1077?\u1090?\u1086? \u1085?\u1072? \u1090?\u1080?\u1093?\u1080?\u1090?\u1077? \u1087?\u1098?\u1090?\u1085?\u1080? \u1087?\u1088?\u1077?\u1074?\u1086?\u1079?\u1085?\u1080? \u1089?\u1088?\u1077?\u1076?\u1089?\u1090?\u1074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76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652</Words>
  <Characters>3920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schulal</dc:creator>
  <cp:keywords/>
  <cp:lastModifiedBy>DIGIT/A3</cp:lastModifiedBy>
  <cp:revision>7</cp:revision>
  <cp:lastPrinted>2016-01-07T08:50:00Z</cp:lastPrinted>
  <dcterms:created xsi:type="dcterms:W3CDTF">2016-02-01T12:52:00Z</dcterms:created>
  <dcterms:modified xsi:type="dcterms:W3CDTF">2016-02-11T08:59:00Z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