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F9B890D82446F69EDE3CAF4FAC5F30"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Corpsdutexte20"/>
        <w:shd w:val="clear" w:color="auto" w:fill="auto"/>
        <w:spacing w:before="0" w:after="0" w:line="220" w:lineRule="exact"/>
        <w:jc w:val="left"/>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w:t>
      </w:r>
    </w:p>
    <w:p>
      <w:pPr>
        <w:jc w:val="center"/>
        <w:rPr>
          <w:rFonts w:ascii="Times New Roman" w:hAnsi="Times New Roman" w:cs="Times New Roman"/>
          <w:b/>
          <w:noProof/>
          <w:sz w:val="24"/>
          <w:szCs w:val="24"/>
        </w:rPr>
      </w:pPr>
      <w:r>
        <w:rPr>
          <w:rFonts w:ascii="Times New Roman" w:hAnsi="Times New Roman"/>
          <w:b/>
          <w:noProof/>
          <w:sz w:val="24"/>
        </w:rPr>
        <w:t>СЪВЕТА</w:t>
      </w:r>
    </w:p>
    <w:p>
      <w:pPr>
        <w:jc w:val="center"/>
        <w:rPr>
          <w:rFonts w:ascii="Times New Roman" w:hAnsi="Times New Roman" w:cs="Times New Roman"/>
          <w:b/>
          <w:noProof/>
          <w:sz w:val="24"/>
          <w:szCs w:val="24"/>
        </w:rPr>
      </w:pPr>
      <w:r>
        <w:rPr>
          <w:rFonts w:ascii="Times New Roman" w:hAnsi="Times New Roman"/>
          <w:b/>
          <w:noProof/>
          <w:sz w:val="24"/>
        </w:rPr>
        <w:t>относно упражняване на правомощията, делегирани на Комисията съгласно 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(Регламентът на ЕС относно дървения материал)</w:t>
      </w:r>
    </w:p>
    <w:p>
      <w:pPr>
        <w:jc w:val="center"/>
        <w:rPr>
          <w:rFonts w:ascii="Times New Roman" w:hAnsi="Times New Roman" w:cs="Times New Roman"/>
          <w:b/>
          <w:noProof/>
          <w:sz w:val="24"/>
          <w:szCs w:val="24"/>
        </w:rPr>
      </w:pP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b/>
          <w:smallCaps/>
          <w:noProof/>
          <w:sz w:val="24"/>
        </w:rPr>
        <w:t xml:space="preserve">1. Въведение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noProof/>
          <w:sz w:val="24"/>
        </w:rPr>
        <w:t>Регламент (ЕС) № 995/2010</w:t>
      </w:r>
      <w:r>
        <w:rPr>
          <w:rStyle w:val="FootnoteReference"/>
          <w:rFonts w:ascii="Times New Roman" w:hAnsi="Times New Roman"/>
          <w:noProof/>
          <w:sz w:val="24"/>
        </w:rPr>
        <w:footnoteReference w:id="1"/>
      </w:r>
      <w:r>
        <w:rPr>
          <w:rStyle w:val="Corpsdutexte"/>
          <w:rFonts w:ascii="Times New Roman" w:hAnsi="Times New Roman"/>
          <w:noProof/>
          <w:sz w:val="24"/>
        </w:rPr>
        <w:t xml:space="preserve"> (наричан по-долу Регламент на ЕС относно дървения материал или регламентът)</w:t>
      </w:r>
      <w:r>
        <w:rPr>
          <w:noProof/>
        </w:rPr>
        <w:t xml:space="preserve"> </w:t>
      </w:r>
      <w:r>
        <w:rPr>
          <w:rStyle w:val="Corpsdutexte"/>
          <w:rFonts w:ascii="Times New Roman" w:hAnsi="Times New Roman"/>
          <w:noProof/>
          <w:sz w:val="24"/>
        </w:rPr>
        <w:t xml:space="preserve">противодейства на пускането на вътрешния пазар на незаконно добит дървен материал и на изделия от незаконно добит дървен материал. Той е част от плана за действие относно правоприлагането, управлението и търговията в областта на горското стопанство (FLEGT), който е инструмент на политиката на Съюза за борба с незаконната сеч и свързаната с нея търговия. Той също така допринася за намаляване на емисиите от обезлесяване и на деградацията на горите, както и за опазването на горите, устойчивото управление на горите и увеличаването на въглеродните запаси в горите в развиващите се държави въз основа на Варшавската рамка за REDD+.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С Регламента на ЕС относно дървения материал се въвеждат три задължения. На първо място, с него се забранява се пускането на пазара в ЕС на незаконно добит дървен материал и на изделия от незаконно добит дървен материал. На второ място, с него се задължават операторите, определени като пазарни участници, които пускат на пазара в ЕС изделия от дървен материал за пръв път, да извършват „надлежна проверка“, за да се гарантира законността на добива на дървен материал, от който са изработени техните продукти. На трето място, за да се улесни проследимостта на изделията от дървен материал, пуснати на пазара, търговците по цялата верига на доставки са длъжни да водят регистри на своите доставчици и клиенти. В обхвата на регламента попада широка гама от изделия от дървен материал, които са изброени в приложението към него със съответните кодове по Комбинираната номенклатура на ЕС. В него се предвижда признаване на „организациите за мониторинг“ от Комисията, чиято роля е да подпомага операторите при изпълнението на задълженията им.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Регламентът на ЕС относно дървения материал беше приет през декември 2010 г. и влезе в сила на 3 март 2013 г. По време на този период Комисията прие два незаконодателни акта. Първият е Регламент за изпълнение (ЕС) № 607/2012 на </w:t>
      </w:r>
      <w:r>
        <w:rPr>
          <w:rStyle w:val="Corpsdutexte"/>
          <w:rFonts w:ascii="Times New Roman" w:hAnsi="Times New Roman"/>
          <w:noProof/>
          <w:sz w:val="24"/>
        </w:rPr>
        <w:lastRenderedPageBreak/>
        <w:t>Комисията</w:t>
      </w:r>
      <w:r>
        <w:rPr>
          <w:rStyle w:val="FootnoteReference"/>
          <w:rFonts w:ascii="Times New Roman" w:hAnsi="Times New Roman"/>
          <w:noProof/>
          <w:sz w:val="24"/>
          <w:shd w:val="clear" w:color="auto" w:fill="FFFFFF"/>
        </w:rPr>
        <w:footnoteReference w:id="2"/>
      </w:r>
      <w:r>
        <w:rPr>
          <w:rStyle w:val="Corpsdutexte"/>
          <w:rFonts w:ascii="Times New Roman" w:hAnsi="Times New Roman"/>
          <w:noProof/>
          <w:sz w:val="24"/>
        </w:rPr>
        <w:t xml:space="preserve"> от 6 юли 2012 г. за подробните правила относно системата за надлежна проверка, както и честотата и характера на проверките на организациите за мониторинг, която бе приета, тъй като съгласно член 18, параграф 2 от Регламента на ЕС относно дървения материал и членове 5 и 7 от Решение № 1999/468/ЕО за установяване на условията и реда за упражняване на изпълнителните правомощия, предоставени на Комисията. Вторият е Делегиран регламент (ЕС) № 363/2012 от 23 февруари 2012 г. относно процедурните правила за признаването и оттеглянето на признаване на мониторингови организации, както е предвидено в Регламент (ЕС) № 995/2010.</w:t>
      </w:r>
      <w:r>
        <w:rPr>
          <w:rStyle w:val="Corpsdutexte"/>
          <w:rFonts w:ascii="Times New Roman" w:hAnsi="Times New Roman"/>
          <w:noProof/>
          <w:sz w:val="24"/>
          <w:vertAlign w:val="superscript"/>
        </w:rPr>
        <w:footnoteReference w:id="3"/>
      </w:r>
      <w:r>
        <w:rPr>
          <w:rStyle w:val="Corpsdutexte"/>
          <w:rFonts w:ascii="Times New Roman" w:hAnsi="Times New Roman"/>
          <w:noProof/>
          <w:sz w:val="24"/>
        </w:rPr>
        <w:t xml:space="preserve"> Регламентът на ЕС относно дървения материал (член 15, параграф 1) изисква Комисията да изготви доклад по отношение на делегираните правомощия; поради това настоящият доклад се отнася конкретно за Делегиран регламент (ЕС) № 363/2012.</w:t>
      </w:r>
      <w:r>
        <w:rPr>
          <w:noProof/>
        </w:rPr>
        <w:t xml:space="preserve"> </w:t>
      </w:r>
      <w:r>
        <w:rPr>
          <w:rStyle w:val="Corpsdutexte"/>
          <w:rFonts w:ascii="Times New Roman" w:hAnsi="Times New Roman"/>
          <w:noProof/>
          <w:sz w:val="24"/>
        </w:rPr>
        <w:t xml:space="preserve">   </w:t>
      </w: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b/>
          <w:smallCaps/>
          <w:noProof/>
          <w:sz w:val="24"/>
        </w:rPr>
        <w:t>2. Правно основание</w:t>
      </w:r>
    </w:p>
    <w:p>
      <w:pPr>
        <w:pStyle w:val="Corpsdutexte0"/>
        <w:shd w:val="clear" w:color="auto" w:fill="auto"/>
        <w:spacing w:after="0"/>
        <w:ind w:left="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Настоящият доклад се изисква, както бе споменато по-горе, по член 15, параграф 1 от Регламента на ЕС относно дървения материал. Съгласно тази разпоредба, на Комисията се делегират правомощия за срок от 7 години, считано от 2 декември 2010 г., като Комисията се задължава да изготви доклад относно делегираните правомощия не по-късно от 3 месеца преди изтичането на три години от датата на прилагане на регламента, а именно преди декември 2015 г., тъй като регламентът влезе в сила на 3 март 2013 г.</w:t>
      </w:r>
    </w:p>
    <w:p>
      <w:pPr>
        <w:pStyle w:val="Corpsdutexte0"/>
        <w:shd w:val="clear" w:color="auto" w:fill="auto"/>
        <w:spacing w:after="0"/>
        <w:ind w:left="20" w:right="20"/>
        <w:jc w:val="both"/>
        <w:rPr>
          <w:rStyle w:val="Corpsdutexte"/>
          <w:rFonts w:ascii="Times New Roman" w:hAnsi="Times New Roman" w:cs="Times New Roman"/>
          <w:noProof/>
          <w:sz w:val="24"/>
          <w:szCs w:val="24"/>
        </w:rPr>
      </w:pPr>
    </w:p>
    <w:p>
      <w:pPr>
        <w:pStyle w:val="Corpsdutexte0"/>
        <w:shd w:val="clear" w:color="auto" w:fill="auto"/>
        <w:spacing w:after="0"/>
        <w:ind w:left="20" w:right="20"/>
        <w:jc w:val="both"/>
        <w:rPr>
          <w:rStyle w:val="Corpsdutexte"/>
          <w:rFonts w:ascii="Times New Roman" w:hAnsi="Times New Roman" w:cs="Times New Roman"/>
          <w:noProof/>
          <w:sz w:val="24"/>
          <w:szCs w:val="24"/>
        </w:rPr>
      </w:pPr>
    </w:p>
    <w:p>
      <w:pPr>
        <w:spacing w:after="0"/>
        <w:jc w:val="both"/>
        <w:rPr>
          <w:rStyle w:val="Corpsdutexte"/>
          <w:rFonts w:ascii="Times New Roman" w:hAnsi="Times New Roman" w:cs="Times New Roman"/>
          <w:b/>
          <w:smallCaps/>
          <w:noProof/>
          <w:sz w:val="24"/>
          <w:szCs w:val="24"/>
        </w:rPr>
      </w:pPr>
      <w:bookmarkStart w:id="2" w:name="bookmark3"/>
      <w:r>
        <w:rPr>
          <w:rStyle w:val="Corpsdutexte"/>
          <w:rFonts w:ascii="Times New Roman" w:hAnsi="Times New Roman"/>
          <w:b/>
          <w:smallCaps/>
          <w:noProof/>
          <w:sz w:val="24"/>
        </w:rPr>
        <w:t>3. Упражняване на делегираните правомощия</w:t>
      </w:r>
      <w:bookmarkEnd w:id="2"/>
    </w:p>
    <w:p>
      <w:pPr>
        <w:pStyle w:val="Corpsdutexte0"/>
        <w:shd w:val="clear" w:color="auto" w:fill="auto"/>
        <w:spacing w:after="335" w:line="274" w:lineRule="exact"/>
        <w:ind w:left="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В съответствие с Регламента на ЕС относно дървения материал, Комисията може да приема делегирани актове по отношение на допълнителни приложими критерии за оценка на риска, които могат да бъдат необходими в допълнение на вече предвидените в регламента (член 6, параграф 3), относно процедурата за за признаването и оттеглянето на признаване на организации за мониториинг и, ако опитът изисква това, да ги изменя (член 8, параграф 7), както и по отношение на списъка на дървен материал и изделия от дървен материал, за който се прилага Регламентът на ЕС относно дървения материал (член 14).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Комисията прие един делегиран акт, а именно Делегиран регламент (ЕС) № 363/2012 на Комисията</w:t>
      </w:r>
      <w:r>
        <w:rPr>
          <w:rStyle w:val="FootnoteReference"/>
          <w:rFonts w:ascii="Times New Roman" w:hAnsi="Times New Roman"/>
          <w:i/>
          <w:noProof/>
          <w:sz w:val="24"/>
        </w:rPr>
        <w:footnoteReference w:id="4"/>
      </w:r>
      <w:r>
        <w:rPr>
          <w:rStyle w:val="Corpsdutexte"/>
          <w:rFonts w:ascii="Times New Roman" w:hAnsi="Times New Roman"/>
          <w:i/>
          <w:noProof/>
          <w:sz w:val="24"/>
        </w:rPr>
        <w:t xml:space="preserve"> от 23 февруари 2012 г. относно </w:t>
      </w:r>
      <w:r>
        <w:rPr>
          <w:rFonts w:ascii="Times New Roman" w:hAnsi="Times New Roman"/>
          <w:i/>
          <w:noProof/>
          <w:sz w:val="24"/>
        </w:rPr>
        <w:t>относно процедурните правила за признаването и оттеглянето на признаване на мониторингови организации</w:t>
      </w:r>
      <w:r>
        <w:rPr>
          <w:rStyle w:val="Corpsdutexte"/>
          <w:rFonts w:ascii="Times New Roman" w:hAnsi="Times New Roman"/>
          <w:noProof/>
          <w:sz w:val="24"/>
        </w:rPr>
        <w:t>. Упражняването на тези правомощия е в отговор на необходимостта от допълване на изискванията и процедурните правила по отношение на признаването и оттеглянето на признаване на организациите за мониторинг.</w:t>
      </w:r>
    </w:p>
    <w:p>
      <w:pPr>
        <w:spacing w:after="0"/>
        <w:jc w:val="both"/>
        <w:rPr>
          <w:rStyle w:val="Corpsdutexte"/>
          <w:rFonts w:ascii="Times New Roman" w:hAnsi="Times New Roman" w:cs="Times New Roman"/>
          <w:b/>
          <w:smallCaps/>
          <w:noProof/>
          <w:sz w:val="24"/>
          <w:szCs w:val="24"/>
        </w:rPr>
      </w:pPr>
    </w:p>
    <w:p>
      <w:pPr>
        <w:spacing w:after="0"/>
        <w:jc w:val="both"/>
        <w:rPr>
          <w:rStyle w:val="Corpsdutexte"/>
          <w:rFonts w:ascii="Times New Roman" w:hAnsi="Times New Roman" w:cs="Times New Roman"/>
          <w:b/>
          <w:smallCaps/>
          <w:noProof/>
          <w:sz w:val="24"/>
          <w:szCs w:val="24"/>
        </w:rPr>
      </w:pPr>
      <w:bookmarkStart w:id="3" w:name="bookmark4"/>
      <w:r>
        <w:rPr>
          <w:rStyle w:val="Corpsdutexte"/>
          <w:rFonts w:ascii="Times New Roman" w:hAnsi="Times New Roman"/>
          <w:b/>
          <w:smallCaps/>
          <w:noProof/>
          <w:sz w:val="24"/>
        </w:rPr>
        <w:t>3.1 Делегиран акт, допълващ Регламент (ЕС) № 995/2010</w:t>
      </w:r>
      <w:bookmarkEnd w:id="3"/>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Съгласно член 8, параграф 1 от Регламента на ЕС относно дървения материал всяка организация за мониторинг има право да поддръжа и извършва редовна оценка на система за надлежна проверка; да предоставя на операторите правото да я използват; </w:t>
      </w:r>
      <w:r>
        <w:rPr>
          <w:rStyle w:val="Corpsdutexte"/>
          <w:rFonts w:ascii="Times New Roman" w:hAnsi="Times New Roman"/>
          <w:noProof/>
          <w:sz w:val="24"/>
        </w:rPr>
        <w:lastRenderedPageBreak/>
        <w:t xml:space="preserve">да проверява правилното използване на системата за надлежна проверка и да предприеме необходимите действия, в случай че даден оператор не използва правилно нейната система за надлежна проверка. В член 8, параграф 2 от Регламента на ЕС относно дървения материал освен това са предвидени изисквания, на които кандидатът трябва да отговаря, за да кандидатства за признаване като организация за мониторинг. Съгласно тази разпоредба, ако кандидатът отговаря на законовите изисквания, Комисията, след консултация със съответната държава членка, може да се издаде на кандидата признаване като организация за мониторинг. </w:t>
      </w: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В съответствие с член 8, параграф 4 компетентните органи извършват проверки на организациите за мониторинг в рамките на тяхната компетентност, за да се уверят, че те изпълняват функциите и отговарят на изискванията, предвидени в член 8, параграфи 1 и 2 от Регламента на ЕС относно дървения материал и да информират Комисията в случай, че дадена организация за мониторинг вече не изпълнява съответните функции и не съответства на изискванията (член 8, параграф 5). Комисията оттегля признаването на дадена организация за мониторинг, по-специално въз основа на информацията, предоставена в съответствие с член 8, параграф 5 от регламента, в случай че съответната организация за мониторинг не отговаря на изискванията, посочени в член 8, параграфи 1 и 2. </w:t>
      </w: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Съгласно член 8, параграф 7 от Регламента на ЕС относно дървения материал, посредством делегирани актове Комисията е оправомощена да приема</w:t>
      </w:r>
      <w:r>
        <w:rPr>
          <w:noProof/>
        </w:rPr>
        <w:t xml:space="preserve"> процедурни правила </w:t>
      </w:r>
      <w:r>
        <w:rPr>
          <w:rStyle w:val="Corpsdutexte"/>
          <w:rFonts w:ascii="Times New Roman" w:hAnsi="Times New Roman"/>
          <w:noProof/>
          <w:sz w:val="24"/>
        </w:rPr>
        <w:t>за допълнение на Регламент (ЕС) № 995/2010</w:t>
      </w:r>
      <w:r>
        <w:rPr>
          <w:noProof/>
        </w:rPr>
        <w:t xml:space="preserve"> по отношение на признаването и оттеглянето на признаване на организациите за мониторинг</w:t>
      </w:r>
      <w:r>
        <w:rPr>
          <w:rStyle w:val="Corpsdutexte"/>
          <w:rFonts w:ascii="Times New Roman" w:hAnsi="Times New Roman"/>
          <w:noProof/>
          <w:sz w:val="24"/>
        </w:rPr>
        <w:t>, като същевременно гарантира, че признаването и оттеглянето на признаването се извършват по справедлив и прозрачен начи</w:t>
      </w:r>
      <w:r>
        <w:rPr>
          <w:noProof/>
        </w:rPr>
        <w:t>н.</w:t>
      </w:r>
    </w:p>
    <w:p>
      <w:pPr>
        <w:pStyle w:val="Corpsdutexte0"/>
        <w:shd w:val="clear" w:color="auto" w:fill="auto"/>
        <w:spacing w:after="60" w:line="274" w:lineRule="exact"/>
        <w:ind w:left="20" w:right="40"/>
        <w:jc w:val="both"/>
        <w:rPr>
          <w:rFonts w:ascii="Times New Roman" w:hAnsi="Times New Roman" w:cs="Times New Roman"/>
          <w:noProof/>
          <w:sz w:val="24"/>
          <w:szCs w:val="24"/>
        </w:rPr>
      </w:pP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Бяха проведени консултации с Експертната група в областта на дървения материал и изделията от дървен материал във връзка с проекта за делегиран регламент по време на заседанията ѝ на 18 май и 7 юли 2011 г. Делегираният акт беше приет на 23 февруари 2012 г., за което Европейският парламент и Съветът бяха съответно уведомени. Нито Европейският парламент, нито Съветът представиха възражение срещу делегирания акт в срока от 2 месеца, предвиден в член 17, параграф 1 от Регламента на ЕС относно дървения материал. Нито една от институциите не поиска удължаване на срока от 2 месеца в съответствие със същата разпоредба.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В момента на изтичане на срока от 2 месеца делегираният акт беше публикуван в </w:t>
      </w:r>
      <w:r>
        <w:rPr>
          <w:rStyle w:val="Corpsdutexte"/>
          <w:rFonts w:ascii="Times New Roman" w:hAnsi="Times New Roman"/>
          <w:i/>
          <w:noProof/>
          <w:sz w:val="24"/>
        </w:rPr>
        <w:t>Официален вестник на ЕС</w:t>
      </w:r>
      <w:r>
        <w:rPr>
          <w:rStyle w:val="Corpsdutexte"/>
          <w:rFonts w:ascii="Times New Roman" w:hAnsi="Times New Roman"/>
          <w:noProof/>
          <w:sz w:val="24"/>
        </w:rPr>
        <w:t xml:space="preserve"> и влезе в сила на 17 май 2012 г.</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Комисията все още не е приела делегирани актове по отношение на  допълнителни приложими критерии за оценка на риска, които могат да бъдат необходими в допълнение на вече предвидените в регламента (член 6, параграф 3), както и по отношение на списъка на дървен материал и изделия от дървен материал, за който се прилага Регламентът на ЕС относно дървения материал (член 14), тъй като е необходим повече опит от прилагането на регламента, за да се оцени необходимостта от такива изменения.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b/>
          <w:noProof/>
          <w:sz w:val="24"/>
        </w:rPr>
        <w:t>4. Заключение</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Комисията е упражнила правилно делегираните ѝ правомощия и приканва Европейския парламент и Съвета да вземат под внимание настоящия доклад.</w:t>
      </w:r>
    </w:p>
    <w:p>
      <w:pPr>
        <w:pStyle w:val="Corpsdutexte0"/>
        <w:shd w:val="clear" w:color="auto" w:fill="auto"/>
        <w:spacing w:after="103" w:line="274" w:lineRule="exact"/>
        <w:ind w:left="20" w:right="40"/>
        <w:jc w:val="both"/>
        <w:rPr>
          <w:rFonts w:ascii="Times New Roman" w:hAnsi="Times New Roman" w:cs="Times New Roman"/>
          <w:noProof/>
          <w:sz w:val="24"/>
          <w:szCs w:val="24"/>
        </w:rPr>
      </w:pPr>
      <w:r>
        <w:rPr>
          <w:rStyle w:val="Corpsdutexte"/>
          <w:rFonts w:ascii="Times New Roman" w:hAnsi="Times New Roman"/>
          <w:noProof/>
          <w:sz w:val="24"/>
        </w:rPr>
        <w:t xml:space="preserve">Комисията продължава да счита, че делегираните правомощия съгласно член 6, параграф 3 и член 14 от Регламента на ЕС относно дървения материал, са необходими, по-специално с цел изменение и/или допълнение на списъка на дървения материал и изделията от дървен материал, посочен в приложението. С цел изменение на приложението и по този начин преразглеждане на продуктовия обхват на регламента, Комисията ще вземе предвид резултатите от прегледа на регламента, представени в работния документ на службите на Комисията и доклада, изисквани съгласно член 20, параграф 3 от Регламента на ЕС относно дървения материал.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1299"/>
        <w:ind w:right="20"/>
        <w:jc w:val="both"/>
        <w:rPr>
          <w:rFonts w:ascii="Times New Roman" w:hAnsi="Times New Roman" w:cs="Times New Roman"/>
          <w:noProof/>
          <w:sz w:val="24"/>
          <w:szCs w:val="24"/>
        </w:rPr>
      </w:pPr>
    </w:p>
    <w:p>
      <w:pPr>
        <w:pStyle w:val="Corpsdutexte0"/>
        <w:shd w:val="clear" w:color="auto" w:fill="auto"/>
        <w:spacing w:after="335" w:line="274" w:lineRule="exact"/>
        <w:ind w:left="20" w:right="20"/>
        <w:jc w:val="both"/>
        <w:rPr>
          <w:rFonts w:ascii="Times New Roman" w:hAnsi="Times New Roman" w:cs="Times New Roman"/>
          <w:noProof/>
          <w:sz w:val="24"/>
          <w:szCs w:val="24"/>
        </w:rPr>
      </w:pPr>
    </w:p>
    <w:p>
      <w:pPr>
        <w:jc w:val="cente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1138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 xml:space="preserve"> </w:t>
      </w:r>
      <w:r>
        <w:rPr>
          <w:rStyle w:val="Corpsdutexte5"/>
        </w:rPr>
        <w:t>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(ОВ L 295, 12.11.2010 г., стр. 23).</w:t>
      </w:r>
    </w:p>
  </w:footnote>
  <w:footnote w:id="2">
    <w:p>
      <w:pPr>
        <w:pStyle w:val="FootnoteText"/>
      </w:pPr>
      <w:r>
        <w:rPr>
          <w:rStyle w:val="FootnoteReference"/>
        </w:rPr>
        <w:footnoteRef/>
      </w:r>
      <w:r>
        <w:t xml:space="preserve"> Регламент за изпълнение (ЕС) № 607/2012 на Комисията (OВ L 177, 7.7.2012 г., стр. 16—18).</w:t>
      </w:r>
    </w:p>
  </w:footnote>
  <w:footnote w:id="3">
    <w:p>
      <w:pPr>
        <w:pStyle w:val="FootnoteText"/>
        <w:jc w:val="both"/>
      </w:pPr>
      <w:r>
        <w:rPr>
          <w:rStyle w:val="FootnoteReference"/>
        </w:rPr>
        <w:footnoteRef/>
      </w:r>
      <w:r>
        <w:t xml:space="preserve"> Делегиран регламент (ЕС) № 363/2012 на Комисията, ОВ L 115, 27.4.2012 г., стр. 12—16. </w:t>
      </w:r>
    </w:p>
  </w:footnote>
  <w:footnote w:id="4">
    <w:p>
      <w:pPr>
        <w:pStyle w:val="FootnoteText"/>
        <w:jc w:val="both"/>
      </w:pPr>
      <w:r>
        <w:rPr>
          <w:rStyle w:val="FootnoteReference"/>
        </w:rPr>
        <w:footnoteRef/>
      </w:r>
      <w:r>
        <w:t xml:space="preserve"> OВ L 115, 27.4.2012 г., стр. 12—16.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F32"/>
    <w:multiLevelType w:val="multilevel"/>
    <w:tmpl w:val="022A74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CFF9B890D82446F69EDE3CAF4FAC5F30"/>
    <w:docVar w:name="LW_CROSSREFERENCE" w:val="&lt;UNUSED&gt;"/>
    <w:docVar w:name="LW_DATE.ADOPT.CP_ISODATE" w:val="&lt;EMPTY&gt;"/>
    <w:docVar w:name="LW_DocType" w:val="NORMAL"/>
    <w:docVar w:name="LW_EMISSION" w:val="18.2.2016"/>
    <w:docVar w:name="LW_EMISSION_ISODATE" w:val="2016-02-18"/>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0"/>
    <w:docVar w:name="LW_REF.INTERNE" w:val="&lt;UNUSED&gt;"/>
    <w:docVar w:name="LW_SOUS.TITRE.OBJ.CP" w:val="&lt;UNUSED&gt;"/>
    <w:docVar w:name="LW_SUPERTITRE" w:val="&lt;UNUSED&gt;"/>
    <w:docVar w:name="LW_TITRE.OBJ.CP" w:val="\u1086?\u1090?\u1085?\u1086?\u1089?\u1085?\u1086? \u1091?\u1087?\u1088?\u1072?\u1078?\u1085?\u1103?\u1074?\u1072?\u1085?\u1077? \u1085?\u1072? \u1087?\u1088?\u1072?\u1074?\u1086?\u1084?\u1086?\u1097?\u1080?\u1103?\u1090?\u1072?, \u1076?\u1077?\u1083?\u1077?\u1075?\u1080?\u1088?\u1072?\u1085?\u1080? \u1085?\u1072? \u1050?\u1086?\u1084?\u1080?\u1089?\u1080?\u1103?\u1090?\u1072? \u1089?\u1098?\u1075?\u1083?\u1072?\u1089?\u1085?\u1086? \u1056?\u1077?\u1075?\u1083?\u1072?\u1084?\u1077?\u1085?\u1090? (\u1045?C) \u8470? 995/2010 \u1085?\u1072? \u1045?\u1074?\u1088?\u1086?\u1087?\u1077?\u1081?\u1089?\u1082?\u1080?\u1103? \u1087?\u1072?\u1088?\u1083?\u1072?\u1084?\u1077?\u1085?\u1090? \u1080? \u1085?\u1072? \u1057?\u1098?\u1074?\u1077?\u1090?\u1072? \u1086?\u1090? 20 \u1086?\u1082?\u1090?\u1086?\u1084?\u1074?\u1088?\u1080? 2010 \u1075?. \u1079?\u1072? \u1086?\u1087?\u1088?\u1077?\u1076?\u1077?\u1083?\u1103?\u1085?\u1077? \u1085?\u1072? \u1079?\u1072?\u1076?\u1098?\u1083?\u1078?\u1077?\u1085?\u1080?\u1103?\u1090?\u1072? \u1085?\u1072? \u1086?\u1087?\u1077?\u1088?\u1072?\u1090?\u1086?\u1088?\u1080?\u1090?\u1077?, \u1082?\u1086?\u1080?\u1090?\u1086? \u1087?\u1091?\u1089?\u1082?\u1072?\u1090? \u1085?\u1072? \u1087?\u1072?\u1079?\u1072?\u1088?\u1072? \u1076?\u1098?\u1088?\u1074?\u1077?\u1085? \u1084?\u1072?\u1090?\u1077?\u1088?\u1080?\u1072?\u1083? \u1080? \u1080?\u1079?\u1076?\u1077?\u1083?\u1080?\u1103? \u1086?\u1090? \u1076?\u1098?\u1088?\u1074?\u1077?\u1085? \u1084?\u1072?\u1090?\u1077?\u1088?\u1080?\u1072?\u1083? (\u1056?\u1077?\u1075?\u1083?\u1072?\u1084?\u1077?\u1085?\u1090?\u1098?\u1090? \u1085?\u1072? \u1045?\u1057? \u1086?\u1090?\u1085?\u1086?\u1089?\u1085?\u1086? \u1076?\u1098?\u1088?\u1074?\u1077?\u1085?\u1080?\u1103? \u1084?\u1072?\u1090?\u1077?\u1088?\u1080?\u1072?\u1083?)"/>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60" w:line="0" w:lineRule="atLeast"/>
      <w:jc w:val="center"/>
    </w:pPr>
  </w:style>
  <w:style w:type="character" w:customStyle="1" w:styleId="Corpsdutexte">
    <w:name w:val="Corps du texte_"/>
    <w:basedOn w:val="DefaultParagraphFont"/>
    <w:link w:val="Corpsdutexte0"/>
    <w:rPr>
      <w:shd w:val="clear" w:color="auto" w:fill="FFFFFF"/>
    </w:rPr>
  </w:style>
  <w:style w:type="character" w:customStyle="1" w:styleId="Corpsdutexte5">
    <w:name w:val="Corps du texte (5)_"/>
    <w:basedOn w:val="DefaultParagraphFont"/>
    <w:link w:val="Corpsdutexte5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after="1380" w:line="278" w:lineRule="exact"/>
    </w:pPr>
  </w:style>
  <w:style w:type="paragraph" w:customStyle="1" w:styleId="Corpsdutexte50">
    <w:name w:val="Corps du texte (5)"/>
    <w:basedOn w:val="Normal"/>
    <w:link w:val="Corpsdutexte5"/>
    <w:pPr>
      <w:widowControl w:val="0"/>
      <w:shd w:val="clear" w:color="auto" w:fill="FFFFFF"/>
      <w:spacing w:before="1260" w:after="0" w:line="230" w:lineRule="exact"/>
      <w:jc w:val="both"/>
    </w:pPr>
    <w:rPr>
      <w:sz w:val="19"/>
      <w:szCs w:val="19"/>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customStyle="1" w:styleId="En-tte22">
    <w:name w:val="En-tête #2 (2)_"/>
    <w:basedOn w:val="DefaultParagraphFont"/>
    <w:link w:val="En-tte220"/>
    <w:rPr>
      <w:sz w:val="23"/>
      <w:szCs w:val="23"/>
      <w:shd w:val="clear" w:color="auto" w:fill="FFFFFF"/>
    </w:rPr>
  </w:style>
  <w:style w:type="paragraph" w:customStyle="1" w:styleId="En-tte220">
    <w:name w:val="En-tête #2 (2)"/>
    <w:basedOn w:val="Normal"/>
    <w:link w:val="En-tte22"/>
    <w:pPr>
      <w:widowControl w:val="0"/>
      <w:shd w:val="clear" w:color="auto" w:fill="FFFFFF"/>
      <w:spacing w:after="180" w:line="0" w:lineRule="atLeast"/>
      <w:jc w:val="both"/>
      <w:outlineLvl w:val="1"/>
    </w:pPr>
    <w:rPr>
      <w:sz w:val="23"/>
      <w:szCs w:val="23"/>
    </w:rPr>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60" w:after="180" w:line="0" w:lineRule="atLeast"/>
      <w:jc w:val="both"/>
      <w:outlineLvl w:val="1"/>
    </w:pPr>
  </w:style>
  <w:style w:type="character" w:customStyle="1" w:styleId="En-tte2211pt">
    <w:name w:val="En-tête #2 (2) + 11 pt"/>
    <w:aliases w:val="Non Petites majuscules"/>
    <w:basedOn w:val="En-tte2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Corpsdutexte2"/>
    <w:link w:val="FooterCoverPage"/>
    <w:rPr>
      <w:rFonts w:ascii="Times New Roman" w:hAnsi="Times New Roman" w:cs="Times New Roman"/>
      <w:sz w:val="24"/>
      <w:szCs w:val="24"/>
      <w:shd w:val="clear" w:color="auto" w:fill="FFFFFF"/>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Corpsdutexte2"/>
    <w:link w:val="HeaderCoverPage"/>
    <w:rPr>
      <w:rFonts w:ascii="Times New Roman" w:hAnsi="Times New Roman" w:cs="Times New Roman"/>
      <w:sz w:val="24"/>
      <w:szCs w:val="24"/>
      <w:shd w:val="clear" w:color="auto" w:fil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60" w:line="0" w:lineRule="atLeast"/>
      <w:jc w:val="center"/>
    </w:pPr>
  </w:style>
  <w:style w:type="character" w:customStyle="1" w:styleId="Corpsdutexte">
    <w:name w:val="Corps du texte_"/>
    <w:basedOn w:val="DefaultParagraphFont"/>
    <w:link w:val="Corpsdutexte0"/>
    <w:rPr>
      <w:shd w:val="clear" w:color="auto" w:fill="FFFFFF"/>
    </w:rPr>
  </w:style>
  <w:style w:type="character" w:customStyle="1" w:styleId="Corpsdutexte5">
    <w:name w:val="Corps du texte (5)_"/>
    <w:basedOn w:val="DefaultParagraphFont"/>
    <w:link w:val="Corpsdutexte5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after="1380" w:line="278" w:lineRule="exact"/>
    </w:pPr>
  </w:style>
  <w:style w:type="paragraph" w:customStyle="1" w:styleId="Corpsdutexte50">
    <w:name w:val="Corps du texte (5)"/>
    <w:basedOn w:val="Normal"/>
    <w:link w:val="Corpsdutexte5"/>
    <w:pPr>
      <w:widowControl w:val="0"/>
      <w:shd w:val="clear" w:color="auto" w:fill="FFFFFF"/>
      <w:spacing w:before="1260" w:after="0" w:line="230" w:lineRule="exact"/>
      <w:jc w:val="both"/>
    </w:pPr>
    <w:rPr>
      <w:sz w:val="19"/>
      <w:szCs w:val="19"/>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customStyle="1" w:styleId="En-tte22">
    <w:name w:val="En-tête #2 (2)_"/>
    <w:basedOn w:val="DefaultParagraphFont"/>
    <w:link w:val="En-tte220"/>
    <w:rPr>
      <w:sz w:val="23"/>
      <w:szCs w:val="23"/>
      <w:shd w:val="clear" w:color="auto" w:fill="FFFFFF"/>
    </w:rPr>
  </w:style>
  <w:style w:type="paragraph" w:customStyle="1" w:styleId="En-tte220">
    <w:name w:val="En-tête #2 (2)"/>
    <w:basedOn w:val="Normal"/>
    <w:link w:val="En-tte22"/>
    <w:pPr>
      <w:widowControl w:val="0"/>
      <w:shd w:val="clear" w:color="auto" w:fill="FFFFFF"/>
      <w:spacing w:after="180" w:line="0" w:lineRule="atLeast"/>
      <w:jc w:val="both"/>
      <w:outlineLvl w:val="1"/>
    </w:pPr>
    <w:rPr>
      <w:sz w:val="23"/>
      <w:szCs w:val="23"/>
    </w:rPr>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60" w:after="180" w:line="0" w:lineRule="atLeast"/>
      <w:jc w:val="both"/>
      <w:outlineLvl w:val="1"/>
    </w:pPr>
  </w:style>
  <w:style w:type="character" w:customStyle="1" w:styleId="En-tte2211pt">
    <w:name w:val="En-tête #2 (2) + 11 pt"/>
    <w:aliases w:val="Non Petites majuscules"/>
    <w:basedOn w:val="En-tte2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Corpsdutexte2"/>
    <w:link w:val="FooterCoverPage"/>
    <w:rPr>
      <w:rFonts w:ascii="Times New Roman" w:hAnsi="Times New Roman" w:cs="Times New Roman"/>
      <w:sz w:val="24"/>
      <w:szCs w:val="24"/>
      <w:shd w:val="clear" w:color="auto" w:fill="FFFFFF"/>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Corpsdutexte2"/>
    <w:link w:val="HeaderCoverPage"/>
    <w:rPr>
      <w:rFonts w:ascii="Times New Roman" w:hAnsi="Times New Roman" w:cs="Times New Roman"/>
      <w:sz w:val="24"/>
      <w:szCs w:val="24"/>
      <w:shd w:val="clear" w:color="auto" w:fil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00440">
      <w:bodyDiv w:val="1"/>
      <w:marLeft w:val="0"/>
      <w:marRight w:val="0"/>
      <w:marTop w:val="0"/>
      <w:marBottom w:val="0"/>
      <w:divBdr>
        <w:top w:val="none" w:sz="0" w:space="0" w:color="auto"/>
        <w:left w:val="none" w:sz="0" w:space="0" w:color="auto"/>
        <w:bottom w:val="none" w:sz="0" w:space="0" w:color="auto"/>
        <w:right w:val="none" w:sz="0" w:space="0" w:color="auto"/>
      </w:divBdr>
      <w:divsChild>
        <w:div w:id="1255045500">
          <w:marLeft w:val="0"/>
          <w:marRight w:val="0"/>
          <w:marTop w:val="0"/>
          <w:marBottom w:val="0"/>
          <w:divBdr>
            <w:top w:val="none" w:sz="0" w:space="0" w:color="auto"/>
            <w:left w:val="none" w:sz="0" w:space="0" w:color="auto"/>
            <w:bottom w:val="none" w:sz="0" w:space="0" w:color="auto"/>
            <w:right w:val="none" w:sz="0" w:space="0" w:color="auto"/>
          </w:divBdr>
          <w:divsChild>
            <w:div w:id="662701565">
              <w:marLeft w:val="0"/>
              <w:marRight w:val="0"/>
              <w:marTop w:val="0"/>
              <w:marBottom w:val="0"/>
              <w:divBdr>
                <w:top w:val="none" w:sz="0" w:space="0" w:color="auto"/>
                <w:left w:val="none" w:sz="0" w:space="0" w:color="auto"/>
                <w:bottom w:val="none" w:sz="0" w:space="0" w:color="auto"/>
                <w:right w:val="none" w:sz="0" w:space="0" w:color="auto"/>
              </w:divBdr>
              <w:divsChild>
                <w:div w:id="1119761182">
                  <w:marLeft w:val="0"/>
                  <w:marRight w:val="0"/>
                  <w:marTop w:val="0"/>
                  <w:marBottom w:val="0"/>
                  <w:divBdr>
                    <w:top w:val="none" w:sz="0" w:space="0" w:color="auto"/>
                    <w:left w:val="none" w:sz="0" w:space="0" w:color="auto"/>
                    <w:bottom w:val="none" w:sz="0" w:space="0" w:color="auto"/>
                    <w:right w:val="none" w:sz="0" w:space="0" w:color="auto"/>
                  </w:divBdr>
                  <w:divsChild>
                    <w:div w:id="1404984245">
                      <w:marLeft w:val="1"/>
                      <w:marRight w:val="1"/>
                      <w:marTop w:val="0"/>
                      <w:marBottom w:val="0"/>
                      <w:divBdr>
                        <w:top w:val="none" w:sz="0" w:space="0" w:color="auto"/>
                        <w:left w:val="none" w:sz="0" w:space="0" w:color="auto"/>
                        <w:bottom w:val="none" w:sz="0" w:space="0" w:color="auto"/>
                        <w:right w:val="none" w:sz="0" w:space="0" w:color="auto"/>
                      </w:divBdr>
                      <w:divsChild>
                        <w:div w:id="2086105752">
                          <w:marLeft w:val="0"/>
                          <w:marRight w:val="0"/>
                          <w:marTop w:val="0"/>
                          <w:marBottom w:val="0"/>
                          <w:divBdr>
                            <w:top w:val="none" w:sz="0" w:space="0" w:color="auto"/>
                            <w:left w:val="none" w:sz="0" w:space="0" w:color="auto"/>
                            <w:bottom w:val="none" w:sz="0" w:space="0" w:color="auto"/>
                            <w:right w:val="none" w:sz="0" w:space="0" w:color="auto"/>
                          </w:divBdr>
                          <w:divsChild>
                            <w:div w:id="1649893703">
                              <w:marLeft w:val="0"/>
                              <w:marRight w:val="0"/>
                              <w:marTop w:val="0"/>
                              <w:marBottom w:val="360"/>
                              <w:divBdr>
                                <w:top w:val="none" w:sz="0" w:space="0" w:color="auto"/>
                                <w:left w:val="none" w:sz="0" w:space="0" w:color="auto"/>
                                <w:bottom w:val="none" w:sz="0" w:space="0" w:color="auto"/>
                                <w:right w:val="none" w:sz="0" w:space="0" w:color="auto"/>
                              </w:divBdr>
                              <w:divsChild>
                                <w:div w:id="1238320008">
                                  <w:marLeft w:val="0"/>
                                  <w:marRight w:val="0"/>
                                  <w:marTop w:val="0"/>
                                  <w:marBottom w:val="0"/>
                                  <w:divBdr>
                                    <w:top w:val="none" w:sz="0" w:space="0" w:color="auto"/>
                                    <w:left w:val="none" w:sz="0" w:space="0" w:color="auto"/>
                                    <w:bottom w:val="none" w:sz="0" w:space="0" w:color="auto"/>
                                    <w:right w:val="none" w:sz="0" w:space="0" w:color="auto"/>
                                  </w:divBdr>
                                  <w:divsChild>
                                    <w:div w:id="2123182696">
                                      <w:marLeft w:val="0"/>
                                      <w:marRight w:val="0"/>
                                      <w:marTop w:val="0"/>
                                      <w:marBottom w:val="0"/>
                                      <w:divBdr>
                                        <w:top w:val="none" w:sz="0" w:space="0" w:color="auto"/>
                                        <w:left w:val="none" w:sz="0" w:space="0" w:color="auto"/>
                                        <w:bottom w:val="none" w:sz="0" w:space="0" w:color="auto"/>
                                        <w:right w:val="none" w:sz="0" w:space="0" w:color="auto"/>
                                      </w:divBdr>
                                      <w:divsChild>
                                        <w:div w:id="14803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774957">
      <w:bodyDiv w:val="1"/>
      <w:marLeft w:val="0"/>
      <w:marRight w:val="0"/>
      <w:marTop w:val="0"/>
      <w:marBottom w:val="0"/>
      <w:divBdr>
        <w:top w:val="none" w:sz="0" w:space="0" w:color="auto"/>
        <w:left w:val="none" w:sz="0" w:space="0" w:color="auto"/>
        <w:bottom w:val="none" w:sz="0" w:space="0" w:color="auto"/>
        <w:right w:val="none" w:sz="0" w:space="0" w:color="auto"/>
      </w:divBdr>
      <w:divsChild>
        <w:div w:id="2000502360">
          <w:marLeft w:val="0"/>
          <w:marRight w:val="0"/>
          <w:marTop w:val="0"/>
          <w:marBottom w:val="0"/>
          <w:divBdr>
            <w:top w:val="none" w:sz="0" w:space="0" w:color="auto"/>
            <w:left w:val="none" w:sz="0" w:space="0" w:color="auto"/>
            <w:bottom w:val="none" w:sz="0" w:space="0" w:color="auto"/>
            <w:right w:val="none" w:sz="0" w:space="0" w:color="auto"/>
          </w:divBdr>
          <w:divsChild>
            <w:div w:id="1654288398">
              <w:marLeft w:val="0"/>
              <w:marRight w:val="0"/>
              <w:marTop w:val="0"/>
              <w:marBottom w:val="0"/>
              <w:divBdr>
                <w:top w:val="none" w:sz="0" w:space="0" w:color="auto"/>
                <w:left w:val="none" w:sz="0" w:space="0" w:color="auto"/>
                <w:bottom w:val="none" w:sz="0" w:space="0" w:color="auto"/>
                <w:right w:val="none" w:sz="0" w:space="0" w:color="auto"/>
              </w:divBdr>
              <w:divsChild>
                <w:div w:id="1324160955">
                  <w:marLeft w:val="0"/>
                  <w:marRight w:val="0"/>
                  <w:marTop w:val="0"/>
                  <w:marBottom w:val="0"/>
                  <w:divBdr>
                    <w:top w:val="none" w:sz="0" w:space="0" w:color="auto"/>
                    <w:left w:val="none" w:sz="0" w:space="0" w:color="auto"/>
                    <w:bottom w:val="none" w:sz="0" w:space="0" w:color="auto"/>
                    <w:right w:val="none" w:sz="0" w:space="0" w:color="auto"/>
                  </w:divBdr>
                  <w:divsChild>
                    <w:div w:id="1033072073">
                      <w:marLeft w:val="1"/>
                      <w:marRight w:val="1"/>
                      <w:marTop w:val="0"/>
                      <w:marBottom w:val="0"/>
                      <w:divBdr>
                        <w:top w:val="none" w:sz="0" w:space="0" w:color="auto"/>
                        <w:left w:val="none" w:sz="0" w:space="0" w:color="auto"/>
                        <w:bottom w:val="none" w:sz="0" w:space="0" w:color="auto"/>
                        <w:right w:val="none" w:sz="0" w:space="0" w:color="auto"/>
                      </w:divBdr>
                      <w:divsChild>
                        <w:div w:id="1978753192">
                          <w:marLeft w:val="0"/>
                          <w:marRight w:val="0"/>
                          <w:marTop w:val="0"/>
                          <w:marBottom w:val="0"/>
                          <w:divBdr>
                            <w:top w:val="none" w:sz="0" w:space="0" w:color="auto"/>
                            <w:left w:val="none" w:sz="0" w:space="0" w:color="auto"/>
                            <w:bottom w:val="none" w:sz="0" w:space="0" w:color="auto"/>
                            <w:right w:val="none" w:sz="0" w:space="0" w:color="auto"/>
                          </w:divBdr>
                          <w:divsChild>
                            <w:div w:id="1762991122">
                              <w:marLeft w:val="0"/>
                              <w:marRight w:val="0"/>
                              <w:marTop w:val="0"/>
                              <w:marBottom w:val="360"/>
                              <w:divBdr>
                                <w:top w:val="none" w:sz="0" w:space="0" w:color="auto"/>
                                <w:left w:val="none" w:sz="0" w:space="0" w:color="auto"/>
                                <w:bottom w:val="none" w:sz="0" w:space="0" w:color="auto"/>
                                <w:right w:val="none" w:sz="0" w:space="0" w:color="auto"/>
                              </w:divBdr>
                              <w:divsChild>
                                <w:div w:id="2145611296">
                                  <w:marLeft w:val="0"/>
                                  <w:marRight w:val="0"/>
                                  <w:marTop w:val="0"/>
                                  <w:marBottom w:val="0"/>
                                  <w:divBdr>
                                    <w:top w:val="none" w:sz="0" w:space="0" w:color="auto"/>
                                    <w:left w:val="none" w:sz="0" w:space="0" w:color="auto"/>
                                    <w:bottom w:val="none" w:sz="0" w:space="0" w:color="auto"/>
                                    <w:right w:val="none" w:sz="0" w:space="0" w:color="auto"/>
                                  </w:divBdr>
                                  <w:divsChild>
                                    <w:div w:id="1243024448">
                                      <w:marLeft w:val="0"/>
                                      <w:marRight w:val="0"/>
                                      <w:marTop w:val="0"/>
                                      <w:marBottom w:val="0"/>
                                      <w:divBdr>
                                        <w:top w:val="none" w:sz="0" w:space="0" w:color="auto"/>
                                        <w:left w:val="none" w:sz="0" w:space="0" w:color="auto"/>
                                        <w:bottom w:val="none" w:sz="0" w:space="0" w:color="auto"/>
                                        <w:right w:val="none" w:sz="0" w:space="0" w:color="auto"/>
                                      </w:divBdr>
                                      <w:divsChild>
                                        <w:div w:id="1326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0FCF-0626-4F59-89B8-093030D2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1365</Words>
  <Characters>7578</Characters>
  <Application>Microsoft Office Word</Application>
  <DocSecurity>0</DocSecurity>
  <Lines>137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2015-10-16T08:21:00Z</cp:lastPrinted>
  <dcterms:created xsi:type="dcterms:W3CDTF">2015-12-07T14:58:00Z</dcterms:created>
  <dcterms:modified xsi:type="dcterms:W3CDTF">2016-02-16T12:47:00Z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