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6DD2852B484161A9353813F2918EEF" style="width:450.75pt;height:379.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26"/>
        </w:sectPr>
      </w:pPr>
    </w:p>
    <w:p>
      <w:pPr>
        <w:jc w:val="center"/>
        <w:rPr>
          <w:rFonts w:eastAsia="Calibri"/>
          <w:b/>
          <w:noProof/>
          <w:color w:val="000000"/>
          <w:u w:color="000000"/>
        </w:rPr>
      </w:pPr>
      <w:bookmarkStart w:id="1" w:name="_GoBack"/>
      <w:bookmarkEnd w:id="1"/>
      <w:r>
        <w:rPr>
          <w:b/>
          <w:noProof/>
          <w:color w:val="000000"/>
          <w:u w:color="000000"/>
        </w:rPr>
        <w:lastRenderedPageBreak/>
        <w:t>Suivi donné au sommet sur la route des Balkans occidentaux – État des lieux</w:t>
      </w:r>
    </w:p>
    <w:p>
      <w:pPr>
        <w:jc w:val="center"/>
        <w:rPr>
          <w:rFonts w:eastAsia="Calibri"/>
          <w:b/>
          <w:noProof/>
          <w:color w:val="000000"/>
          <w:u w:color="000000"/>
        </w:rPr>
      </w:pPr>
    </w:p>
    <w:tbl>
      <w:tblPr>
        <w:tblStyle w:val="TableGrid"/>
        <w:tblW w:w="9356" w:type="dxa"/>
        <w:tblInd w:w="108" w:type="dxa"/>
        <w:tblLook w:val="04A0" w:firstRow="1" w:lastRow="0" w:firstColumn="1" w:lastColumn="0" w:noHBand="0" w:noVBand="1"/>
      </w:tblPr>
      <w:tblGrid>
        <w:gridCol w:w="1750"/>
        <w:gridCol w:w="2513"/>
        <w:gridCol w:w="5093"/>
      </w:tblGrid>
      <w:tr>
        <w:tc>
          <w:tcPr>
            <w:tcW w:w="4111" w:type="dxa"/>
            <w:gridSpan w:val="2"/>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noProof/>
              </w:rPr>
            </w:pPr>
            <w:r>
              <w:rPr>
                <w:rFonts w:ascii="Times New Roman" w:hAnsi="Times New Roman"/>
                <w:b/>
                <w:noProof/>
              </w:rPr>
              <w:t>Plan d’action</w:t>
            </w:r>
          </w:p>
        </w:tc>
        <w:tc>
          <w:tcPr>
            <w:tcW w:w="5245"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b/>
                <w:noProof/>
              </w:rPr>
            </w:pPr>
            <w:r>
              <w:rPr>
                <w:rFonts w:ascii="Times New Roman" w:hAnsi="Times New Roman"/>
                <w:b/>
                <w:noProof/>
              </w:rPr>
              <w:t>État d’avancement</w:t>
            </w:r>
          </w:p>
        </w:tc>
      </w:tr>
      <w:tr>
        <w:trPr>
          <w:trHeight w:val="484"/>
        </w:trPr>
        <w:tc>
          <w:tcPr>
            <w:tcW w:w="1563" w:type="dxa"/>
            <w:vMerge w:val="restar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Procéder à un échange permanent d’informations</w:t>
            </w: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 Désigner des points de contact dans les 24 heures</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Désignation de points de contact par tous les pays, institutions et agences participant</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Renforcement des contacts bilatéraux et multilatéraux dans la région</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Échange exhaustif d’informations entre les responsables des services de police au sujet des politiques et des pratiques en vigueur aux frontières</w:t>
            </w:r>
          </w:p>
          <w:p>
            <w:pPr>
              <w:ind w:left="317" w:hanging="317"/>
              <w:rPr>
                <w:rFonts w:ascii="Times New Roman" w:hAnsi="Times New Roman" w:cs="Times New Roman"/>
                <w:noProof/>
              </w:rPr>
            </w:pPr>
            <w:r>
              <w:rPr>
                <w:rFonts w:ascii="Times New Roman" w:hAnsi="Times New Roman"/>
                <w:noProof/>
              </w:rPr>
              <w:t>X  Notification préalable insuffisante des changements prévus dans les politiques nationales</w:t>
            </w:r>
          </w:p>
          <w:p>
            <w:pPr>
              <w:ind w:left="317" w:hanging="317"/>
              <w:rPr>
                <w:rFonts w:ascii="Times New Roman" w:hAnsi="Times New Roman" w:cs="Times New Roman"/>
                <w:noProof/>
              </w:rPr>
            </w:pPr>
            <w:r>
              <w:rPr>
                <w:rFonts w:ascii="Times New Roman" w:hAnsi="Times New Roman"/>
                <w:noProof/>
              </w:rPr>
              <w:t>X  Mesures unilatérales incluant l’imposition de fait de conditions d’entrée fondées sur la nationalité et la destination et l’érection de clôtures</w:t>
            </w:r>
          </w:p>
        </w:tc>
      </w:tr>
      <w:tr>
        <w:trPr>
          <w:trHeight w:val="830"/>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 xml:space="preserve">2. Procéder à des évaluations conjointes des besoins dans les 24 heures </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Première évaluation des besoins et missions ultérieures sur le terrain effectuées par la Commission</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Recensement des options envisageables de financement européen pour les lacunes signalées qu’il faudra combler à plus long terme et allocation d’une aide d’urgence pour répondre aux besoins immédiats</w:t>
            </w:r>
          </w:p>
          <w:p>
            <w:pPr>
              <w:ind w:left="317" w:hanging="317"/>
              <w:rPr>
                <w:rFonts w:ascii="Times New Roman" w:hAnsi="Times New Roman" w:cs="Times New Roman"/>
                <w:noProof/>
              </w:rPr>
            </w:pPr>
            <w:r>
              <w:rPr>
                <w:rFonts w:ascii="Times New Roman" w:hAnsi="Times New Roman"/>
                <w:noProof/>
              </w:rPr>
              <w:t xml:space="preserve">X  La Grèce tarde à fournir l’évaluation complète et définitive de ses besoins </w:t>
            </w:r>
          </w:p>
        </w:tc>
      </w:tr>
      <w:tr>
        <w:tc>
          <w:tcPr>
            <w:tcW w:w="1563"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Limiter les mouvements secondaires</w:t>
            </w: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 xml:space="preserve">3. Décourager les mouvements non annoncés de réfugiés ou de migrants </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Renforcement de la coopération et de la communication entre autorités frontalières</w:t>
            </w:r>
          </w:p>
          <w:p>
            <w:pPr>
              <w:ind w:left="317" w:hanging="317"/>
              <w:rPr>
                <w:rFonts w:ascii="Times New Roman" w:hAnsi="Times New Roman" w:cs="Times New Roman"/>
                <w:noProof/>
              </w:rPr>
            </w:pPr>
            <w:r>
              <w:rPr>
                <w:rFonts w:ascii="Times New Roman" w:hAnsi="Times New Roman"/>
                <w:noProof/>
              </w:rPr>
              <w:t xml:space="preserve">X  Absence de volonté politique de créer une capacité d’accueil permanente </w:t>
            </w:r>
          </w:p>
          <w:p>
            <w:pPr>
              <w:ind w:left="317" w:hanging="317"/>
              <w:rPr>
                <w:rFonts w:ascii="Times New Roman" w:hAnsi="Times New Roman" w:cs="Times New Roman"/>
                <w:noProof/>
              </w:rPr>
            </w:pPr>
            <w:r>
              <w:rPr>
                <w:rFonts w:ascii="Times New Roman" w:hAnsi="Times New Roman"/>
                <w:noProof/>
              </w:rPr>
              <w:t xml:space="preserve">X  Certains pays  continuent d’organiser activement  le transport de migrants d’une frontière à l’autre </w:t>
            </w:r>
          </w:p>
          <w:p>
            <w:pPr>
              <w:ind w:left="317" w:hanging="317"/>
              <w:rPr>
                <w:rFonts w:ascii="Times New Roman" w:hAnsi="Times New Roman" w:cs="Times New Roman"/>
                <w:noProof/>
              </w:rPr>
            </w:pPr>
            <w:r>
              <w:rPr>
                <w:rFonts w:ascii="Times New Roman" w:hAnsi="Times New Roman"/>
                <w:noProof/>
              </w:rPr>
              <w:t>X  Nécessité que les États membres appliquent de toute urgence les règles pertinentes du droit de l’UE</w:t>
            </w:r>
          </w:p>
          <w:p>
            <w:pPr>
              <w:ind w:left="317" w:hanging="317"/>
              <w:rPr>
                <w:rFonts w:ascii="Times New Roman" w:hAnsi="Times New Roman" w:cs="Times New Roman"/>
                <w:noProof/>
              </w:rPr>
            </w:pPr>
            <w:r>
              <w:rPr>
                <w:rFonts w:ascii="Times New Roman" w:hAnsi="Times New Roman"/>
                <w:noProof/>
              </w:rPr>
              <w:t>X  Frontex, en étroite coopération avec les programmes de retour financés par l’UE existants, devrait être encouragée à œuvrer en étroite collaboration avec les pays concernés des Balkans occidentaux au renforcement de leur capacité opérationnelle à appréhender, enregistrer, identifier les migrants en situation irrégulière qui n’ont pas besoin d’une protection internationale et organiser leur retour</w:t>
            </w:r>
          </w:p>
        </w:tc>
      </w:tr>
      <w:tr>
        <w:trPr>
          <w:trHeight w:val="385"/>
        </w:trPr>
        <w:tc>
          <w:tcPr>
            <w:tcW w:w="1563" w:type="dxa"/>
            <w:vMerge w:val="restar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Venir en aide aux réfugiés, leur fournir un abri et leur permettre de se reposer</w:t>
            </w:r>
          </w:p>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4. Accroître l’aide en faveur des migrants, notamment au moyen du mécanisme de protection civile</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Les financements de l’UE ont contribué à soutenir tous les pays traversés par la route migratoire </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Déclenchement du mécanisme de protection civile par la Croatie et la Grèce</w:t>
            </w:r>
          </w:p>
          <w:p>
            <w:pPr>
              <w:ind w:left="317" w:hanging="317"/>
              <w:rPr>
                <w:rFonts w:ascii="Times New Roman" w:hAnsi="Times New Roman" w:cs="Times New Roman"/>
                <w:noProof/>
              </w:rPr>
            </w:pPr>
            <w:r>
              <w:rPr>
                <w:rFonts w:ascii="Times New Roman" w:hAnsi="Times New Roman"/>
                <w:noProof/>
              </w:rPr>
              <w:t>X  Les États membres n’ont pas satisfait à la majorité des demandes d’assistance aux fins d’opérations en cours relevant du mécanisme de protection civile, y compris pour la Serbie et la Slovénie</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5. Porter la capacité d’accueil en Grèce à un total de 50 000 places d’ici la fin de l’année</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Mise à disposition, par le HCR, de 14 950 places sur les 20 000 relevant du système de bons de logement financé par l’UE</w:t>
            </w:r>
          </w:p>
          <w:p>
            <w:pPr>
              <w:ind w:left="317" w:hanging="317"/>
              <w:rPr>
                <w:rFonts w:ascii="Times New Roman" w:hAnsi="Times New Roman" w:cs="Times New Roman"/>
                <w:noProof/>
              </w:rPr>
            </w:pPr>
            <w:r>
              <w:rPr>
                <w:rFonts w:ascii="Times New Roman" w:hAnsi="Times New Roman"/>
                <w:noProof/>
              </w:rPr>
              <w:t>X  Capacité d’accueil inférieure à l’objectif (voir annexe 2)</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6. Augmenter les capacités d’accueil de 50 000 places le long de la route des Balkans occidentaux</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noProof/>
              </w:rPr>
              <w:t>X  Capacité d’accueil inférieure à l’objectif et absence de projet immédiat/de volonté politique de combler cet écart pour atteindre cet objectif global</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7. Coopérer avec les institutions financières internationales (IFI)</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Action du réseau des IFI et des services de la Commission européenne sur l’échange d’informations et la création de synergies en matière de financement</w:t>
            </w:r>
          </w:p>
          <w:p>
            <w:pPr>
              <w:ind w:left="317" w:hanging="317"/>
              <w:rPr>
                <w:rFonts w:ascii="Times New Roman" w:hAnsi="Times New Roman" w:cs="Times New Roman"/>
                <w:noProof/>
              </w:rPr>
            </w:pPr>
            <w:r>
              <w:rPr>
                <w:rFonts w:ascii="Times New Roman" w:hAnsi="Times New Roman"/>
                <w:noProof/>
              </w:rPr>
              <w:t>X  Nécessité d’apporter des réponses à moyen et long termes</w:t>
            </w:r>
          </w:p>
        </w:tc>
      </w:tr>
      <w:tr>
        <w:trPr>
          <w:trHeight w:val="384"/>
        </w:trPr>
        <w:tc>
          <w:tcPr>
            <w:tcW w:w="1563" w:type="dxa"/>
            <w:vMerge w:val="restar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Assurer la gestion des flux migratoires de manière conjointe</w:t>
            </w:r>
          </w:p>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8. Maximiser les capacités affectées à l’enregistrement des arrivées</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Fourniture de postes Eurodac à la Grèce financée grâce à des fonds de l’UE, 6 étant déjà déployés, 25 sur le point de l’être et 65 autres ayant été commandés pour février</w:t>
            </w:r>
          </w:p>
          <w:p>
            <w:pPr>
              <w:ind w:left="317" w:hanging="317"/>
              <w:rPr>
                <w:rFonts w:ascii="Times New Roman" w:hAnsi="Times New Roman" w:cs="Times New Roman"/>
                <w:noProof/>
              </w:rPr>
            </w:pPr>
            <w:r>
              <w:rPr>
                <w:rFonts w:ascii="Times New Roman" w:hAnsi="Times New Roman"/>
                <w:noProof/>
              </w:rPr>
              <w:t>X  Les centres de crise en Italie et en Grèce ne sont pas encore tous pleinement opérationnels en ce qui concerne la procédure d’enregistrement (voir annexes 2 et 3); absence de contrôles de sûreté systématiques</w:t>
            </w:r>
          </w:p>
          <w:p>
            <w:pPr>
              <w:ind w:left="317" w:hanging="317"/>
              <w:rPr>
                <w:rFonts w:ascii="Times New Roman" w:hAnsi="Times New Roman" w:cs="Times New Roman"/>
                <w:noProof/>
              </w:rPr>
            </w:pPr>
            <w:r>
              <w:rPr>
                <w:rFonts w:ascii="Times New Roman" w:hAnsi="Times New Roman"/>
                <w:noProof/>
              </w:rPr>
              <w:t xml:space="preserve">X  Les pays traversés par la route migratoire ne procèdent pas tous à l’enregistrement systématique des personnes </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 xml:space="preserve">9. Échanger des informations relatives au volume des flux migratoires </w:t>
            </w:r>
          </w:p>
        </w:tc>
        <w:tc>
          <w:tcPr>
            <w:tcW w:w="5245"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Établissement quotidien de rapports par Frontex</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10. Collaborer avec les agences de l’UE pour mettre rapidement en place cet échange d’informations</w:t>
            </w:r>
          </w:p>
        </w:tc>
        <w:tc>
          <w:tcPr>
            <w:tcW w:w="5245"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Établissement quotidien de rapports par Frontex</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11. Renforcer l’action en matière de retour</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Aide de l’UE en matière de retour et programme d’assistance au retour volontaire financé par l’UE en cours (y compris grâce à l’aide d’urgence)</w:t>
            </w:r>
          </w:p>
          <w:p>
            <w:pPr>
              <w:ind w:left="317" w:hanging="317"/>
              <w:rPr>
                <w:rFonts w:ascii="Times New Roman" w:hAnsi="Times New Roman" w:cs="Times New Roman"/>
                <w:noProof/>
              </w:rPr>
            </w:pPr>
            <w:r>
              <w:rPr>
                <w:rFonts w:ascii="Times New Roman" w:hAnsi="Times New Roman"/>
                <w:noProof/>
              </w:rPr>
              <w:t xml:space="preserve">X  Nécessité d’accroître la capacité de rétention et de multiplier les opérations de retour </w:t>
            </w:r>
          </w:p>
        </w:tc>
      </w:tr>
      <w:tr>
        <w:trPr>
          <w:trHeight w:val="384"/>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12. Renforcer la coopération en matière de réadmission</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Dialogues à haut niveau et comités de réadmission mixtes avec des pays tiers, notamment la Turquie et le Pakistan</w:t>
            </w:r>
          </w:p>
          <w:p>
            <w:pPr>
              <w:ind w:left="317" w:hanging="317"/>
              <w:rPr>
                <w:rFonts w:ascii="Times New Roman" w:hAnsi="Times New Roman" w:cs="Times New Roman"/>
                <w:noProof/>
              </w:rPr>
            </w:pPr>
            <w:r>
              <w:rPr>
                <w:rFonts w:ascii="Times New Roman" w:hAnsi="Times New Roman"/>
                <w:noProof/>
              </w:rPr>
              <w:t xml:space="preserve">X  Obstacles à la réadmission effective, notamment du fait du Pakistan </w:t>
            </w:r>
          </w:p>
        </w:tc>
      </w:tr>
      <w:tr>
        <w:trPr>
          <w:trHeight w:val="865"/>
        </w:trPr>
        <w:tc>
          <w:tcPr>
            <w:tcW w:w="1563" w:type="dxa"/>
            <w:vMerge w:val="restart"/>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Assurer la gestion des frontières</w:t>
            </w:r>
          </w:p>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13. Intensifier les efforts déployés pour gérer les frontières</w:t>
            </w:r>
          </w:p>
          <w:p>
            <w:pPr>
              <w:rPr>
                <w:rFonts w:ascii="Times New Roman" w:hAnsi="Times New Roman" w:cs="Times New Roman"/>
                <w:noProof/>
              </w:rPr>
            </w:pP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Début de la mise en œuvre du plan d’action commun UE-Turquie, notamment du suivi régulier des flux de personnes et des initiatives de la Turquie s’étendant aux Syriens présents sur son territoire</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Opération flexible de Frontex en cours à la frontière entre la Bulgarie et la Turquie</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Déploiement d’une équipe d’intervention rapide aux frontières (opération conjointe «Poséidon»-intervention rapide) en mer Égée, à la demande de la Grèce</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Soutien bilatéral d’un certain nombre de pays et de Frontex au renforcement de l’activité de surveillance à la frontière entre l’ancienne République yougoslave de Macédoine et la Grèce</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Renforcement du réseau de Frontex pour l’analyse des risques dans les Balkans occidentaux</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Demande de la Croatie de bénéficier de l’assistance de Frontex</w:t>
            </w:r>
          </w:p>
          <w:p>
            <w:pPr>
              <w:ind w:left="317" w:hanging="317"/>
              <w:rPr>
                <w:rFonts w:ascii="Times New Roman" w:hAnsi="Times New Roman" w:cs="Times New Roman"/>
                <w:noProof/>
              </w:rPr>
            </w:pPr>
            <w:r>
              <w:rPr>
                <w:rFonts w:ascii="Times New Roman" w:hAnsi="Times New Roman"/>
                <w:noProof/>
              </w:rPr>
              <w:t>X  Insuffisance des mesures pour instaurer la confiance en ce qui concerne la gestion de la frontière entre la Grèce et l’ancienne République yougoslave de Macédoine et nécessité de désigner des chefs d’équipe du côté grec</w:t>
            </w:r>
          </w:p>
          <w:p>
            <w:pPr>
              <w:ind w:left="317" w:hanging="317"/>
              <w:rPr>
                <w:rFonts w:ascii="Times New Roman" w:hAnsi="Times New Roman" w:cs="Times New Roman"/>
                <w:noProof/>
              </w:rPr>
            </w:pPr>
            <w:r>
              <w:rPr>
                <w:rFonts w:ascii="Times New Roman" w:hAnsi="Times New Roman"/>
                <w:noProof/>
              </w:rPr>
              <w:t>X  Nombre d’agents de police invités en Slovénie inférieur à l’objectif fixé</w:t>
            </w:r>
          </w:p>
        </w:tc>
      </w:tr>
      <w:tr>
        <w:trPr>
          <w:trHeight w:val="865"/>
        </w:trPr>
        <w:tc>
          <w:tcPr>
            <w:tcW w:w="1563" w:type="dxa"/>
            <w:vMerge/>
            <w:tcBorders>
              <w:top w:val="single" w:sz="4" w:space="0" w:color="auto"/>
              <w:left w:val="single" w:sz="4" w:space="0" w:color="auto"/>
              <w:bottom w:val="single" w:sz="4" w:space="0" w:color="auto"/>
              <w:right w:val="single" w:sz="4" w:space="0" w:color="auto"/>
            </w:tcBorders>
            <w:vAlign w:val="center"/>
          </w:tcPr>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14. Réaffirmer le principe consistant à ne pas admettre sur le territoire les ressortissants de pays tiers qui ne confirment pas leur volonté de demander une protection internationale</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noProof/>
              </w:rPr>
              <w:t>X  Nécessité d’agir pour atténuer la possible accumulation de personnes bloquées à la frontière</w:t>
            </w:r>
          </w:p>
          <w:p>
            <w:pPr>
              <w:ind w:left="317" w:hanging="317"/>
              <w:rPr>
                <w:rFonts w:ascii="Times New Roman" w:hAnsi="Times New Roman" w:cs="Times New Roman"/>
                <w:noProof/>
              </w:rPr>
            </w:pPr>
            <w:r>
              <w:rPr>
                <w:rFonts w:ascii="Times New Roman" w:hAnsi="Times New Roman"/>
                <w:noProof/>
              </w:rPr>
              <w:t>X  Informer les migrants de leur obligation de demander l’asile dans le pays d’entrée dans l’UE, notamment dans les centres de crise, et, le cas échéant, de satisfaire aux obligations en matière de relocalisation</w:t>
            </w:r>
          </w:p>
        </w:tc>
      </w:tr>
      <w:tr>
        <w:tc>
          <w:tcPr>
            <w:tcW w:w="1563"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Lutter contre le trafic de migrants et la traite des êtres humains</w:t>
            </w: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 xml:space="preserve">15. Intensifier les actions de lutte contre le trafic de migrants et la traite des êtres humains </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Protocole d’accord pour permettre l’échange de données à caractère personnel entre Europol et Frontex</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Création, par Europol, d’un centre européen chargé de lutter contre le trafic de migrants (European Migrant Smuggling Centre)</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Soutien d’Europol et des États membres aux opérations de grande envergure</w:t>
            </w:r>
          </w:p>
          <w:p>
            <w:pPr>
              <w:ind w:left="317" w:hanging="317"/>
              <w:rPr>
                <w:rFonts w:ascii="Times New Roman" w:hAnsi="Times New Roman" w:cs="Times New Roman"/>
                <w:noProof/>
              </w:rPr>
            </w:pPr>
            <w:r>
              <w:rPr>
                <w:rFonts w:ascii="Times New Roman" w:hAnsi="Times New Roman"/>
                <w:noProof/>
              </w:rPr>
              <w:t xml:space="preserve">X  Vérifications systématiques aux frontières, par les États membres, de l’ensemble des documents de voyage et vérifications de ceux-ci au regard de la base de données des documents de voyage perdus ou volés d’Interpol et du système d’information Schengen </w:t>
            </w:r>
          </w:p>
          <w:p>
            <w:pPr>
              <w:ind w:left="317" w:hanging="317"/>
              <w:rPr>
                <w:rFonts w:ascii="Times New Roman" w:hAnsi="Times New Roman" w:cs="Times New Roman"/>
                <w:noProof/>
              </w:rPr>
            </w:pPr>
            <w:r>
              <w:rPr>
                <w:rFonts w:ascii="Times New Roman" w:hAnsi="Times New Roman"/>
                <w:noProof/>
              </w:rPr>
              <w:t xml:space="preserve">X  Communication à Europol, par les États membres, de données relatives aux enquêtes sur de faux documents </w:t>
            </w:r>
          </w:p>
          <w:p>
            <w:pPr>
              <w:ind w:left="317" w:hanging="317"/>
              <w:rPr>
                <w:rFonts w:ascii="Times New Roman" w:hAnsi="Times New Roman" w:cs="Times New Roman"/>
                <w:noProof/>
              </w:rPr>
            </w:pPr>
            <w:r>
              <w:rPr>
                <w:rFonts w:ascii="Times New Roman" w:hAnsi="Times New Roman"/>
                <w:noProof/>
              </w:rPr>
              <w:t>X  Poursuite du déploiement par Frontex, dans les centres de crise, d’agents spécialisés dans la détection de la fraude documentaire</w:t>
            </w:r>
          </w:p>
        </w:tc>
      </w:tr>
      <w:tr>
        <w:tc>
          <w:tcPr>
            <w:tcW w:w="1563"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Informer les réfugiés et les migrants de leurs droits et obligations</w:t>
            </w: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 xml:space="preserve">16. Faire usage de tous les outils de communication disponibles pour informer les réfugiés et les migrants </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Mise sur pied de la task force chargée de la stratégie d’information des migrants (pour définir et diffuser des informations utiles)</w:t>
            </w:r>
          </w:p>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Première série de produits d’information sur l’asile et la relocalisation disponible en 14 langues et utilisée par l’EASO dans les centres de crise et ailleurs</w:t>
            </w:r>
          </w:p>
          <w:p>
            <w:pPr>
              <w:ind w:left="317" w:hanging="317"/>
              <w:rPr>
                <w:rFonts w:ascii="Times New Roman" w:hAnsi="Times New Roman" w:cs="Times New Roman"/>
                <w:noProof/>
              </w:rPr>
            </w:pPr>
            <w:r>
              <w:rPr>
                <w:rFonts w:ascii="Times New Roman" w:hAnsi="Times New Roman"/>
                <w:noProof/>
              </w:rPr>
              <w:t>X  Documentation sur la migration irrégulière, le retour et la migration légale à suivre</w:t>
            </w:r>
          </w:p>
        </w:tc>
      </w:tr>
      <w:tr>
        <w:tc>
          <w:tcPr>
            <w:tcW w:w="1563"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b/>
                <w:noProof/>
              </w:rPr>
              <w:t>Contrôle</w:t>
            </w:r>
          </w:p>
          <w:p>
            <w:pPr>
              <w:rPr>
                <w:rFonts w:ascii="Times New Roman" w:hAnsi="Times New Roman" w:cs="Times New Roman"/>
                <w:b/>
                <w:bCs/>
                <w:noProof/>
              </w:rPr>
            </w:pPr>
          </w:p>
        </w:tc>
        <w:tc>
          <w:tcPr>
            <w:tcW w:w="2548"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noProof/>
              </w:rPr>
              <w:t>17. Procéder à un contrôle hebdomadaire de la mise en œuvre de ces engagements</w:t>
            </w:r>
          </w:p>
        </w:tc>
        <w:tc>
          <w:tcPr>
            <w:tcW w:w="5245" w:type="dxa"/>
            <w:tcBorders>
              <w:top w:val="single" w:sz="4" w:space="0" w:color="auto"/>
              <w:left w:val="single" w:sz="4" w:space="0" w:color="auto"/>
              <w:bottom w:val="single" w:sz="4" w:space="0" w:color="auto"/>
              <w:right w:val="single" w:sz="4" w:space="0" w:color="auto"/>
            </w:tcBorders>
          </w:tcPr>
          <w:p>
            <w:pPr>
              <w:ind w:left="317" w:hanging="317"/>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Vidéoconférences hebdomadaires enregistrant un taux de participation élevé</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401066"/>
      <w:docPartObj>
        <w:docPartGallery w:val="Page Numbers (Bottom of Page)"/>
        <w:docPartUnique/>
      </w:docPartObj>
    </w:sdtPr>
    <w:sdtEndPr>
      <w:rPr>
        <w:noProof/>
      </w:rPr>
    </w:sdtEndPr>
    <w:sdtContent>
      <w:p>
        <w:pPr>
          <w:pStyle w:val="Footer"/>
          <w:jc w:val="cente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noProof/>
            <w:sz w:val="22"/>
            <w:szCs w:val="22"/>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816DD2852B484161A9353813F2918EEF"/>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ivi donné au sommet sur la route des Balkans occidentaux \u8211? État des lieux"/>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E_x000b_"/>
    <w:docVar w:name="LW_TYPEACTEPRINCIPAL.CP" w:val="Communication sur l\u8217?état d\u8217?avancement de la mise en \u339?uvre des actions prioritaires prévues par l\u8217?agenda européen en matière de migration"/>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HAnsi" w:hAnsiTheme="minorHAnsi" w:cstheme="minorBidi"/>
      <w:sz w:val="22"/>
      <w:szCs w:val="22"/>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äteksti"/>
    <w:uiPriority w:val="99"/>
    <w:rPr>
      <w:rFonts w:ascii="Calibri" w:eastAsia="Calibri" w:hAnsi="Calibri" w:cs="Calibri"/>
      <w:color w:val="000000"/>
      <w:sz w:val="24"/>
      <w:szCs w:val="24"/>
      <w:u w:color="00000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uiPriority w:val="59"/>
    <w:rPr>
      <w:rFonts w:asciiTheme="minorHAnsi" w:eastAsiaTheme="minorHAnsi" w:hAnsiTheme="minorHAnsi" w:cstheme="minorBidi"/>
      <w:sz w:val="22"/>
      <w:szCs w:val="22"/>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äteksti"/>
    <w:uiPriority w:val="99"/>
    <w:rPr>
      <w:rFonts w:ascii="Calibri" w:eastAsia="Calibri" w:hAnsi="Calibri" w:cs="Calibri"/>
      <w:color w:val="000000"/>
      <w:sz w:val="24"/>
      <w:szCs w:val="24"/>
      <w:u w:color="00000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1301</Words>
  <Characters>7017</Characters>
  <Application>Microsoft Office Word</Application>
  <DocSecurity>0</DocSecurity>
  <Lines>305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BECQUAERT Valerie (SG)</dc:creator>
  <cp:lastModifiedBy>DIGIT/A3</cp:lastModifiedBy>
  <cp:revision>16</cp:revision>
  <cp:lastPrinted>2016-02-09T16:49:00Z</cp:lastPrinted>
  <dcterms:created xsi:type="dcterms:W3CDTF">2016-02-09T17:28:00Z</dcterms:created>
  <dcterms:modified xsi:type="dcterms:W3CDTF">2016-02-17T11:31:00Z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