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A853926A4084B578551D91913D410B6" style="width:450.75pt;height:3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Гърция – доклад за актуалното състояние</w:t>
      </w:r>
    </w:p>
    <w:tbl>
      <w:tblPr>
        <w:tblStyle w:val="TableGrid"/>
        <w:tblW w:w="9422" w:type="dxa"/>
        <w:tblInd w:w="108" w:type="dxa"/>
        <w:tblLook w:val="04A0" w:firstRow="1" w:lastRow="0" w:firstColumn="1" w:lastColumn="0" w:noHBand="0" w:noVBand="1"/>
      </w:tblPr>
      <w:tblGrid>
        <w:gridCol w:w="1664"/>
        <w:gridCol w:w="3072"/>
        <w:gridCol w:w="4686"/>
      </w:tblGrid>
      <w:tr>
        <w:trPr>
          <w:trHeight w:val="145"/>
        </w:trPr>
        <w:tc>
          <w:tcPr>
            <w:tcW w:w="4736" w:type="dxa"/>
            <w:gridSpan w:val="2"/>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b/>
                <w:noProof/>
                <w:sz w:val="20"/>
              </w:rPr>
            </w:pPr>
            <w:r>
              <w:rPr>
                <w:rFonts w:ascii="Times New Roman" w:hAnsi="Times New Roman"/>
                <w:b/>
                <w:noProof/>
                <w:sz w:val="20"/>
              </w:rPr>
              <w:t>Препоръки от декември 2015 г.</w:t>
            </w:r>
          </w:p>
        </w:tc>
        <w:tc>
          <w:tcPr>
            <w:tcW w:w="4685"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rPr>
            </w:pPr>
            <w:r>
              <w:rPr>
                <w:rFonts w:ascii="Times New Roman" w:hAnsi="Times New Roman"/>
                <w:noProof/>
                <w:sz w:val="20"/>
              </w:rPr>
              <w:t>Положение до момента</w:t>
            </w:r>
          </w:p>
        </w:tc>
      </w:tr>
      <w:tr>
        <w:trPr>
          <w:trHeight w:val="487"/>
        </w:trPr>
        <w:tc>
          <w:tcPr>
            <w:tcW w:w="1664" w:type="dxa"/>
            <w:vMerge w:val="restart"/>
            <w:tcBorders>
              <w:top w:val="single" w:sz="4" w:space="0" w:color="auto"/>
              <w:left w:val="single" w:sz="4" w:space="0" w:color="auto"/>
              <w:right w:val="single" w:sz="4" w:space="0" w:color="auto"/>
            </w:tcBorders>
            <w:hideMark/>
          </w:tcPr>
          <w:p>
            <w:pPr>
              <w:pStyle w:val="NormalWeb"/>
              <w:spacing w:before="0" w:beforeAutospacing="0" w:after="0" w:afterAutospacing="0"/>
              <w:rPr>
                <w:rStyle w:val="Strong"/>
                <w:b w:val="0"/>
                <w:bCs w:val="0"/>
                <w:noProof/>
                <w:sz w:val="20"/>
                <w:szCs w:val="20"/>
              </w:rPr>
            </w:pPr>
            <w:r>
              <w:rPr>
                <w:rFonts w:eastAsiaTheme="minorHAnsi"/>
                <w:b/>
                <w:smallCaps/>
                <w:noProof/>
                <w:sz w:val="20"/>
              </w:rPr>
              <w:t xml:space="preserve">„Горещи точки“ </w:t>
            </w: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Гърция трябва да приключи строежа на „горещите точки“ в Лесбос, Лерос и Хиос в съответствие с планирания график. Строителните работи в Кос следва да започнат незабавно, а в Самос следва да бъде определено място, с цел „горещата точка“ да бъде въведена в експлоатация до края на януари.</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hideMark/>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rFonts w:ascii="Times New Roman" w:hAnsi="Times New Roman"/>
                <w:noProof/>
                <w:sz w:val="20"/>
              </w:rPr>
              <w:t>Строителните работи в „горещите точки“ в Лесбос (разширяване) Лерос, Хиос и Самос напредват добре. Съгласно съобщението, направено от правителството на 31 януари 2016 г., те следва да приключат до заседанието на Европейския съвет през февруари 2016 г. След среща между министерствата, проведена под ръководството на министър-председателя Ципрас, понастоящем гръцката армия е мобилизирана, за да ръководи дейностите, по-специално да завърши строителните работи и да поеме временното управление на „горещите точки“.</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rFonts w:ascii="Times New Roman" w:hAnsi="Times New Roman"/>
                <w:noProof/>
                <w:sz w:val="20"/>
              </w:rPr>
              <w:t xml:space="preserve">Националната процедура за възлагане на обществена поръчка за необходимите услуги за функционирането на „горещите точки“ все още не е приключила. Междувременно тези услуги ще се осигуряват от гръцката армия. </w:t>
            </w:r>
          </w:p>
          <w:p>
            <w:pPr>
              <w:ind w:left="259" w:hanging="259"/>
              <w:rPr>
                <w:rFonts w:ascii="Times New Roman" w:hAnsi="Times New Roman" w:cs="Times New Roman"/>
                <w:noProof/>
                <w:sz w:val="20"/>
                <w:szCs w:val="20"/>
              </w:rPr>
            </w:pPr>
            <w:r>
              <w:rPr>
                <w:rFonts w:ascii="Times New Roman" w:hAnsi="Times New Roman"/>
                <w:noProof/>
                <w:sz w:val="20"/>
              </w:rPr>
              <w:t>X  Гръцката армия избра за място на „горещата точка“ в Кос бившия лагер Пили и започна наземни работи. Гръцките органи следва да завършат работите в определеното място, за да може „горещата точка“ да започне да функционира възможно най-скоро.</w:t>
            </w:r>
          </w:p>
          <w:p>
            <w:pPr>
              <w:rPr>
                <w:rFonts w:ascii="Times New Roman" w:hAnsi="Times New Roman" w:cs="Times New Roman"/>
                <w:noProof/>
                <w:sz w:val="20"/>
                <w:szCs w:val="20"/>
              </w:rPr>
            </w:pPr>
          </w:p>
        </w:tc>
      </w:tr>
      <w:tr>
        <w:trPr>
          <w:trHeight w:val="836"/>
        </w:trPr>
        <w:tc>
          <w:tcPr>
            <w:tcW w:w="1664" w:type="dxa"/>
            <w:vMerge/>
            <w:tcBorders>
              <w:left w:val="single" w:sz="4" w:space="0" w:color="auto"/>
              <w:right w:val="single" w:sz="4" w:space="0" w:color="auto"/>
            </w:tcBorders>
            <w:vAlign w:val="center"/>
            <w:hideMark/>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 xml:space="preserve">Гърция следва, в сътрудничество с Европейската комисия, агенциите на ЕС и ВКБООН, да оптимизира организацията на „горещите точки“ въз основа на конкретна оценка на потребностите на всеки остров и като се опира на констатациите от междуведомствения пилотен проект. В този контекст следва да бъде установена структурирана система за сваляне на брега на официалните места за сваляне, както и за транспортиране до„горещите точки“. </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hideMark/>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rFonts w:ascii="Times New Roman" w:hAnsi="Times New Roman"/>
                <w:noProof/>
                <w:sz w:val="20"/>
              </w:rPr>
              <w:t xml:space="preserve"> </w:t>
            </w:r>
            <w:r>
              <w:rPr>
                <w:rFonts w:ascii="Times New Roman" w:hAnsi="Times New Roman" w:cs="Times New Roman"/>
                <w:noProof/>
                <w:sz w:val="20"/>
                <w:szCs w:val="20"/>
              </w:rPr>
              <w:t>Рамковият правен акт (под формата на изменение на Закон 3907/2011) относно механизмите за установяване и координация на „горещите точки“ е готов за приемане от парламента през втората седмица на февруари 2016 г.</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След като бъде приет рамковият акт, ще бъдат приети стандартни оперативни процедури посредством междуведомствено решение и в тях ще бъдат определени ролите и процедурите, свързани с управлението на „горещите точки“. Това реш</w:t>
            </w:r>
            <w:r>
              <w:rPr>
                <w:rFonts w:ascii="Times New Roman" w:hAnsi="Times New Roman"/>
                <w:noProof/>
                <w:sz w:val="20"/>
              </w:rPr>
              <w:t>ение е изготвено и се очаква да бъде прието преди заседанието на Европейския съвет.</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noProof/>
                <w:sz w:val="20"/>
              </w:rPr>
              <w:t xml:space="preserve">  Frontex разположи екипи за крайбрежни патрули в Лесбос, Хиос и Самос. Процедурите за сваляне на брега в Лерос се провеждат вече по по-контролиран начин.</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noProof/>
                <w:sz w:val="20"/>
              </w:rPr>
              <w:t xml:space="preserve">  В краткосрочен план армията пое отговорността за координирането на транспорта на мигрантите от местата за сваляне на брега до центровете за регистрация и от центровете за регистрация до пристанищата.</w:t>
            </w:r>
          </w:p>
          <w:p>
            <w:pPr>
              <w:ind w:left="259" w:hanging="259"/>
              <w:rPr>
                <w:rFonts w:ascii="Times New Roman" w:hAnsi="Times New Roman" w:cs="Times New Roman"/>
                <w:noProof/>
                <w:sz w:val="20"/>
                <w:szCs w:val="20"/>
              </w:rPr>
            </w:pPr>
            <w:r>
              <w:rPr>
                <w:rFonts w:ascii="Times New Roman" w:hAnsi="Times New Roman"/>
                <w:noProof/>
                <w:sz w:val="20"/>
              </w:rPr>
              <w:t>X  Следва спешно да бъдат осигурени достатъчен брой автобуси, за да се усъвършенства допълнително системата за сваляне на брега на островите. За тази цел държавите членки следва спешно да отговорят на искането за автобуси, подадено съгласно Механизма за гражданска защита на Съюза.</w:t>
            </w:r>
          </w:p>
          <w:p>
            <w:pPr>
              <w:ind w:left="259" w:hanging="259"/>
              <w:rPr>
                <w:rFonts w:ascii="Times New Roman" w:hAnsi="Times New Roman" w:cs="Times New Roman"/>
                <w:noProof/>
                <w:sz w:val="20"/>
                <w:szCs w:val="20"/>
              </w:rPr>
            </w:pPr>
            <w:r>
              <w:rPr>
                <w:rFonts w:ascii="Times New Roman" w:hAnsi="Times New Roman"/>
                <w:noProof/>
                <w:sz w:val="20"/>
              </w:rPr>
              <w:t xml:space="preserve">Х  Трябва да бъде организиран превоза на лицата, които не се нуждаят от международна закрила, от „горещите точки“ директно до съществуващите центрове за задържане. </w:t>
            </w:r>
          </w:p>
          <w:p>
            <w:pPr>
              <w:rPr>
                <w:rFonts w:ascii="Times New Roman" w:hAnsi="Times New Roman" w:cs="Times New Roman"/>
                <w:noProof/>
                <w:sz w:val="20"/>
                <w:szCs w:val="20"/>
              </w:rPr>
            </w:pPr>
          </w:p>
        </w:tc>
      </w:tr>
      <w:tr>
        <w:trPr>
          <w:trHeight w:val="836"/>
        </w:trPr>
        <w:tc>
          <w:tcPr>
            <w:tcW w:w="1664" w:type="dxa"/>
            <w:vMerge/>
            <w:tcBorders>
              <w:left w:val="single" w:sz="4" w:space="0" w:color="auto"/>
              <w:right w:val="single" w:sz="4" w:space="0" w:color="auto"/>
            </w:tcBorders>
            <w:vAlign w:val="center"/>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Въз основа на по-точна оценка на потребностите държавите членки следва да предоставят необходимите експерти, за да се осигури пълноценното функциониране на „горещите точки“ веднага след като строителните работи са приключени. От своя страна Гърция следва да гарантира, че в „горещите точки“, е разположен достатъчен брой ръководители на екипи и е налице достатъчен персонал по сигурността.</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X  Гръцката полиция следва да засили своето присъствие в центровете в „горещите точки“, за да гарантира сигурността на центровете и разположения персонал на агенциите.</w:t>
            </w:r>
          </w:p>
          <w:p>
            <w:pPr>
              <w:ind w:left="259" w:hanging="259"/>
              <w:rPr>
                <w:rFonts w:ascii="Times New Roman" w:hAnsi="Times New Roman" w:cs="Times New Roman"/>
                <w:noProof/>
                <w:sz w:val="20"/>
                <w:szCs w:val="20"/>
              </w:rPr>
            </w:pPr>
            <w:r>
              <w:rPr>
                <w:noProof/>
              </w:rPr>
              <w:t xml:space="preserve">X  </w:t>
            </w:r>
            <w:r>
              <w:rPr>
                <w:rFonts w:ascii="Times New Roman" w:hAnsi="Times New Roman" w:cs="Times New Roman"/>
                <w:noProof/>
                <w:sz w:val="20"/>
                <w:szCs w:val="20"/>
              </w:rPr>
              <w:t>Frontex и Европейската служба за подкрепа в областта на убежището (EASO) засилиха своето присъствие (понастоящем съответно 461 и 13 служители), но следва да го засилят допълнително, когато „горещите точки“ станат напълно функционални.</w:t>
            </w:r>
            <w:r>
              <w:rPr>
                <w:rFonts w:ascii="Times New Roman" w:hAnsi="Times New Roman"/>
                <w:noProof/>
                <w:sz w:val="20"/>
              </w:rPr>
              <w:t xml:space="preserve"> </w:t>
            </w:r>
          </w:p>
          <w:p>
            <w:pPr>
              <w:ind w:left="259" w:hanging="259"/>
              <w:rPr>
                <w:rFonts w:ascii="Times New Roman" w:hAnsi="Times New Roman" w:cs="Times New Roman"/>
                <w:noProof/>
                <w:sz w:val="20"/>
                <w:szCs w:val="20"/>
              </w:rPr>
            </w:pPr>
            <w:r>
              <w:rPr>
                <w:rFonts w:ascii="Times New Roman" w:hAnsi="Times New Roman"/>
                <w:noProof/>
                <w:sz w:val="20"/>
              </w:rPr>
              <w:t xml:space="preserve">Х  Държавите членки не са осигурили достатъчно експерти (вж. Съобщението). </w:t>
            </w:r>
          </w:p>
          <w:p>
            <w:pPr>
              <w:ind w:left="259" w:hanging="259"/>
              <w:rPr>
                <w:rFonts w:ascii="Times New Roman" w:hAnsi="Times New Roman" w:cs="Times New Roman"/>
                <w:noProof/>
                <w:sz w:val="20"/>
                <w:szCs w:val="20"/>
              </w:rPr>
            </w:pPr>
            <w:r>
              <w:rPr>
                <w:rFonts w:ascii="Times New Roman" w:hAnsi="Times New Roman"/>
                <w:noProof/>
                <w:sz w:val="20"/>
              </w:rPr>
              <w:t>X  Гърция следва да завърши процеса, като осигури ръководители на екипи.</w:t>
            </w:r>
          </w:p>
          <w:p>
            <w:pPr>
              <w:ind w:left="259" w:hanging="259"/>
              <w:rPr>
                <w:rFonts w:ascii="Times New Roman" w:hAnsi="Times New Roman" w:cs="Times New Roman"/>
                <w:noProof/>
                <w:sz w:val="20"/>
                <w:szCs w:val="20"/>
              </w:rPr>
            </w:pPr>
          </w:p>
        </w:tc>
      </w:tr>
      <w:tr>
        <w:trPr>
          <w:trHeight w:val="836"/>
        </w:trPr>
        <w:tc>
          <w:tcPr>
            <w:tcW w:w="1664" w:type="dxa"/>
            <w:vMerge/>
            <w:tcBorders>
              <w:left w:val="single" w:sz="4" w:space="0" w:color="auto"/>
              <w:right w:val="single" w:sz="4" w:space="0" w:color="auto"/>
            </w:tcBorders>
            <w:vAlign w:val="center"/>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Гърция следва да набави чрез обществена поръчка — без допълнително закъснение и като използва ускорените/опростените процедури, предвидени в директиви 2004/18/ЕО и 2014/24/ЕС в случай на „неотложни обстоятелства“ или „изключително неотложни обстоятелства“ — необходимите допълнителни устройства за  пръстови отпечатъци.</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b/>
                <w:noProof/>
                <w:sz w:val="20"/>
                <w:szCs w:val="20"/>
              </w:rPr>
            </w:pPr>
            <w:r>
              <w:rPr>
                <w:rFonts w:ascii="Times New Roman" w:hAnsi="Times New Roman"/>
                <w:b/>
                <w:noProof/>
                <w:sz w:val="20"/>
              </w:rPr>
              <w:t>По отношение на регистрацията (Евродак):</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noProof/>
                <w:sz w:val="20"/>
              </w:rPr>
              <w:t>EASO поръча първия набор от 25 станции за снемане на пръстови отпечатъци, които скоро ще бъдат разположени в „горещите точки“. Поръчани са допълнителни 65 станции за снемане на пръстови отпечатъци, които се очаква да бъдат доставени през третата седмица на февруари 2016 г.</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noProof/>
              </w:rPr>
              <w:t xml:space="preserve"> </w:t>
            </w:r>
            <w:r>
              <w:rPr>
                <w:rFonts w:ascii="Times New Roman" w:hAnsi="Times New Roman"/>
                <w:noProof/>
                <w:sz w:val="20"/>
              </w:rPr>
              <w:t>Гръцката полиция набави чрез обществена поръчка 6 станции за снемане на пръстови отпечатъци, които бяха разположени в Лесбос</w:t>
            </w:r>
            <w:r>
              <w:rPr>
                <w:noProof/>
              </w:rPr>
              <w:t>.</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noProof/>
                <w:sz w:val="20"/>
              </w:rPr>
              <w:t xml:space="preserve">  Делът на мигрантите със снети пръстови отпечатъци се увеличи от 8% през септември на 78% през януари. Гърция следва да осигури регистрация на всички незаконни мигранти.</w:t>
            </w:r>
          </w:p>
          <w:p>
            <w:pPr>
              <w:ind w:left="259" w:hanging="259"/>
              <w:rPr>
                <w:rFonts w:ascii="Times New Roman" w:hAnsi="Times New Roman" w:cs="Times New Roman"/>
                <w:noProof/>
                <w:sz w:val="20"/>
                <w:szCs w:val="20"/>
              </w:rPr>
            </w:pPr>
            <w:r>
              <w:rPr>
                <w:rFonts w:ascii="Times New Roman" w:hAnsi="Times New Roman"/>
                <w:noProof/>
                <w:sz w:val="20"/>
              </w:rPr>
              <w:t xml:space="preserve">Х  Eu-LISA проведе техническа мисия в Гърция за оценка на положението и техническите потребности по отношение на връзките на станциите Евродак към ИТ мрежата и по отношение на капацитета на централния сървър и формулира заключения. Гръцките органи следва с помощ от eu-LISA спешно да увеличат капацитета на централните сървъри, за да могат да осигурят пълна поддръжка на системата за регистрация и на данните. </w:t>
            </w:r>
          </w:p>
          <w:p>
            <w:pPr>
              <w:rPr>
                <w:rFonts w:ascii="Times New Roman" w:hAnsi="Times New Roman" w:cs="Times New Roman"/>
                <w:noProof/>
                <w:sz w:val="20"/>
                <w:szCs w:val="20"/>
              </w:rPr>
            </w:pPr>
          </w:p>
        </w:tc>
      </w:tr>
      <w:tr>
        <w:trPr>
          <w:trHeight w:val="487"/>
        </w:trPr>
        <w:tc>
          <w:tcPr>
            <w:tcW w:w="1664" w:type="dxa"/>
            <w:vMerge/>
            <w:tcBorders>
              <w:left w:val="single" w:sz="4" w:space="0" w:color="auto"/>
              <w:right w:val="single" w:sz="4" w:space="0" w:color="auto"/>
            </w:tcBorders>
            <w:vAlign w:val="center"/>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Информационните системи следва да бъдат актуализирани първоначално с цел да бъде внедрена изцяло оборудвана автоматизирана система за дактилоскопична идентификация (AFIS), а след това за да се гарантира, че са установени взаимовръзки между националните и европейските/международните бази данни, което дава възможност за цялостна проверка на пристигащите мигранти в базата данни на Шенгенската информационна система (ШИС II)/базата данни на Интерпол за откраднати и изгубени документи за пътуване (STLD).</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b/>
                <w:noProof/>
                <w:sz w:val="20"/>
                <w:szCs w:val="20"/>
              </w:rPr>
            </w:pPr>
            <w:r>
              <w:rPr>
                <w:rFonts w:ascii="Times New Roman" w:hAnsi="Times New Roman"/>
                <w:b/>
                <w:noProof/>
                <w:sz w:val="20"/>
              </w:rPr>
              <w:t>По отношение на проверките във връзка със сигурността:</w:t>
            </w:r>
          </w:p>
          <w:p>
            <w:pPr>
              <w:ind w:left="259" w:hanging="259"/>
              <w:rPr>
                <w:rFonts w:ascii="Times New Roman" w:hAnsi="Times New Roman" w:cs="Times New Roman"/>
                <w:noProof/>
                <w:sz w:val="20"/>
                <w:szCs w:val="20"/>
                <w:bdr w:val="none" w:sz="0" w:space="0" w:color="auto"/>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В технически аспект понастоящем в „горещите точки“ са налични терминали, които позволяват проверки освен в поддържаната от националната полиция база данни за граждани на трети държави, така и в базите данни на ШИС, Интерпол и Европол.</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Отправено е искане до Европол за осигуряване на достъп до нейната база данни за целите на проверките във връзка със сигурността.</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noProof/>
                <w:sz w:val="20"/>
              </w:rPr>
              <w:t xml:space="preserve">  Разработваната от гръцката полиция единна автоматизирана система за достъп до съответните бази данни, свързани със сигурността (национални, ШИС и Интерпол), следва да бъде изпробвана и въведена във експлоатация във всички „горещи точки“.</w:t>
            </w:r>
          </w:p>
          <w:p>
            <w:pPr>
              <w:ind w:left="259" w:hanging="259"/>
              <w:rPr>
                <w:rFonts w:ascii="Times New Roman" w:hAnsi="Times New Roman" w:cs="Times New Roman"/>
                <w:noProof/>
                <w:sz w:val="20"/>
                <w:szCs w:val="20"/>
              </w:rPr>
            </w:pPr>
            <w:r>
              <w:rPr>
                <w:rFonts w:ascii="Times New Roman" w:hAnsi="Times New Roman"/>
                <w:noProof/>
                <w:sz w:val="20"/>
              </w:rPr>
              <w:t>X  Необходими са систематични проверки в тези бази данни, за да се гарантират напълно съответните последващи действия. Следва да бъде доразработена напълно развита автоматизирана система за дактилоскопична идентификация.</w:t>
            </w:r>
          </w:p>
          <w:p>
            <w:pPr>
              <w:ind w:left="259" w:hanging="259"/>
              <w:rPr>
                <w:rFonts w:ascii="Times New Roman" w:hAnsi="Times New Roman" w:cs="Times New Roman"/>
                <w:noProof/>
                <w:sz w:val="20"/>
                <w:szCs w:val="20"/>
              </w:rPr>
            </w:pPr>
            <w:r>
              <w:rPr>
                <w:rFonts w:ascii="Times New Roman" w:hAnsi="Times New Roman"/>
                <w:noProof/>
                <w:sz w:val="20"/>
              </w:rPr>
              <w:t xml:space="preserve"> </w:t>
            </w:r>
          </w:p>
        </w:tc>
      </w:tr>
      <w:tr>
        <w:trPr>
          <w:trHeight w:val="836"/>
        </w:trPr>
        <w:tc>
          <w:tcPr>
            <w:tcW w:w="1664" w:type="dxa"/>
            <w:vMerge/>
            <w:tcBorders>
              <w:left w:val="single" w:sz="4" w:space="0" w:color="auto"/>
              <w:right w:val="single" w:sz="4" w:space="0" w:color="auto"/>
            </w:tcBorders>
            <w:vAlign w:val="center"/>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Гърция, с подкрепата на Европейската комисия и агенциите на ЕС, следва да определи потребностите от културни посредници/устни преводачи и да засили тяхното присъствие в „горещите точки“.</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 xml:space="preserve">Х  Гръцките органи следва да определят своите потребности от културни посредници/устни преводачи. </w:t>
            </w:r>
          </w:p>
          <w:p>
            <w:pPr>
              <w:ind w:left="259" w:hanging="259"/>
              <w:rPr>
                <w:rFonts w:ascii="Times New Roman" w:hAnsi="Times New Roman" w:cs="Times New Roman"/>
                <w:noProof/>
                <w:sz w:val="20"/>
                <w:szCs w:val="20"/>
              </w:rPr>
            </w:pPr>
            <w:r>
              <w:rPr>
                <w:rFonts w:ascii="Times New Roman" w:hAnsi="Times New Roman"/>
                <w:noProof/>
                <w:sz w:val="20"/>
              </w:rPr>
              <w:t>X  Гръцките органи следва да създадат резерв от устни преводачи, евентуално чрез рамков договор, за да могат да осигуряват устни преводи в кратки срокове.</w:t>
            </w:r>
          </w:p>
        </w:tc>
      </w:tr>
      <w:tr>
        <w:trPr>
          <w:trHeight w:val="561"/>
        </w:trPr>
        <w:tc>
          <w:tcPr>
            <w:tcW w:w="1664" w:type="dxa"/>
            <w:vMerge/>
            <w:tcBorders>
              <w:left w:val="single" w:sz="4" w:space="0" w:color="auto"/>
              <w:right w:val="single" w:sz="4" w:space="0" w:color="auto"/>
            </w:tcBorders>
            <w:vAlign w:val="center"/>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Необходимо е да се подобри допълнително координацията посредством систематично и ефективно използване на установените механизми за координация. На назначените координатори за островите следва да бъдат предоставени специални правомощия за координиране на всички правителствени и неправителствени участници в „горещите точки“.</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noProof/>
                <w:sz w:val="20"/>
              </w:rPr>
            </w:pPr>
            <w:r>
              <w:rPr>
                <w:rFonts w:ascii="Times New Roman" w:hAnsi="Times New Roman" w:cs="Times New Roman"/>
                <w:noProof/>
                <w:sz w:val="20"/>
                <w:szCs w:val="20"/>
              </w:rPr>
              <w:sym w:font="Wingdings" w:char="F0FC"/>
            </w:r>
            <w:r>
              <w:rPr>
                <w:noProof/>
              </w:rPr>
              <w:t xml:space="preserve">  </w:t>
            </w:r>
            <w:r>
              <w:rPr>
                <w:rFonts w:ascii="Times New Roman" w:hAnsi="Times New Roman"/>
                <w:noProof/>
                <w:sz w:val="20"/>
              </w:rPr>
              <w:t>Проектозаконът, с който се установяват „горещите точки“, е готов за приемане през втората седмица на февруари 2016 г. и включва специални разпоредби за назначаването на координатори на „горещите точки“, полицейски координатори и специални координатори, които да управляват отношенията с всички заинтересовани страни, участващи в процедурата, свързана с „горещите точки“.</w:t>
            </w:r>
          </w:p>
          <w:p>
            <w:pPr>
              <w:ind w:left="259" w:hanging="259"/>
              <w:rPr>
                <w:rFonts w:ascii="Times New Roman" w:hAnsi="Times New Roman"/>
                <w:noProof/>
                <w:sz w:val="20"/>
              </w:rPr>
            </w:pPr>
            <w:r>
              <w:rPr>
                <w:rFonts w:ascii="Times New Roman" w:hAnsi="Times New Roman"/>
                <w:noProof/>
                <w:sz w:val="20"/>
              </w:rPr>
              <w:sym w:font="Wingdings" w:char="F0FC"/>
            </w:r>
            <w:r>
              <w:rPr>
                <w:rFonts w:ascii="Times New Roman" w:hAnsi="Times New Roman"/>
                <w:noProof/>
                <w:sz w:val="20"/>
              </w:rPr>
              <w:t xml:space="preserve">  Въз основа на съобщението на правителството от 31 януари 201 г., направено след среща между министерствата, проведена под ръководството на министър-председателя Ципрас, от средите на армията бяха определени временни координатори за всяка „гореща точка“.</w:t>
            </w:r>
          </w:p>
          <w:p>
            <w:pPr>
              <w:ind w:left="259" w:hanging="259"/>
              <w:rPr>
                <w:rFonts w:ascii="Times New Roman" w:hAnsi="Times New Roman" w:cs="Times New Roman"/>
                <w:noProof/>
                <w:sz w:val="20"/>
                <w:szCs w:val="20"/>
              </w:rPr>
            </w:pPr>
            <w:r>
              <w:rPr>
                <w:rFonts w:ascii="Times New Roman" w:hAnsi="Times New Roman"/>
                <w:noProof/>
                <w:sz w:val="20"/>
              </w:rPr>
              <w:t>X  След приемането на новото законодателство гръцките органи трябва спешно да проведат предвидената в него съответна процедура за назначаване на постоянни координатори за „горещите точки“.</w:t>
            </w:r>
          </w:p>
          <w:p>
            <w:pPr>
              <w:ind w:left="259" w:hanging="259"/>
              <w:rPr>
                <w:rFonts w:ascii="Times New Roman" w:hAnsi="Times New Roman" w:cs="Times New Roman"/>
                <w:noProof/>
                <w:sz w:val="20"/>
                <w:szCs w:val="20"/>
              </w:rPr>
            </w:pPr>
          </w:p>
        </w:tc>
      </w:tr>
      <w:tr>
        <w:trPr>
          <w:trHeight w:val="836"/>
        </w:trPr>
        <w:tc>
          <w:tcPr>
            <w:tcW w:w="1664" w:type="dxa"/>
            <w:vMerge/>
            <w:tcBorders>
              <w:left w:val="single" w:sz="4" w:space="0" w:color="auto"/>
              <w:right w:val="single" w:sz="4" w:space="0" w:color="auto"/>
            </w:tcBorders>
            <w:vAlign w:val="center"/>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Европол следва да засили присъствието си в Гърция и да сключи оперативни споразумения с гръцките органи, за да ги подкрепя в борбата с контрабандата на хора. Подкрепата следва да включва започването на финансови разследвания, действия срещу документните измами и по-добро използване на мрежите на служителите за връзка по въпросите на имиграцията в трети държави като източници на съответна информация.</w:t>
            </w: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noProof/>
              </w:rPr>
              <w:t xml:space="preserve"> </w:t>
            </w:r>
            <w:r>
              <w:rPr>
                <w:rFonts w:ascii="Times New Roman" w:hAnsi="Times New Roman" w:cs="Times New Roman"/>
                <w:noProof/>
                <w:sz w:val="20"/>
                <w:szCs w:val="20"/>
              </w:rPr>
              <w:t>Към момента служител за връзка на Европол има само в Лесбос, както и в Регионалната работна група на ЕС в Пирея.</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noProof/>
                <w:sz w:val="20"/>
              </w:rPr>
              <w:t xml:space="preserve">  Frontex осигури висококвалифицирани експерти за проверка на документи във всички „горещи точки“ заедно със специално оборудване за откриване на подправени документи.</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cs="Times New Roman"/>
                <w:noProof/>
                <w:sz w:val="20"/>
                <w:szCs w:val="20"/>
              </w:rPr>
              <w:t>Гръцката полиция взе решение от настоящия момент да използва нов документ за регистрация, който включва защитни елементи, във всички „горещи точки“. Този документ бе договорен между съответните експерти и следва да бъде въведен изцяло до края на февруари.</w:t>
            </w:r>
          </w:p>
          <w:p>
            <w:pPr>
              <w:ind w:left="259" w:hanging="259"/>
              <w:rPr>
                <w:rFonts w:ascii="Times New Roman" w:hAnsi="Times New Roman" w:cs="Times New Roman"/>
                <w:noProof/>
                <w:sz w:val="20"/>
                <w:szCs w:val="20"/>
              </w:rPr>
            </w:pPr>
            <w:r>
              <w:rPr>
                <w:rFonts w:ascii="Times New Roman" w:hAnsi="Times New Roman"/>
                <w:noProof/>
                <w:sz w:val="20"/>
              </w:rPr>
              <w:t>Х  В допълнение към това Гърция следва да набави чрез обществена поръчка допълнително оборудване за разкриване на документни измами. Следва да бъде подадено искане за финансиране.</w:t>
            </w:r>
          </w:p>
          <w:p>
            <w:pPr>
              <w:ind w:left="259" w:hanging="259"/>
              <w:rPr>
                <w:rFonts w:ascii="Times New Roman" w:hAnsi="Times New Roman" w:cs="Times New Roman"/>
                <w:noProof/>
                <w:sz w:val="20"/>
                <w:szCs w:val="20"/>
              </w:rPr>
            </w:pPr>
            <w:r>
              <w:rPr>
                <w:rFonts w:ascii="Times New Roman" w:hAnsi="Times New Roman"/>
                <w:noProof/>
                <w:sz w:val="20"/>
              </w:rPr>
              <w:t>X  Гръцките органи трябва да гарантират предприемането на подходящи последващи действия във връзка с установени случаи на подправени документи и да подсилят операциите в областта на правоприлагането на островите с цел пресичане на дейностите, свързани с контрабанда на хора.</w:t>
            </w:r>
          </w:p>
          <w:p>
            <w:pPr>
              <w:rPr>
                <w:rFonts w:ascii="Times New Roman" w:hAnsi="Times New Roman" w:cs="Times New Roman"/>
                <w:noProof/>
                <w:sz w:val="20"/>
                <w:szCs w:val="20"/>
              </w:rPr>
            </w:pPr>
          </w:p>
        </w:tc>
      </w:tr>
      <w:tr>
        <w:trPr>
          <w:trHeight w:val="836"/>
        </w:trPr>
        <w:tc>
          <w:tcPr>
            <w:tcW w:w="1664" w:type="dxa"/>
            <w:vMerge/>
            <w:tcBorders>
              <w:left w:val="single" w:sz="4" w:space="0" w:color="auto"/>
              <w:right w:val="single" w:sz="4" w:space="0" w:color="auto"/>
            </w:tcBorders>
            <w:vAlign w:val="center"/>
          </w:tcPr>
          <w:p>
            <w:pPr>
              <w:rPr>
                <w:rStyle w:val="Strong"/>
                <w:b w:val="0"/>
                <w:bCs w:val="0"/>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Гръцката полиция следва да предостави на полицейските служители, разположени в „горещите точки“, обучение за разкриване на подправени документи.</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Х  Все още се обсъжда.</w:t>
            </w:r>
          </w:p>
        </w:tc>
      </w:tr>
      <w:tr>
        <w:trPr>
          <w:trHeight w:val="145"/>
        </w:trPr>
        <w:tc>
          <w:tcPr>
            <w:tcW w:w="1664" w:type="dxa"/>
            <w:vMerge w:val="restart"/>
            <w:tcBorders>
              <w:top w:val="single" w:sz="4" w:space="0" w:color="auto"/>
              <w:left w:val="single" w:sz="4" w:space="0" w:color="auto"/>
              <w:right w:val="single" w:sz="4" w:space="0" w:color="auto"/>
            </w:tcBorders>
            <w:hideMark/>
          </w:tcPr>
          <w:p>
            <w:pPr>
              <w:pStyle w:val="NormalWeb"/>
              <w:spacing w:before="0" w:beforeAutospacing="0" w:after="0" w:afterAutospacing="0"/>
              <w:rPr>
                <w:rStyle w:val="Strong"/>
                <w:b w:val="0"/>
                <w:bCs w:val="0"/>
                <w:noProof/>
                <w:sz w:val="20"/>
                <w:szCs w:val="20"/>
              </w:rPr>
            </w:pPr>
            <w:r>
              <w:rPr>
                <w:rFonts w:eastAsiaTheme="minorHAnsi"/>
                <w:b/>
                <w:smallCaps/>
                <w:noProof/>
                <w:sz w:val="20"/>
              </w:rPr>
              <w:t>Преместване</w:t>
            </w: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Предоставянето на информация на бежанците относно програмата за преместване трябва да бъде засилено, наред с другото чрез увеличено присъствие на служителите на гръцката служба по въпросите на убежището и на EASO в „горещите точки“, както и чрез изготвянето и разпространението на информационни материали сред потенциални кандидати за преместване относно процеса на преместване и техните права и задължения в този контекст. Служителите за връзка на държавите членки следва да предоставят на кандидатите за преместване информация относно определените държави на дестинация, включително относно техните системи за убежище и приемане.</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hideMark/>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noProof/>
              </w:rPr>
              <w:t xml:space="preserve"> </w:t>
            </w:r>
            <w:r>
              <w:rPr>
                <w:rFonts w:ascii="Times New Roman" w:hAnsi="Times New Roman"/>
                <w:noProof/>
                <w:sz w:val="20"/>
              </w:rPr>
              <w:t xml:space="preserve">Службата за убежище осъществява дейност на остров Лесбос. Освен това тя наскоро разкри нов офис в Самос, а EASO изпрати експерти за осигуряване на информация и също така започна да разпространява информационни брошури. </w:t>
            </w:r>
          </w:p>
          <w:p>
            <w:pPr>
              <w:ind w:left="259" w:hanging="259"/>
              <w:rPr>
                <w:rFonts w:ascii="Times New Roman" w:hAnsi="Times New Roman" w:cs="Times New Roman"/>
                <w:noProof/>
                <w:sz w:val="20"/>
                <w:szCs w:val="20"/>
              </w:rPr>
            </w:pPr>
            <w:r>
              <w:rPr>
                <w:rFonts w:ascii="Times New Roman" w:hAnsi="Times New Roman"/>
                <w:noProof/>
                <w:sz w:val="20"/>
              </w:rPr>
              <w:t>X  Службата за убежище и EASO следва да изпратят експерти във всички „горещи точки“ непосредствено след приключване на строителните работи.</w:t>
            </w:r>
          </w:p>
          <w:p>
            <w:pPr>
              <w:ind w:left="259" w:hanging="259"/>
              <w:rPr>
                <w:rFonts w:ascii="Times New Roman" w:hAnsi="Times New Roman" w:cs="Times New Roman"/>
                <w:noProof/>
                <w:sz w:val="20"/>
                <w:szCs w:val="20"/>
              </w:rPr>
            </w:pPr>
            <w:r>
              <w:rPr>
                <w:rFonts w:ascii="Times New Roman" w:hAnsi="Times New Roman"/>
                <w:noProof/>
                <w:sz w:val="20"/>
              </w:rPr>
              <w:t xml:space="preserve">Х  Повече държави членки следва да разработят информационни пакети за лица, които следва да бъдат преместени (само 2 държави членки (Ирландия и Португалия) предоставиха такава информация). </w:t>
            </w:r>
          </w:p>
          <w:p>
            <w:pPr>
              <w:ind w:left="259" w:hanging="259"/>
              <w:rPr>
                <w:rFonts w:ascii="Times New Roman" w:hAnsi="Times New Roman" w:cs="Times New Roman"/>
                <w:noProof/>
                <w:sz w:val="20"/>
                <w:szCs w:val="20"/>
              </w:rPr>
            </w:pPr>
            <w:r>
              <w:rPr>
                <w:rFonts w:ascii="Times New Roman" w:hAnsi="Times New Roman"/>
                <w:noProof/>
                <w:sz w:val="20"/>
              </w:rPr>
              <w:t>Х  Мигрантите във всички „горещи точки“ следва системно да бъдат информирани относно техните права като лица, търсещи убежище, и като евентуални кандидати по механизма за преместване.</w:t>
            </w:r>
          </w:p>
          <w:p>
            <w:pPr>
              <w:rPr>
                <w:rFonts w:ascii="Times New Roman" w:hAnsi="Times New Roman" w:cs="Times New Roman"/>
                <w:noProof/>
                <w:sz w:val="20"/>
                <w:szCs w:val="20"/>
              </w:rPr>
            </w:pPr>
          </w:p>
          <w:p>
            <w:pPr>
              <w:rPr>
                <w:rFonts w:ascii="Times New Roman" w:hAnsi="Times New Roman" w:cs="Times New Roman"/>
                <w:noProof/>
                <w:sz w:val="20"/>
                <w:szCs w:val="20"/>
              </w:rPr>
            </w:pPr>
          </w:p>
        </w:tc>
      </w:tr>
      <w:tr>
        <w:trPr>
          <w:trHeight w:val="145"/>
        </w:trPr>
        <w:tc>
          <w:tcPr>
            <w:tcW w:w="1664" w:type="dxa"/>
            <w:vMerge/>
            <w:tcBorders>
              <w:left w:val="single" w:sz="4" w:space="0" w:color="auto"/>
              <w:right w:val="single" w:sz="4" w:space="0" w:color="auto"/>
            </w:tcBorders>
          </w:tcPr>
          <w:p>
            <w:pPr>
              <w:pStyle w:val="NormalWeb"/>
              <w:spacing w:before="0" w:beforeAutospacing="0" w:after="0" w:afterAutospacing="0"/>
              <w:rPr>
                <w:rFonts w:eastAsiaTheme="minorHAnsi"/>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Необходимо е да бъде увеличен значително капацитетът за регистриране и обработка на молби за убежище. За тази цел Гръцката служба за убежище възнамерява да наеме допълнително 40 служители до средата на февруари, което следва да повиши нейния капацитет, така че бъде в състояние да регистрира 100—120 молби на ден. Налага се допълнително увеличение на персонала, за да се ускори регистрацията според необходимостта. </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noProof/>
              </w:rPr>
              <w:t xml:space="preserve"> </w:t>
            </w:r>
            <w:r>
              <w:rPr>
                <w:rFonts w:ascii="Times New Roman" w:hAnsi="Times New Roman" w:cs="Times New Roman"/>
                <w:noProof/>
                <w:sz w:val="20"/>
                <w:szCs w:val="20"/>
              </w:rPr>
              <w:t>EASO оказва подкрепа на гръцките органи в Лесбос и Самос при проверката на гражданството на кандидатите за преместване.</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cs="Times New Roman"/>
                <w:noProof/>
                <w:sz w:val="20"/>
                <w:szCs w:val="20"/>
              </w:rPr>
              <w:t>37 лица ще бъдат наети до април и допълнително (най-много) 40 лица ще бъдат наети през юни 2016 г.</w:t>
            </w:r>
            <w:r>
              <w:rPr>
                <w:rFonts w:ascii="Times New Roman" w:hAnsi="Times New Roman"/>
                <w:noProof/>
                <w:sz w:val="20"/>
              </w:rPr>
              <w:t xml:space="preserve"> През януари 2017 г. ще бъдат наети кадри за останалите позиции. </w:t>
            </w:r>
            <w:r>
              <w:rPr>
                <w:rFonts w:ascii="Times New Roman" w:hAnsi="Times New Roman" w:cs="Times New Roman"/>
                <w:noProof/>
                <w:sz w:val="20"/>
                <w:szCs w:val="20"/>
              </w:rPr>
              <w:t>Необходимото финансиране е осигурено посредством фонд „Убежище, миграция и интеграция“ (ФУМИ).</w:t>
            </w:r>
          </w:p>
          <w:p>
            <w:pPr>
              <w:ind w:left="259" w:hanging="259"/>
              <w:rPr>
                <w:rFonts w:ascii="Times New Roman" w:hAnsi="Times New Roman" w:cs="Times New Roman"/>
                <w:noProof/>
                <w:sz w:val="20"/>
                <w:szCs w:val="20"/>
              </w:rPr>
            </w:pPr>
            <w:r>
              <w:rPr>
                <w:rFonts w:ascii="Times New Roman" w:hAnsi="Times New Roman"/>
                <w:noProof/>
                <w:sz w:val="20"/>
              </w:rPr>
              <w:t>X  Гърция и EASO заедно с Комисията следва да проучат начините за по-бързо увеличаване на капацитета за преместване.</w:t>
            </w:r>
          </w:p>
          <w:p>
            <w:pPr>
              <w:ind w:left="259" w:hanging="259"/>
              <w:rPr>
                <w:rFonts w:ascii="Times New Roman" w:hAnsi="Times New Roman" w:cs="Times New Roman"/>
                <w:noProof/>
                <w:sz w:val="20"/>
                <w:szCs w:val="20"/>
              </w:rPr>
            </w:pPr>
          </w:p>
        </w:tc>
      </w:tr>
      <w:tr>
        <w:trPr>
          <w:trHeight w:val="145"/>
        </w:trPr>
        <w:tc>
          <w:tcPr>
            <w:tcW w:w="1664" w:type="dxa"/>
            <w:vMerge/>
            <w:tcBorders>
              <w:left w:val="single" w:sz="4" w:space="0" w:color="auto"/>
              <w:right w:val="single" w:sz="4" w:space="0" w:color="auto"/>
            </w:tcBorders>
          </w:tcPr>
          <w:p>
            <w:pPr>
              <w:pStyle w:val="NormalWeb"/>
              <w:spacing w:before="0" w:beforeAutospacing="0" w:after="0" w:afterAutospacing="0"/>
              <w:rPr>
                <w:rFonts w:eastAsiaTheme="minorHAnsi"/>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Държавите членки следва да намалят съществено времето за отговор на исканията за преместване, подадени от гръцките органи (и да се въздържат от прекалени ad hoc проверки, извършвани в Гърция). </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Х  Понастоящем броят на кандидатите за преместване надхвърля броя на конкретните ангажименти, предложени от държавите членки.</w:t>
            </w:r>
          </w:p>
          <w:p>
            <w:pPr>
              <w:ind w:left="259" w:hanging="259"/>
              <w:rPr>
                <w:rFonts w:ascii="Times New Roman" w:hAnsi="Times New Roman" w:cs="Times New Roman"/>
                <w:noProof/>
                <w:sz w:val="20"/>
                <w:szCs w:val="20"/>
              </w:rPr>
            </w:pPr>
            <w:r>
              <w:rPr>
                <w:rFonts w:ascii="Times New Roman" w:hAnsi="Times New Roman"/>
                <w:noProof/>
                <w:sz w:val="20"/>
              </w:rPr>
              <w:t>Х  Държавите членки продължават да отговарят със забавяне на исканията за преместване и това е отчасти причината за значителния процент на лицата, отказали се от процеса на преместване.</w:t>
            </w:r>
          </w:p>
          <w:p>
            <w:pPr>
              <w:ind w:left="259" w:hanging="259"/>
              <w:rPr>
                <w:rFonts w:ascii="Times New Roman" w:hAnsi="Times New Roman" w:cs="Times New Roman"/>
                <w:noProof/>
                <w:sz w:val="20"/>
                <w:szCs w:val="20"/>
              </w:rPr>
            </w:pPr>
            <w:r>
              <w:rPr>
                <w:rFonts w:ascii="Times New Roman" w:hAnsi="Times New Roman"/>
                <w:noProof/>
                <w:sz w:val="20"/>
              </w:rPr>
              <w:t>Х  Държавите членки не осигуряват предварително подходяща информация относно своите планове във връзка с преместването, което би позволило на гръцките органи да повишат ефикасността на процеса.</w:t>
            </w:r>
          </w:p>
          <w:p>
            <w:pPr>
              <w:ind w:left="259" w:hanging="259"/>
              <w:rPr>
                <w:rFonts w:ascii="Times New Roman" w:hAnsi="Times New Roman" w:cs="Times New Roman"/>
                <w:noProof/>
                <w:sz w:val="20"/>
                <w:szCs w:val="20"/>
              </w:rPr>
            </w:pPr>
            <w:r>
              <w:rPr>
                <w:rFonts w:ascii="Times New Roman" w:hAnsi="Times New Roman"/>
                <w:noProof/>
                <w:sz w:val="20"/>
              </w:rPr>
              <w:t xml:space="preserve">Х  Няколко държави членки изискват провеждането на </w:t>
            </w:r>
            <w:r>
              <w:rPr>
                <w:rFonts w:ascii="Times New Roman" w:hAnsi="Times New Roman"/>
                <w:i/>
                <w:noProof/>
                <w:sz w:val="20"/>
              </w:rPr>
              <w:t>системни</w:t>
            </w:r>
            <w:r>
              <w:rPr>
                <w:rFonts w:ascii="Times New Roman" w:hAnsi="Times New Roman"/>
                <w:noProof/>
                <w:sz w:val="20"/>
              </w:rPr>
              <w:t xml:space="preserve"> интервюта във връзка със сигурността.</w:t>
            </w:r>
          </w:p>
          <w:p>
            <w:pPr>
              <w:rPr>
                <w:rFonts w:ascii="Times New Roman" w:hAnsi="Times New Roman" w:cs="Times New Roman"/>
                <w:noProof/>
                <w:sz w:val="20"/>
                <w:szCs w:val="20"/>
              </w:rPr>
            </w:pPr>
          </w:p>
        </w:tc>
      </w:tr>
      <w:tr>
        <w:trPr>
          <w:trHeight w:val="145"/>
        </w:trPr>
        <w:tc>
          <w:tcPr>
            <w:tcW w:w="1664" w:type="dxa"/>
            <w:vMerge/>
            <w:tcBorders>
              <w:left w:val="single" w:sz="4" w:space="0" w:color="auto"/>
              <w:right w:val="single" w:sz="4" w:space="0" w:color="auto"/>
            </w:tcBorders>
          </w:tcPr>
          <w:p>
            <w:pPr>
              <w:pStyle w:val="NormalWeb"/>
              <w:spacing w:before="0" w:beforeAutospacing="0" w:after="0" w:afterAutospacing="0"/>
              <w:rPr>
                <w:rFonts w:eastAsiaTheme="minorHAnsi"/>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Държавите членки следва да увеличат съществено своите ангажименти в рамките на програмата за преместване. </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 xml:space="preserve">X  Недостатъчен брой на ангажиментите и на преместените лица (вж. приложение 4). </w:t>
            </w:r>
          </w:p>
        </w:tc>
      </w:tr>
      <w:tr>
        <w:trPr>
          <w:trHeight w:val="145"/>
        </w:trPr>
        <w:tc>
          <w:tcPr>
            <w:tcW w:w="1664" w:type="dxa"/>
            <w:vMerge/>
            <w:tcBorders>
              <w:left w:val="single" w:sz="4" w:space="0" w:color="auto"/>
              <w:right w:val="single" w:sz="4" w:space="0" w:color="auto"/>
            </w:tcBorders>
          </w:tcPr>
          <w:p>
            <w:pPr>
              <w:pStyle w:val="NormalWeb"/>
              <w:spacing w:before="0" w:beforeAutospacing="0" w:after="0" w:afterAutospacing="0"/>
              <w:rPr>
                <w:rFonts w:eastAsiaTheme="minorHAnsi"/>
                <w:b/>
                <w:smallCaps/>
                <w:noProof/>
                <w:sz w:val="20"/>
                <w:szCs w:val="20"/>
              </w:rPr>
            </w:pPr>
          </w:p>
        </w:tc>
        <w:tc>
          <w:tcPr>
            <w:tcW w:w="7758" w:type="dxa"/>
            <w:gridSpan w:val="2"/>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i/>
                <w:noProof/>
                <w:sz w:val="20"/>
              </w:rPr>
              <w:t>Допълнителни мерки, определени след приемането на Съобщението през декември</w:t>
            </w:r>
          </w:p>
        </w:tc>
      </w:tr>
      <w:tr>
        <w:trPr>
          <w:trHeight w:val="145"/>
        </w:trPr>
        <w:tc>
          <w:tcPr>
            <w:tcW w:w="1664" w:type="dxa"/>
            <w:vMerge/>
            <w:tcBorders>
              <w:left w:val="single" w:sz="4" w:space="0" w:color="auto"/>
              <w:right w:val="single" w:sz="4" w:space="0" w:color="auto"/>
            </w:tcBorders>
          </w:tcPr>
          <w:p>
            <w:pPr>
              <w:pStyle w:val="NormalWeb"/>
              <w:spacing w:before="0" w:beforeAutospacing="0" w:after="0" w:afterAutospacing="0"/>
              <w:rPr>
                <w:rFonts w:eastAsiaTheme="minorHAnsi"/>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pStyle w:val="NormalWeb"/>
              <w:spacing w:before="0" w:beforeAutospacing="0" w:after="0" w:afterAutospacing="0"/>
              <w:rPr>
                <w:noProof/>
                <w:sz w:val="20"/>
                <w:szCs w:val="20"/>
              </w:rPr>
            </w:pPr>
            <w:r>
              <w:rPr>
                <w:noProof/>
                <w:sz w:val="20"/>
              </w:rPr>
              <w:t xml:space="preserve">Общо 34 кандидати за преместване са се укрили, а 88 са оттеглили своите заявления от въвеждането на схемата досега (цифри от 1 февруари). </w:t>
            </w: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X  Гърция следва да гарантира събирането на кандидатите за преместване в специални за целта структури, в които техните случаи ще бъдат наблюдавани отблизо.</w:t>
            </w:r>
          </w:p>
          <w:p>
            <w:pPr>
              <w:ind w:left="259" w:hanging="259"/>
              <w:rPr>
                <w:rFonts w:ascii="Times New Roman" w:hAnsi="Times New Roman" w:cs="Times New Roman"/>
                <w:noProof/>
                <w:sz w:val="20"/>
                <w:szCs w:val="20"/>
              </w:rPr>
            </w:pPr>
            <w:r>
              <w:rPr>
                <w:rFonts w:ascii="Times New Roman" w:hAnsi="Times New Roman"/>
                <w:noProof/>
                <w:sz w:val="20"/>
              </w:rPr>
              <w:t>X  Държавите членки следва да разработят целеви информационни пакети в сътрудничество с EASO, които да се предоставят на кандидатите за преместване след уведомяване на тяхната държава на дестинация.</w:t>
            </w:r>
          </w:p>
          <w:p>
            <w:pPr>
              <w:rPr>
                <w:rFonts w:ascii="Times New Roman" w:hAnsi="Times New Roman" w:cs="Times New Roman"/>
                <w:noProof/>
                <w:sz w:val="20"/>
                <w:szCs w:val="20"/>
              </w:rPr>
            </w:pPr>
          </w:p>
        </w:tc>
      </w:tr>
      <w:tr>
        <w:trPr>
          <w:trHeight w:val="145"/>
        </w:trPr>
        <w:tc>
          <w:tcPr>
            <w:tcW w:w="1664" w:type="dxa"/>
            <w:vMerge/>
            <w:tcBorders>
              <w:left w:val="single" w:sz="4" w:space="0" w:color="auto"/>
              <w:right w:val="single" w:sz="4" w:space="0" w:color="auto"/>
            </w:tcBorders>
          </w:tcPr>
          <w:p>
            <w:pPr>
              <w:pStyle w:val="NormalWeb"/>
              <w:spacing w:before="0" w:beforeAutospacing="0" w:after="0" w:afterAutospacing="0"/>
              <w:rPr>
                <w:rFonts w:eastAsiaTheme="minorHAnsi"/>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pStyle w:val="NormalWeb"/>
              <w:spacing w:before="0" w:beforeAutospacing="0" w:after="0" w:afterAutospacing="0"/>
              <w:rPr>
                <w:noProof/>
                <w:sz w:val="20"/>
                <w:szCs w:val="20"/>
              </w:rPr>
            </w:pPr>
            <w:r>
              <w:rPr>
                <w:noProof/>
                <w:sz w:val="20"/>
              </w:rPr>
              <w:t>От началото на процеса на преместване насам не са прехвърляни непридружени ненавършили пълнолетие лица.</w:t>
            </w: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X  Гърция следва да установи специални процедури за прехвърлянето на непридружени ненавършили пълнолетие лица.</w:t>
            </w:r>
          </w:p>
          <w:p>
            <w:pPr>
              <w:ind w:left="259" w:hanging="259"/>
              <w:rPr>
                <w:rFonts w:ascii="Times New Roman" w:hAnsi="Times New Roman" w:cs="Times New Roman"/>
                <w:noProof/>
                <w:sz w:val="20"/>
                <w:szCs w:val="20"/>
              </w:rPr>
            </w:pPr>
            <w:r>
              <w:rPr>
                <w:rFonts w:ascii="Times New Roman" w:hAnsi="Times New Roman"/>
                <w:noProof/>
                <w:sz w:val="20"/>
              </w:rPr>
              <w:t>X  Държавите членки следва да поемат ангажимент да предоставят специални места за непридружени ненавършили пълнолетие лица.</w:t>
            </w:r>
          </w:p>
          <w:p>
            <w:pPr>
              <w:rPr>
                <w:rFonts w:ascii="Times New Roman" w:hAnsi="Times New Roman" w:cs="Times New Roman"/>
                <w:noProof/>
                <w:sz w:val="20"/>
                <w:szCs w:val="20"/>
              </w:rPr>
            </w:pPr>
          </w:p>
        </w:tc>
      </w:tr>
      <w:tr>
        <w:trPr>
          <w:trHeight w:val="145"/>
        </w:trPr>
        <w:tc>
          <w:tcPr>
            <w:tcW w:w="1664" w:type="dxa"/>
            <w:tcBorders>
              <w:left w:val="single" w:sz="4" w:space="0" w:color="auto"/>
              <w:right w:val="single" w:sz="4" w:space="0" w:color="auto"/>
            </w:tcBorders>
          </w:tcPr>
          <w:p>
            <w:pPr>
              <w:pStyle w:val="NormalWeb"/>
              <w:spacing w:before="0" w:beforeAutospacing="0" w:after="0" w:afterAutospacing="0"/>
              <w:rPr>
                <w:rFonts w:eastAsiaTheme="minorHAnsi"/>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pStyle w:val="NormalWeb"/>
              <w:spacing w:before="0" w:beforeAutospacing="0" w:after="0" w:afterAutospacing="0"/>
              <w:rPr>
                <w:rFonts w:eastAsiaTheme="minorHAnsi"/>
                <w:noProof/>
                <w:sz w:val="20"/>
                <w:szCs w:val="20"/>
              </w:rPr>
            </w:pPr>
            <w:r>
              <w:rPr>
                <w:rFonts w:eastAsiaTheme="minorHAnsi"/>
                <w:noProof/>
                <w:sz w:val="20"/>
              </w:rPr>
              <w:t>Някои държави членки се позоваха на критерии, различни от предвидените в Решението на Съвета, за да отхвърлят досиета за преместване.</w:t>
            </w: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Х  Държавите членки следва стриктно да прилагат критериите, предвидени съгласно Решението на Съвета, когато отхвърлят заявления за преместване. По-специално заявленията за преместване не трябва да се отхвърлят поради причини, свързани с изразени от държавите членки предпочитания по отношение на профила на кандидатите за преместване.</w:t>
            </w:r>
          </w:p>
          <w:p>
            <w:pPr>
              <w:rPr>
                <w:rFonts w:ascii="Times New Roman" w:hAnsi="Times New Roman" w:cs="Times New Roman"/>
                <w:noProof/>
                <w:sz w:val="20"/>
                <w:szCs w:val="20"/>
              </w:rPr>
            </w:pPr>
          </w:p>
        </w:tc>
      </w:tr>
      <w:tr>
        <w:trPr>
          <w:trHeight w:val="388"/>
        </w:trPr>
        <w:tc>
          <w:tcPr>
            <w:tcW w:w="1664" w:type="dxa"/>
            <w:vMerge w:val="restart"/>
            <w:tcBorders>
              <w:top w:val="single" w:sz="4" w:space="0" w:color="auto"/>
              <w:left w:val="single" w:sz="4" w:space="0" w:color="auto"/>
              <w:right w:val="single" w:sz="4" w:space="0" w:color="auto"/>
            </w:tcBorders>
          </w:tcPr>
          <w:p>
            <w:pPr>
              <w:pStyle w:val="NormalWeb"/>
              <w:spacing w:before="0" w:beforeAutospacing="0" w:after="0" w:afterAutospacing="0"/>
              <w:rPr>
                <w:rStyle w:val="Strong"/>
                <w:noProof/>
                <w:sz w:val="20"/>
                <w:szCs w:val="20"/>
              </w:rPr>
            </w:pPr>
            <w:r>
              <w:rPr>
                <w:rFonts w:eastAsiaTheme="minorHAnsi"/>
                <w:b/>
                <w:smallCaps/>
                <w:noProof/>
                <w:sz w:val="20"/>
              </w:rPr>
              <w:t xml:space="preserve">Връщане </w:t>
            </w: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 xml:space="preserve">Гръцките органи трябва да разработят ясна стратегия за принудителните връщания, в която се определят трети държави, с които приоритетно трябва да се осъществяват контакти и сътрудничество и да се предвиждат мерки по отношение на недостатъците на тяхната система за задържане. Гърция трябва да рационализира административните си процедури, за да осигури възможност за бързо връщане. </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noProof/>
              </w:rPr>
              <w:t xml:space="preserve"> </w:t>
            </w:r>
            <w:r>
              <w:rPr>
                <w:rFonts w:ascii="Times New Roman" w:hAnsi="Times New Roman" w:cs="Times New Roman"/>
                <w:noProof/>
                <w:sz w:val="20"/>
                <w:szCs w:val="20"/>
              </w:rPr>
              <w:t>Гърция използва опростена процедура за издаване на решения за връщане на граждани на трети държави, които нямат право на закрила</w:t>
            </w:r>
            <w:r>
              <w:rPr>
                <w:noProof/>
              </w:rPr>
              <w:t>.</w:t>
            </w:r>
          </w:p>
          <w:p>
            <w:pPr>
              <w:ind w:left="259" w:hanging="259"/>
              <w:rPr>
                <w:rFonts w:ascii="Times New Roman" w:hAnsi="Times New Roman" w:cs="Times New Roman"/>
                <w:noProof/>
                <w:sz w:val="20"/>
                <w:szCs w:val="20"/>
              </w:rPr>
            </w:pPr>
            <w:r>
              <w:rPr>
                <w:rFonts w:ascii="Times New Roman" w:hAnsi="Times New Roman"/>
                <w:noProof/>
                <w:sz w:val="20"/>
              </w:rPr>
              <w:t>Х  Заедно с Frontex Гърция следва приоритетно да определи и въведе ясен оперативен план за дейности по връщане и обратно приемане, който се основава на ясно планиране и оценка на потребностите от страна на Гърция и в който се разглеждат всички необходими елементи от процедурата по изпълнение на връщането.</w:t>
            </w:r>
          </w:p>
          <w:p>
            <w:pPr>
              <w:ind w:left="259" w:hanging="259"/>
              <w:rPr>
                <w:rFonts w:ascii="Times New Roman" w:hAnsi="Times New Roman" w:cs="Times New Roman"/>
                <w:noProof/>
                <w:sz w:val="20"/>
                <w:szCs w:val="20"/>
              </w:rPr>
            </w:pPr>
            <w:r>
              <w:rPr>
                <w:rFonts w:ascii="Times New Roman" w:hAnsi="Times New Roman"/>
                <w:noProof/>
                <w:sz w:val="20"/>
              </w:rPr>
              <w:t>Х  Гърция следва да използва напълно възможностите, предвидени в гръцкото законодателство в съответствие с Директивата относно връщането, за да осигури задържането на незаконни мигранти в рамките на 18-месечния максимален срок, така че да се избегне прекратяването на задържането преди ефективното им извеждане.</w:t>
            </w:r>
          </w:p>
          <w:p>
            <w:pPr>
              <w:ind w:left="259" w:hanging="259"/>
              <w:rPr>
                <w:rFonts w:ascii="Times New Roman" w:hAnsi="Times New Roman" w:cs="Times New Roman"/>
                <w:noProof/>
                <w:sz w:val="20"/>
                <w:szCs w:val="20"/>
              </w:rPr>
            </w:pPr>
            <w:r>
              <w:rPr>
                <w:rFonts w:ascii="Times New Roman" w:hAnsi="Times New Roman"/>
                <w:noProof/>
                <w:sz w:val="20"/>
              </w:rPr>
              <w:t>Х  Гърция следва да бъде насърчена да използва незабавно и напълно възможностите за получаване на подкрепа по линия на финансирани от ЕС програми за връщане, и по-специално Европейския интегриран подход относно връщането към трети страни (EURINT), Европейския инструмент за реинтеграция (ERIN) и Европейската мрежа на служителите за връзка по въпросите на връщането (EURLO).</w:t>
            </w:r>
          </w:p>
          <w:p>
            <w:pPr>
              <w:rPr>
                <w:rFonts w:ascii="Times New Roman" w:hAnsi="Times New Roman" w:cs="Times New Roman"/>
                <w:noProof/>
                <w:sz w:val="20"/>
                <w:szCs w:val="20"/>
              </w:rPr>
            </w:pPr>
          </w:p>
        </w:tc>
      </w:tr>
      <w:tr>
        <w:trPr>
          <w:trHeight w:val="387"/>
        </w:trPr>
        <w:tc>
          <w:tcPr>
            <w:tcW w:w="1664" w:type="dxa"/>
            <w:vMerge/>
            <w:tcBorders>
              <w:left w:val="single" w:sz="4" w:space="0" w:color="auto"/>
              <w:right w:val="single" w:sz="4" w:space="0" w:color="auto"/>
            </w:tcBorders>
            <w:vAlign w:val="center"/>
            <w:hideMark/>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Гърция трябва да засили принудителното и доброволното връщане, както и да предприеме необходимите стъпки, за да гарантира незабавното усвояване на наличното финансиране по линия на националната програма по ФУМИ (включително спешна помощ по линия на ФУМИ и фонд „Вътрешна сигурност“).</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cs="Times New Roman"/>
                <w:noProof/>
                <w:sz w:val="20"/>
                <w:szCs w:val="20"/>
              </w:rPr>
              <w:t>По линия на ФУМИ е финансирана спешна програма за подпомагане на доброволното връщане, която ще позволи на общо 1 000 мигранти да се върнат доброволно в своите държави. Над</w:t>
            </w:r>
            <w:r>
              <w:rPr>
                <w:rFonts w:ascii="Times New Roman" w:hAnsi="Times New Roman"/>
                <w:noProof/>
                <w:sz w:val="20"/>
              </w:rPr>
              <w:t xml:space="preserve"> 1 400 мигранти са се регистрирали за доброволно напускане към настоящия момент. Изчисленията показват, че броят на доброволните напускания скоро ще достигне цифрата 1 005.  </w:t>
            </w:r>
          </w:p>
          <w:p>
            <w:pPr>
              <w:ind w:left="259" w:hanging="259"/>
              <w:rPr>
                <w:rFonts w:ascii="Times New Roman" w:hAnsi="Times New Roman" w:cs="Times New Roman"/>
                <w:noProof/>
                <w:sz w:val="20"/>
                <w:szCs w:val="20"/>
              </w:rPr>
            </w:pPr>
            <w:r>
              <w:rPr>
                <w:rFonts w:ascii="Times New Roman" w:hAnsi="Times New Roman"/>
                <w:noProof/>
                <w:sz w:val="20"/>
              </w:rPr>
              <w:t>X  Процедурата за възлагане на обществена поръчка за новата програма за подпомагане на доброволното връщане, която следва да се финансира по линия на националната програма по ФУМИ, следва да бъде завършена възможно най-скоро.</w:t>
            </w:r>
          </w:p>
          <w:p>
            <w:pPr>
              <w:ind w:left="259" w:hanging="259"/>
              <w:rPr>
                <w:rFonts w:ascii="Times New Roman" w:hAnsi="Times New Roman" w:cs="Times New Roman"/>
                <w:noProof/>
                <w:sz w:val="20"/>
                <w:szCs w:val="20"/>
              </w:rPr>
            </w:pPr>
            <w:r>
              <w:rPr>
                <w:rFonts w:ascii="Times New Roman" w:hAnsi="Times New Roman"/>
                <w:noProof/>
                <w:sz w:val="20"/>
              </w:rPr>
              <w:t>Х  По линия на ФУМИ е финансирана спешна програма за принудително връщане (която ще бъде изпълнявана от гръцката полиция). Понастоящем се провежда и спешно трябва да бъде приключена процедурата за възлагане на обществена поръчка за превоза (осигуряване на билети) във връзка с операциите по принудително връщане чрез търговски полети.</w:t>
            </w:r>
          </w:p>
          <w:p>
            <w:pPr>
              <w:ind w:left="259" w:hanging="259"/>
              <w:rPr>
                <w:rFonts w:ascii="Times New Roman" w:hAnsi="Times New Roman" w:cs="Times New Roman"/>
                <w:noProof/>
                <w:sz w:val="20"/>
                <w:szCs w:val="20"/>
              </w:rPr>
            </w:pPr>
          </w:p>
        </w:tc>
      </w:tr>
      <w:tr>
        <w:trPr>
          <w:trHeight w:val="387"/>
        </w:trPr>
        <w:tc>
          <w:tcPr>
            <w:tcW w:w="1664" w:type="dxa"/>
            <w:vMerge/>
            <w:tcBorders>
              <w:left w:val="single" w:sz="4" w:space="0" w:color="auto"/>
              <w:right w:val="single" w:sz="4" w:space="0" w:color="auto"/>
            </w:tcBorders>
            <w:vAlign w:val="center"/>
            <w:hideMark/>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 xml:space="preserve">Дейностите на гръцките органи във връзка с връщането следва да бъдат съсредоточени повече върху гражданите на най-значимите в контекста на „горещите точки“ държави (пакистанци, но също и афганистанци, иранци и бангладешци), вместо както досега върху граждани на Албания и бившата югославска република Македония. </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hideMark/>
          </w:tcPr>
          <w:p>
            <w:pPr>
              <w:ind w:left="259" w:hanging="259"/>
              <w:rPr>
                <w:rFonts w:ascii="Times New Roman" w:hAnsi="Times New Roman" w:cs="Times New Roman"/>
                <w:noProof/>
                <w:sz w:val="20"/>
                <w:szCs w:val="20"/>
              </w:rPr>
            </w:pPr>
            <w:r>
              <w:rPr>
                <w:rFonts w:ascii="Times New Roman" w:hAnsi="Times New Roman"/>
                <w:noProof/>
                <w:sz w:val="20"/>
              </w:rPr>
              <w:t xml:space="preserve">Х  Вж. по-горе по отношение на оперативния план. В един такъв план следва да се отчетат гражданствата на лицата, които понастоящем влизат в Гърция като част от незаконните миграционни потоци и не отговарят на профила на бежанец. </w:t>
            </w:r>
          </w:p>
          <w:p>
            <w:pPr>
              <w:rPr>
                <w:rFonts w:ascii="Times New Roman" w:hAnsi="Times New Roman" w:cs="Times New Roman"/>
                <w:noProof/>
                <w:sz w:val="20"/>
                <w:szCs w:val="20"/>
              </w:rPr>
            </w:pPr>
            <w:r>
              <w:rPr>
                <w:rFonts w:ascii="Times New Roman" w:hAnsi="Times New Roman"/>
                <w:noProof/>
                <w:sz w:val="20"/>
              </w:rPr>
              <w:t xml:space="preserve"> </w:t>
            </w:r>
          </w:p>
        </w:tc>
      </w:tr>
      <w:tr>
        <w:trPr>
          <w:trHeight w:val="387"/>
        </w:trPr>
        <w:tc>
          <w:tcPr>
            <w:tcW w:w="1664" w:type="dxa"/>
            <w:vMerge/>
            <w:tcBorders>
              <w:left w:val="single" w:sz="4" w:space="0" w:color="auto"/>
              <w:right w:val="single" w:sz="4" w:space="0" w:color="auto"/>
            </w:tcBorders>
            <w:vAlign w:val="center"/>
            <w:hideMark/>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 xml:space="preserve">Информацията относно подпомаганите доброволни връщания следва да бъде популяризирана сред мигрантите, които вече пребивават в „горещите точки“. Трябва да бъде обмислено и провеждането на информационна кампания в райони в близост до границата с бившата югославска република Македония. </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hideMark/>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cs="Times New Roman"/>
                <w:noProof/>
                <w:sz w:val="20"/>
                <w:szCs w:val="20"/>
              </w:rPr>
              <w:t>Международната организация по миграция (МОМ) разкри специални офиси в Лесбос.</w:t>
            </w:r>
          </w:p>
          <w:p>
            <w:pPr>
              <w:ind w:left="259" w:hanging="259"/>
              <w:rPr>
                <w:rFonts w:ascii="Times New Roman" w:hAnsi="Times New Roman" w:cs="Times New Roman"/>
                <w:noProof/>
                <w:sz w:val="20"/>
                <w:szCs w:val="20"/>
              </w:rPr>
            </w:pPr>
            <w:r>
              <w:rPr>
                <w:rFonts w:ascii="Times New Roman" w:hAnsi="Times New Roman"/>
                <w:noProof/>
                <w:sz w:val="20"/>
              </w:rPr>
              <w:t>X  В Атина и други „горещи точки“ спешно следва да бъдат определени специални точки за пристигане за мигранти, върнати от Идомени, за да бъде осигурена възможност за подпомагане на доброволното им връщане.</w:t>
            </w:r>
          </w:p>
          <w:p>
            <w:pPr>
              <w:ind w:left="259" w:hanging="259"/>
              <w:rPr>
                <w:rFonts w:ascii="Times New Roman" w:hAnsi="Times New Roman" w:cs="Times New Roman"/>
                <w:noProof/>
                <w:sz w:val="20"/>
                <w:szCs w:val="20"/>
              </w:rPr>
            </w:pPr>
            <w:r>
              <w:rPr>
                <w:rFonts w:ascii="Times New Roman" w:hAnsi="Times New Roman"/>
                <w:noProof/>
                <w:sz w:val="20"/>
              </w:rPr>
              <w:t>X  МОМ следва да има представители във всички центрове за задържане в Гърция, за да предлага варианта за подпомагано доброволно връщане на мигранти, които подлежат на връщане.</w:t>
            </w:r>
          </w:p>
          <w:p>
            <w:pPr>
              <w:rPr>
                <w:rFonts w:ascii="Times New Roman" w:hAnsi="Times New Roman" w:cs="Times New Roman"/>
                <w:noProof/>
                <w:sz w:val="20"/>
                <w:szCs w:val="20"/>
              </w:rPr>
            </w:pPr>
          </w:p>
        </w:tc>
      </w:tr>
      <w:tr>
        <w:trPr>
          <w:trHeight w:val="387"/>
        </w:trPr>
        <w:tc>
          <w:tcPr>
            <w:tcW w:w="1664" w:type="dxa"/>
            <w:vMerge/>
            <w:tcBorders>
              <w:left w:val="single" w:sz="4" w:space="0" w:color="auto"/>
              <w:right w:val="single" w:sz="4" w:space="0" w:color="auto"/>
            </w:tcBorders>
            <w:vAlign w:val="center"/>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Европейската комисия, подпомагана от държавите членки, следва допълнително да засили сътрудничеството и контактите с трети държави, за да се улесни обратното приемане на мигранти, които нямат право на международна закрила. Това включва по-специално и допълнителни усилия, за да се гарантира обратното приемане от Турция на граждани на трети държави. </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noProof/>
                <w:sz w:val="20"/>
              </w:rPr>
              <w:t xml:space="preserve">  Съвместният комитет за обратно приемане приветства резултатите от скорошните разговори с пакистанските органи. Следващата стъпка, която трябва да бъде предприета като приоритет, е да се затвърди положителната стъпка посредством нови полети от Гърция за Пакистан през следващите седмици.</w:t>
            </w:r>
          </w:p>
          <w:p>
            <w:pPr>
              <w:ind w:left="259" w:hanging="259"/>
              <w:rPr>
                <w:rFonts w:ascii="Times New Roman" w:hAnsi="Times New Roman" w:cs="Times New Roman"/>
                <w:noProof/>
                <w:sz w:val="20"/>
                <w:szCs w:val="20"/>
              </w:rPr>
            </w:pPr>
            <w:r>
              <w:rPr>
                <w:rFonts w:ascii="Times New Roman" w:hAnsi="Times New Roman"/>
                <w:noProof/>
                <w:sz w:val="20"/>
              </w:rPr>
              <w:t>Х  Гръцките органи трябва да увеличат своите усилия, по-специално като ускорят подаването на исканията за обратно приемане до Турция и сведат до минимум риска мигрантите да се укрият по време на процедурата. Турция също така следва да си сътрудничи по-тясно с гръцките органи с цел да се повиши съществено броят на мигрантите, допуснати за обратно приемане, и реално приетите обратно мигранти (през 2015 г. Турция е допуснала 5 148 искания, но е приела обратно само 8 лица).</w:t>
            </w:r>
          </w:p>
          <w:p>
            <w:pPr>
              <w:ind w:left="259" w:hanging="259"/>
              <w:rPr>
                <w:rFonts w:ascii="Times New Roman" w:hAnsi="Times New Roman" w:cs="Times New Roman"/>
                <w:noProof/>
                <w:sz w:val="20"/>
                <w:szCs w:val="20"/>
              </w:rPr>
            </w:pPr>
            <w:r>
              <w:rPr>
                <w:rFonts w:ascii="Times New Roman" w:hAnsi="Times New Roman"/>
                <w:noProof/>
                <w:sz w:val="20"/>
              </w:rPr>
              <w:t>Х  Frontex, подпомагана от държавите членки, следва да съдейства на Гърция за навременното подаване на искания за обратно приемане до Турция и за превоза на мигранти от мястото, където са задържани и/или от центровете за задържане, до едно от трите места за напускане, договорени в гръцко-турския протокол.</w:t>
            </w:r>
          </w:p>
          <w:p>
            <w:pPr>
              <w:ind w:left="259" w:hanging="259"/>
              <w:rPr>
                <w:rFonts w:ascii="Times New Roman" w:hAnsi="Times New Roman" w:cs="Times New Roman"/>
                <w:noProof/>
                <w:sz w:val="20"/>
                <w:szCs w:val="20"/>
              </w:rPr>
            </w:pPr>
            <w:r>
              <w:rPr>
                <w:rFonts w:ascii="Times New Roman" w:hAnsi="Times New Roman"/>
                <w:noProof/>
                <w:sz w:val="20"/>
              </w:rPr>
              <w:t>Х  Гърция следва да разгледа възможността да покани Турция да определи служител за връзка, който да бъде изпратен в Гърция, с цел улесняване на исканията за обратно приемане.</w:t>
            </w:r>
          </w:p>
          <w:p>
            <w:pPr>
              <w:ind w:left="259" w:hanging="259"/>
              <w:rPr>
                <w:rFonts w:ascii="Times New Roman" w:hAnsi="Times New Roman" w:cs="Times New Roman"/>
                <w:noProof/>
                <w:sz w:val="20"/>
                <w:szCs w:val="20"/>
              </w:rPr>
            </w:pPr>
            <w:r>
              <w:rPr>
                <w:rFonts w:ascii="Times New Roman" w:hAnsi="Times New Roman"/>
                <w:noProof/>
                <w:sz w:val="20"/>
              </w:rPr>
              <w:t>Х  Гърция следва да осигури физическото присъствие на мигрантите, допуснати от Турция за обратно приемане (при необходимост чрез своевременно задържане преди извеждането от територията на страната).</w:t>
            </w:r>
          </w:p>
          <w:p>
            <w:pPr>
              <w:rPr>
                <w:rFonts w:ascii="Times New Roman" w:hAnsi="Times New Roman" w:cs="Times New Roman"/>
                <w:noProof/>
                <w:sz w:val="20"/>
                <w:szCs w:val="20"/>
              </w:rPr>
            </w:pPr>
          </w:p>
        </w:tc>
      </w:tr>
      <w:tr>
        <w:trPr>
          <w:trHeight w:val="387"/>
        </w:trPr>
        <w:tc>
          <w:tcPr>
            <w:tcW w:w="1664" w:type="dxa"/>
            <w:vMerge/>
            <w:tcBorders>
              <w:left w:val="single" w:sz="4" w:space="0" w:color="auto"/>
              <w:right w:val="single" w:sz="4" w:space="0" w:color="auto"/>
            </w:tcBorders>
            <w:vAlign w:val="center"/>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Frontex следва да гарантира, че съвместните полети за връщане правят редовни междинни кацания в Гърция с цел извършване на операции по връщане.</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Х  Frontex, подкрепяна от държавите членки, изрази готовност да координира и да подпомага всички съвместни операции по връщане с междинни кацания в Гърция. Гръцките органи трябва редовно и своевременно да съобщават на Frontex специфичните си потребности, за да могат да се планират и изпълняват съвместни операции по връщане.</w:t>
            </w:r>
          </w:p>
          <w:p>
            <w:pPr>
              <w:rPr>
                <w:rFonts w:ascii="Times New Roman" w:hAnsi="Times New Roman" w:cs="Times New Roman"/>
                <w:noProof/>
                <w:sz w:val="20"/>
                <w:szCs w:val="20"/>
              </w:rPr>
            </w:pPr>
          </w:p>
        </w:tc>
      </w:tr>
      <w:tr>
        <w:trPr>
          <w:trHeight w:val="387"/>
        </w:trPr>
        <w:tc>
          <w:tcPr>
            <w:tcW w:w="1664" w:type="dxa"/>
            <w:vMerge/>
            <w:tcBorders>
              <w:left w:val="single" w:sz="4" w:space="0" w:color="auto"/>
              <w:bottom w:val="single" w:sz="4" w:space="0" w:color="auto"/>
              <w:right w:val="single" w:sz="4" w:space="0" w:color="auto"/>
            </w:tcBorders>
            <w:vAlign w:val="center"/>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Необходимо е спешно да бъдат подобрени условията в центровете за настаняване преди извеждане.</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cs="Times New Roman"/>
                <w:noProof/>
                <w:sz w:val="20"/>
                <w:szCs w:val="20"/>
              </w:rPr>
              <w:t>Гръцките органи изготвят рамков договор за предоставяне на услуги за приготвяне и доставяне на храна за центровете от затворен тип за настаняване преди извеждане за периода 2016—2018 г.</w:t>
            </w:r>
            <w:r>
              <w:rPr>
                <w:rFonts w:ascii="Times New Roman" w:hAnsi="Times New Roman"/>
                <w:noProof/>
                <w:sz w:val="20"/>
              </w:rPr>
              <w:t xml:space="preserve"> Въз основа на правните разпоредби, приети на 29 януари 2016 г., гръцката полиция се ангажира да осигурява храна до сключването на съответното споразумение.</w:t>
            </w:r>
          </w:p>
          <w:p>
            <w:pPr>
              <w:ind w:left="259" w:hanging="259"/>
              <w:rPr>
                <w:rFonts w:ascii="Times New Roman" w:hAnsi="Times New Roman" w:cs="Times New Roman"/>
                <w:noProof/>
                <w:sz w:val="20"/>
                <w:szCs w:val="20"/>
              </w:rPr>
            </w:pPr>
            <w:r>
              <w:rPr>
                <w:rFonts w:ascii="Times New Roman" w:hAnsi="Times New Roman"/>
                <w:noProof/>
                <w:sz w:val="20"/>
              </w:rPr>
              <w:t>X  В допълнение към услугите за приготвяне и доставяне на храна, някои центрове от затворен тип за настаняване преди извеждане, по-специално тези на островите, следва при необходимост да бъдат реновирани и правилно поддържани, за да се осигури адекватно настаняване на мигрантите в съответствие със стандартите на ЕС.</w:t>
            </w:r>
          </w:p>
          <w:p>
            <w:pPr>
              <w:rPr>
                <w:rFonts w:ascii="Times New Roman" w:hAnsi="Times New Roman" w:cs="Times New Roman"/>
                <w:noProof/>
                <w:sz w:val="20"/>
                <w:szCs w:val="20"/>
              </w:rPr>
            </w:pPr>
          </w:p>
        </w:tc>
      </w:tr>
      <w:tr>
        <w:trPr>
          <w:trHeight w:val="255"/>
        </w:trPr>
        <w:tc>
          <w:tcPr>
            <w:tcW w:w="1664" w:type="dxa"/>
            <w:tcBorders>
              <w:left w:val="single" w:sz="4" w:space="0" w:color="auto"/>
              <w:bottom w:val="single" w:sz="4" w:space="0" w:color="auto"/>
              <w:right w:val="single" w:sz="4" w:space="0" w:color="auto"/>
            </w:tcBorders>
            <w:vAlign w:val="center"/>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Европейската комисия, подпомагана от държавите членки, следва допълнително да засили сътрудничеството и контактите с трети държави, за да се улесни обратното приемане на мигранти, които нямат право на международна закрила, включително чрез целево използване на Доверителния фонд за Африка.</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cs="Times New Roman"/>
                <w:noProof/>
                <w:sz w:val="20"/>
                <w:szCs w:val="20"/>
              </w:rPr>
              <w:t xml:space="preserve">  </w:t>
            </w:r>
            <w:r>
              <w:rPr>
                <w:rFonts w:ascii="Times New Roman" w:hAnsi="Times New Roman"/>
                <w:noProof/>
                <w:sz w:val="20"/>
              </w:rPr>
              <w:t>Заседания на съвместните комитети с Турция и Пакистан за обратно приемане бяха проведени съответно на 19 януари и на 2 февруари 2016 г. Комисията посети Афганистан и ще посети Нигерия с цел обсъждане на обратното приемане.</w:t>
            </w:r>
          </w:p>
        </w:tc>
      </w:tr>
      <w:tr>
        <w:trPr>
          <w:trHeight w:val="387"/>
        </w:trPr>
        <w:tc>
          <w:tcPr>
            <w:tcW w:w="1664" w:type="dxa"/>
            <w:vMerge w:val="restart"/>
            <w:tcBorders>
              <w:top w:val="single" w:sz="4" w:space="0" w:color="auto"/>
              <w:left w:val="single" w:sz="4" w:space="0" w:color="auto"/>
              <w:bottom w:val="single" w:sz="4" w:space="0" w:color="auto"/>
              <w:right w:val="single" w:sz="4" w:space="0" w:color="auto"/>
            </w:tcBorders>
          </w:tcPr>
          <w:p>
            <w:pPr>
              <w:pStyle w:val="NormalWeb"/>
              <w:spacing w:before="0" w:beforeAutospacing="0" w:after="0" w:afterAutospacing="0"/>
              <w:rPr>
                <w:rStyle w:val="Strong"/>
                <w:noProof/>
                <w:sz w:val="20"/>
                <w:szCs w:val="20"/>
              </w:rPr>
            </w:pPr>
            <w:r>
              <w:rPr>
                <w:rFonts w:eastAsiaTheme="minorHAnsi"/>
                <w:b/>
                <w:smallCaps/>
                <w:noProof/>
                <w:sz w:val="20"/>
              </w:rPr>
              <w:t xml:space="preserve">Подобряване на управлението на границите </w:t>
            </w:r>
          </w:p>
        </w:tc>
        <w:tc>
          <w:tcPr>
            <w:tcW w:w="307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0"/>
                <w:szCs w:val="20"/>
              </w:rPr>
            </w:pPr>
            <w:r>
              <w:rPr>
                <w:rFonts w:ascii="Times New Roman" w:hAnsi="Times New Roman"/>
                <w:noProof/>
                <w:sz w:val="20"/>
              </w:rPr>
              <w:t>Гръцките органи и Frontex следва бързо да определят оперативните детайли относно разполагането на служителите на Frontex по северната граница на Гърция.</w:t>
            </w:r>
          </w:p>
          <w:p>
            <w:pPr>
              <w:pStyle w:val="NormalWeb"/>
              <w:spacing w:before="0" w:beforeAutospacing="0" w:after="0" w:afterAutospacing="0"/>
              <w:rPr>
                <w:noProof/>
                <w:sz w:val="20"/>
                <w:szCs w:val="20"/>
              </w:rPr>
            </w:pPr>
          </w:p>
        </w:tc>
        <w:tc>
          <w:tcPr>
            <w:tcW w:w="4685" w:type="dxa"/>
            <w:tcBorders>
              <w:top w:val="single" w:sz="4" w:space="0" w:color="auto"/>
              <w:left w:val="single" w:sz="4" w:space="0" w:color="auto"/>
              <w:bottom w:val="single" w:sz="4" w:space="0" w:color="auto"/>
              <w:right w:val="single" w:sz="4" w:space="0" w:color="auto"/>
            </w:tcBorders>
            <w:hideMark/>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noProof/>
                <w:sz w:val="20"/>
              </w:rPr>
              <w:t xml:space="preserve">Понастоящем се осъществява операцията на Frontex по северната граница на Гърция. Операцията следва бързо да бъде разширена. </w:t>
            </w:r>
          </w:p>
          <w:p>
            <w:pPr>
              <w:ind w:left="259" w:hanging="259"/>
              <w:rPr>
                <w:rFonts w:ascii="Times New Roman" w:hAnsi="Times New Roman" w:cs="Times New Roman"/>
                <w:noProof/>
                <w:sz w:val="20"/>
                <w:szCs w:val="20"/>
              </w:rPr>
            </w:pPr>
            <w:r>
              <w:rPr>
                <w:rFonts w:ascii="Times New Roman" w:hAnsi="Times New Roman"/>
                <w:noProof/>
                <w:sz w:val="20"/>
              </w:rPr>
              <w:t>Х  Гърция обаче следва да определи ръководителите на екипи и да завърши тяхното разполагане, както и да осигури офис помещения за служителите на Frontex, за да могат те да изпълняват всички свои задължения на място.</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rFonts w:ascii="Times New Roman" w:hAnsi="Times New Roman"/>
                <w:noProof/>
                <w:sz w:val="20"/>
              </w:rPr>
              <w:t xml:space="preserve">  Frontex ще подпомага гръцките органи при проверката на самоличността на граждани на трети държави и при проверката дали те са регистрирани в съответните бази данни.</w:t>
            </w:r>
          </w:p>
          <w:p>
            <w:pPr>
              <w:rPr>
                <w:rFonts w:ascii="Times New Roman" w:hAnsi="Times New Roman" w:cs="Times New Roman"/>
                <w:noProof/>
                <w:sz w:val="20"/>
                <w:szCs w:val="20"/>
              </w:rPr>
            </w:pPr>
          </w:p>
        </w:tc>
      </w:tr>
      <w:tr>
        <w:trPr>
          <w:trHeight w:val="387"/>
        </w:trPr>
        <w:tc>
          <w:tcPr>
            <w:tcW w:w="1664" w:type="dxa"/>
            <w:vMerge/>
            <w:tcBorders>
              <w:top w:val="single" w:sz="4" w:space="0" w:color="auto"/>
              <w:left w:val="single" w:sz="4" w:space="0" w:color="auto"/>
              <w:bottom w:val="single" w:sz="4" w:space="0" w:color="auto"/>
              <w:right w:val="single" w:sz="4" w:space="0" w:color="auto"/>
            </w:tcBorders>
            <w:vAlign w:val="center"/>
            <w:hideMark/>
          </w:tcPr>
          <w:p>
            <w:pPr>
              <w:rPr>
                <w:rStyle w:val="Strong"/>
                <w:noProof/>
                <w:sz w:val="20"/>
                <w:szCs w:val="20"/>
              </w:rPr>
            </w:pPr>
          </w:p>
        </w:tc>
        <w:tc>
          <w:tcPr>
            <w:tcW w:w="3072" w:type="dxa"/>
            <w:tcBorders>
              <w:top w:val="single" w:sz="4" w:space="0" w:color="auto"/>
              <w:left w:val="single" w:sz="4" w:space="0" w:color="auto"/>
              <w:bottom w:val="single" w:sz="4" w:space="0" w:color="auto"/>
              <w:right w:val="single" w:sz="4" w:space="0" w:color="auto"/>
            </w:tcBorders>
            <w:hideMark/>
          </w:tcPr>
          <w:p>
            <w:pPr>
              <w:rPr>
                <w:noProof/>
                <w:sz w:val="20"/>
                <w:szCs w:val="20"/>
              </w:rPr>
            </w:pPr>
            <w:r>
              <w:rPr>
                <w:rFonts w:ascii="Times New Roman" w:hAnsi="Times New Roman"/>
                <w:noProof/>
                <w:sz w:val="20"/>
              </w:rPr>
              <w:t>Във връзка с операцията за бърза намеса „Посейдон“ на островите в Егейско море, държавите членки следва незабавно да предоставят персонал и оборудване, за да осигурят пълното удовлетворяване на установените от Гърция и Frontex потребности.</w:t>
            </w:r>
          </w:p>
        </w:tc>
        <w:tc>
          <w:tcPr>
            <w:tcW w:w="4685" w:type="dxa"/>
            <w:tcBorders>
              <w:top w:val="single" w:sz="4" w:space="0" w:color="auto"/>
              <w:left w:val="single" w:sz="4" w:space="0" w:color="auto"/>
              <w:bottom w:val="single" w:sz="4" w:space="0" w:color="auto"/>
              <w:right w:val="single" w:sz="4" w:space="0" w:color="auto"/>
            </w:tcBorders>
            <w:hideMark/>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noProof/>
                <w:sz w:val="20"/>
              </w:rPr>
              <w:t xml:space="preserve">Операцията за бърза намеса „Посейдон“ на островите в Егейско море беше стартирана на 28.12.2015 г. Понастоящем в операцията участват 775 командировани служители (243 членове на екипажи, 248 експерти по пръстови отпечатъци, 53 експерти по проверка, 30 квалифицирани експерти по проверка на документи, 75 устни преводачи, 16 експерти по получаване на информация, 8 служители на Frontex за подпомагане, 31 ръководители на екипи, 71 служители по координацията).  </w:t>
            </w:r>
          </w:p>
          <w:p>
            <w:pPr>
              <w:ind w:left="259" w:hanging="259"/>
              <w:rPr>
                <w:rFonts w:ascii="Times New Roman" w:hAnsi="Times New Roman" w:cs="Times New Roman"/>
                <w:noProof/>
                <w:sz w:val="20"/>
                <w:szCs w:val="20"/>
              </w:rPr>
            </w:pPr>
            <w:r>
              <w:rPr>
                <w:rFonts w:ascii="Times New Roman" w:hAnsi="Times New Roman"/>
                <w:noProof/>
                <w:sz w:val="20"/>
              </w:rPr>
              <w:t>X  Ангажиментите на държавите членки достигнаха 83% процента от заявените нужди.</w:t>
            </w:r>
          </w:p>
          <w:p>
            <w:pPr>
              <w:ind w:left="259" w:hanging="259"/>
              <w:rPr>
                <w:rFonts w:ascii="Times New Roman" w:hAnsi="Times New Roman" w:cs="Times New Roman"/>
                <w:noProof/>
                <w:sz w:val="20"/>
                <w:szCs w:val="20"/>
              </w:rPr>
            </w:pPr>
          </w:p>
        </w:tc>
      </w:tr>
      <w:tr>
        <w:trPr>
          <w:trHeight w:val="387"/>
        </w:trPr>
        <w:tc>
          <w:tcPr>
            <w:tcW w:w="1664" w:type="dxa"/>
            <w:vMerge w:val="restart"/>
            <w:tcBorders>
              <w:top w:val="single" w:sz="4" w:space="0" w:color="auto"/>
              <w:left w:val="single" w:sz="4" w:space="0" w:color="auto"/>
              <w:right w:val="single" w:sz="4" w:space="0" w:color="auto"/>
            </w:tcBorders>
            <w:vAlign w:val="center"/>
          </w:tcPr>
          <w:p>
            <w:pPr>
              <w:rPr>
                <w:rStyle w:val="Strong"/>
                <w:noProof/>
                <w:sz w:val="20"/>
                <w:szCs w:val="20"/>
              </w:rPr>
            </w:pPr>
            <w:r>
              <w:rPr>
                <w:rFonts w:ascii="Times New Roman" w:hAnsi="Times New Roman"/>
                <w:b/>
                <w:smallCaps/>
                <w:noProof/>
                <w:sz w:val="20"/>
              </w:rPr>
              <w:t>Капацитет за приемане</w:t>
            </w:r>
          </w:p>
        </w:tc>
        <w:tc>
          <w:tcPr>
            <w:tcW w:w="3072" w:type="dxa"/>
            <w:tcBorders>
              <w:top w:val="single" w:sz="4" w:space="0" w:color="auto"/>
              <w:left w:val="single" w:sz="4" w:space="0" w:color="auto"/>
              <w:bottom w:val="single" w:sz="4" w:space="0" w:color="auto"/>
              <w:right w:val="single" w:sz="4" w:space="0" w:color="auto"/>
            </w:tcBorders>
          </w:tcPr>
          <w:p>
            <w:pPr>
              <w:pStyle w:val="NormalWeb"/>
              <w:spacing w:before="0" w:beforeAutospacing="0" w:after="0" w:afterAutospacing="0"/>
              <w:rPr>
                <w:rFonts w:eastAsiaTheme="minorHAnsi"/>
                <w:noProof/>
                <w:sz w:val="20"/>
                <w:szCs w:val="20"/>
              </w:rPr>
            </w:pPr>
            <w:r>
              <w:rPr>
                <w:rFonts w:eastAsiaTheme="minorHAnsi"/>
                <w:noProof/>
                <w:sz w:val="20"/>
              </w:rPr>
              <w:t>Гърция трябва бързо да приключи изграждането на всички 7 000 места за приемане на петте острова, които са обявени за „горещи точки“.</w:t>
            </w:r>
          </w:p>
          <w:p>
            <w:pPr>
              <w:pStyle w:val="NormalWeb"/>
              <w:spacing w:before="0" w:beforeAutospacing="0" w:after="0" w:afterAutospacing="0"/>
              <w:rPr>
                <w:rFonts w:eastAsiaTheme="minorHAnsi"/>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cs="Times New Roman"/>
                <w:noProof/>
                <w:sz w:val="20"/>
                <w:szCs w:val="20"/>
              </w:rPr>
              <w:t>Местата в „горещите точки“ следва да бъдат на разположение след приключването на строителните работи.</w:t>
            </w:r>
            <w:r>
              <w:rPr>
                <w:rFonts w:ascii="Times New Roman" w:hAnsi="Times New Roman"/>
                <w:noProof/>
                <w:sz w:val="20"/>
                <w:highlight w:val="cyan"/>
              </w:rPr>
              <w:t xml:space="preserve"> </w:t>
            </w:r>
          </w:p>
        </w:tc>
      </w:tr>
      <w:tr>
        <w:trPr>
          <w:trHeight w:val="387"/>
        </w:trPr>
        <w:tc>
          <w:tcPr>
            <w:tcW w:w="1664" w:type="dxa"/>
            <w:vMerge/>
            <w:tcBorders>
              <w:left w:val="single" w:sz="4" w:space="0" w:color="auto"/>
              <w:right w:val="single" w:sz="4" w:space="0" w:color="auto"/>
            </w:tcBorders>
            <w:vAlign w:val="center"/>
          </w:tcPr>
          <w:p>
            <w:pPr>
              <w:rPr>
                <w:rFonts w:ascii="Times New Roman" w:hAnsi="Times New Roman" w:cs="Times New Roman"/>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Гърция трябва да подобри приемането на уязвимите групи, по-специално на непридружените ненавършили пълнолетие лица. </w:t>
            </w: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noProof/>
                <w:sz w:val="20"/>
              </w:rPr>
              <w:t xml:space="preserve">УНИЦЕФ, ВКБООН и организацията „Спасете децата“ стартираха пилотен проект в Кос, Лесбос и Идомени за осигуряване на специални грижи за ненавършили пълнолетие лица. Планира се проектът да обхване също така Самос и Лерос. </w:t>
            </w:r>
          </w:p>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noProof/>
                <w:sz w:val="20"/>
              </w:rPr>
              <w:t>Като последна стъпка от процедурата за регистрация във всички „горещи точки“ се предвижда медицински преглед.</w:t>
            </w:r>
          </w:p>
          <w:p>
            <w:pPr>
              <w:ind w:left="259" w:hanging="259"/>
              <w:rPr>
                <w:rFonts w:ascii="Times New Roman" w:hAnsi="Times New Roman" w:cs="Times New Roman"/>
                <w:noProof/>
                <w:sz w:val="20"/>
                <w:szCs w:val="20"/>
              </w:rPr>
            </w:pPr>
            <w:r>
              <w:rPr>
                <w:rFonts w:ascii="Times New Roman" w:hAnsi="Times New Roman"/>
                <w:noProof/>
                <w:sz w:val="20"/>
              </w:rPr>
              <w:t>X  Гърция следва да определи специални места за настаняване на ненавършили пълнолетие лица и други уязвими групи, след като те бъдат прехвърлени от островите.</w:t>
            </w:r>
          </w:p>
          <w:p>
            <w:pPr>
              <w:rPr>
                <w:rFonts w:ascii="Times New Roman" w:hAnsi="Times New Roman" w:cs="Times New Roman"/>
                <w:noProof/>
                <w:sz w:val="20"/>
                <w:szCs w:val="20"/>
              </w:rPr>
            </w:pPr>
          </w:p>
        </w:tc>
      </w:tr>
      <w:tr>
        <w:trPr>
          <w:trHeight w:val="387"/>
        </w:trPr>
        <w:tc>
          <w:tcPr>
            <w:tcW w:w="1664" w:type="dxa"/>
            <w:vMerge/>
            <w:tcBorders>
              <w:left w:val="single" w:sz="4" w:space="0" w:color="auto"/>
              <w:right w:val="single" w:sz="4" w:space="0" w:color="auto"/>
            </w:tcBorders>
            <w:vAlign w:val="center"/>
          </w:tcPr>
          <w:p>
            <w:pPr>
              <w:rPr>
                <w:rFonts w:ascii="Times New Roman" w:hAnsi="Times New Roman" w:cs="Times New Roman"/>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Трябва да бъдат намерени повече структурни решения относно осигуряването на храна и задоволяването на други основни потребности в структурите за приемане. </w:t>
            </w:r>
          </w:p>
          <w:p>
            <w:pPr>
              <w:rPr>
                <w:rFonts w:ascii="Times New Roman" w:hAnsi="Times New Roman" w:cs="Times New Roman"/>
                <w:noProof/>
                <w:sz w:val="20"/>
                <w:szCs w:val="20"/>
              </w:rPr>
            </w:pP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cs="Times New Roman"/>
                <w:noProof/>
                <w:sz w:val="20"/>
                <w:szCs w:val="20"/>
              </w:rPr>
              <w:t>Гръцките органи изготвят рамков договор за предоставяне на услуги за приготвяне и доставяне на храна за структурите за приемане за периода 2016—2018 г.</w:t>
            </w:r>
          </w:p>
        </w:tc>
      </w:tr>
      <w:tr>
        <w:trPr>
          <w:trHeight w:val="1828"/>
        </w:trPr>
        <w:tc>
          <w:tcPr>
            <w:tcW w:w="1664" w:type="dxa"/>
            <w:vMerge/>
            <w:tcBorders>
              <w:left w:val="single" w:sz="4" w:space="0" w:color="auto"/>
              <w:right w:val="single" w:sz="4" w:space="0" w:color="auto"/>
            </w:tcBorders>
            <w:vAlign w:val="center"/>
          </w:tcPr>
          <w:p>
            <w:pPr>
              <w:rPr>
                <w:rFonts w:ascii="Times New Roman" w:hAnsi="Times New Roman" w:cs="Times New Roman"/>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Гърция следва да продължи да повишава своя капацитет за приемане в съответствие с ангажиментите, поети на срещата на високо равнище, посветена на маршрута през Западните Балкани. </w:t>
            </w: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noProof/>
                <w:sz w:val="20"/>
                <w:szCs w:val="20"/>
              </w:rPr>
            </w:pPr>
            <w:r>
              <w:rPr>
                <w:rFonts w:ascii="Times New Roman" w:hAnsi="Times New Roman" w:cs="Times New Roman"/>
                <w:noProof/>
                <w:sz w:val="20"/>
                <w:szCs w:val="20"/>
              </w:rPr>
              <w:sym w:font="Wingdings" w:char="F0FC"/>
            </w:r>
            <w:r>
              <w:rPr>
                <w:noProof/>
              </w:rPr>
              <w:t xml:space="preserve">  </w:t>
            </w:r>
            <w:r>
              <w:rPr>
                <w:rFonts w:ascii="Times New Roman" w:hAnsi="Times New Roman"/>
                <w:noProof/>
                <w:sz w:val="20"/>
              </w:rPr>
              <w:t xml:space="preserve">В допълнение към 7 181 места, които към момента са на разположение в рамките на временни и по-дългосрочни структури за прием на източните острови в Егейско море, Гърция разполага с 10 447 места в континенталната част на страната. Следователно общият брой на наличните места за приемане в Гърция понастоящем е 17 628. </w:t>
            </w:r>
          </w:p>
          <w:p>
            <w:pPr>
              <w:rPr>
                <w:rFonts w:ascii="Times New Roman" w:hAnsi="Times New Roman" w:cs="Times New Roman"/>
                <w:noProof/>
                <w:sz w:val="20"/>
                <w:szCs w:val="20"/>
              </w:rPr>
            </w:pPr>
          </w:p>
          <w:p>
            <w:pPr>
              <w:ind w:left="259"/>
              <w:rPr>
                <w:rFonts w:ascii="Times New Roman" w:hAnsi="Times New Roman" w:cs="Times New Roman"/>
                <w:noProof/>
                <w:sz w:val="20"/>
                <w:szCs w:val="20"/>
              </w:rPr>
            </w:pPr>
            <w:r>
              <w:rPr>
                <w:rFonts w:ascii="Times New Roman" w:hAnsi="Times New Roman"/>
                <w:noProof/>
                <w:sz w:val="20"/>
              </w:rPr>
              <w:t>Измежду разположените в континенталната част на страната 10 447 места:</w:t>
            </w:r>
          </w:p>
          <w:p>
            <w:pPr>
              <w:pStyle w:val="ListParagraph"/>
              <w:numPr>
                <w:ilvl w:val="0"/>
                <w:numId w:val="7"/>
              </w:numPr>
              <w:ind w:left="401" w:hanging="142"/>
              <w:rPr>
                <w:rFonts w:ascii="Times New Roman" w:hAnsi="Times New Roman" w:cs="Times New Roman"/>
                <w:noProof/>
                <w:sz w:val="20"/>
                <w:szCs w:val="20"/>
              </w:rPr>
            </w:pPr>
            <w:r>
              <w:rPr>
                <w:rFonts w:ascii="Times New Roman" w:hAnsi="Times New Roman"/>
                <w:noProof/>
                <w:sz w:val="20"/>
              </w:rPr>
              <w:t>1 840 места са налични в структури за приемане от първа линия;</w:t>
            </w:r>
          </w:p>
          <w:p>
            <w:pPr>
              <w:pStyle w:val="ListParagraph"/>
              <w:numPr>
                <w:ilvl w:val="0"/>
                <w:numId w:val="7"/>
              </w:numPr>
              <w:ind w:left="401" w:hanging="142"/>
              <w:rPr>
                <w:rFonts w:ascii="Times New Roman" w:hAnsi="Times New Roman" w:cs="Times New Roman"/>
                <w:noProof/>
                <w:sz w:val="20"/>
                <w:szCs w:val="20"/>
              </w:rPr>
            </w:pPr>
            <w:r>
              <w:rPr>
                <w:rFonts w:ascii="Times New Roman" w:hAnsi="Times New Roman"/>
                <w:noProof/>
                <w:sz w:val="20"/>
              </w:rPr>
              <w:t xml:space="preserve">1 190 места са налични в структури за приемане от втора линия за кандидати за международна закрила; </w:t>
            </w:r>
          </w:p>
          <w:p>
            <w:pPr>
              <w:pStyle w:val="ListParagraph"/>
              <w:numPr>
                <w:ilvl w:val="0"/>
                <w:numId w:val="7"/>
              </w:numPr>
              <w:ind w:left="401" w:hanging="142"/>
              <w:rPr>
                <w:rFonts w:ascii="Times New Roman" w:hAnsi="Times New Roman" w:cs="Times New Roman"/>
                <w:noProof/>
                <w:sz w:val="20"/>
                <w:szCs w:val="20"/>
              </w:rPr>
            </w:pPr>
            <w:r>
              <w:rPr>
                <w:rFonts w:ascii="Times New Roman" w:hAnsi="Times New Roman"/>
                <w:noProof/>
                <w:sz w:val="20"/>
              </w:rPr>
              <w:t>5 707 места са налични в центрове за настаняване преди извеждане;</w:t>
            </w:r>
          </w:p>
          <w:p>
            <w:pPr>
              <w:pStyle w:val="ListParagraph"/>
              <w:numPr>
                <w:ilvl w:val="0"/>
                <w:numId w:val="7"/>
              </w:numPr>
              <w:ind w:left="401" w:hanging="142"/>
              <w:rPr>
                <w:rFonts w:ascii="Times New Roman" w:hAnsi="Times New Roman" w:cs="Times New Roman"/>
                <w:noProof/>
                <w:sz w:val="20"/>
                <w:szCs w:val="20"/>
              </w:rPr>
            </w:pPr>
            <w:r>
              <w:rPr>
                <w:rFonts w:ascii="Times New Roman" w:hAnsi="Times New Roman"/>
                <w:noProof/>
                <w:sz w:val="20"/>
              </w:rPr>
              <w:t>110 места са налични в специална структура от отворен тип за мигранти по програмата за подпомагане на доброволното връщане;</w:t>
            </w:r>
          </w:p>
          <w:p>
            <w:pPr>
              <w:pStyle w:val="ListParagraph"/>
              <w:numPr>
                <w:ilvl w:val="0"/>
                <w:numId w:val="7"/>
              </w:numPr>
              <w:ind w:left="401" w:hanging="142"/>
              <w:rPr>
                <w:rFonts w:ascii="Times New Roman" w:hAnsi="Times New Roman" w:cs="Times New Roman"/>
                <w:noProof/>
                <w:sz w:val="20"/>
                <w:szCs w:val="20"/>
              </w:rPr>
            </w:pPr>
            <w:r>
              <w:rPr>
                <w:rFonts w:ascii="Times New Roman" w:hAnsi="Times New Roman"/>
                <w:noProof/>
                <w:sz w:val="20"/>
              </w:rPr>
              <w:t>1 600 места са налични във временните структури на границата между Гърция и бившата югославска република Македония.</w:t>
            </w:r>
          </w:p>
          <w:p>
            <w:pPr>
              <w:ind w:left="259"/>
              <w:rPr>
                <w:rFonts w:ascii="Times New Roman" w:hAnsi="Times New Roman" w:cs="Times New Roman"/>
                <w:noProof/>
                <w:sz w:val="20"/>
                <w:szCs w:val="20"/>
              </w:rPr>
            </w:pPr>
          </w:p>
          <w:p>
            <w:pPr>
              <w:ind w:left="259"/>
              <w:rPr>
                <w:rFonts w:ascii="Times New Roman" w:hAnsi="Times New Roman" w:cs="Times New Roman"/>
                <w:noProof/>
                <w:sz w:val="20"/>
                <w:szCs w:val="20"/>
              </w:rPr>
            </w:pPr>
            <w:r>
              <w:rPr>
                <w:rFonts w:ascii="Times New Roman" w:hAnsi="Times New Roman"/>
                <w:noProof/>
                <w:sz w:val="20"/>
              </w:rPr>
              <w:t>Освен това ВКБООН подписа споразумение за изпълнение с НПО Praksis. 14 950 места са определени съгласно ваучерната схема.</w:t>
            </w:r>
          </w:p>
          <w:p>
            <w:pPr>
              <w:ind w:left="259"/>
              <w:rPr>
                <w:rFonts w:ascii="Times New Roman" w:hAnsi="Times New Roman" w:cs="Times New Roman"/>
                <w:noProof/>
                <w:sz w:val="20"/>
                <w:szCs w:val="20"/>
              </w:rPr>
            </w:pPr>
          </w:p>
          <w:p>
            <w:pPr>
              <w:ind w:left="259"/>
              <w:rPr>
                <w:rFonts w:ascii="Times New Roman" w:hAnsi="Times New Roman" w:cs="Times New Roman"/>
                <w:noProof/>
                <w:sz w:val="20"/>
                <w:szCs w:val="20"/>
              </w:rPr>
            </w:pPr>
            <w:r>
              <w:rPr>
                <w:rFonts w:ascii="Times New Roman" w:hAnsi="Times New Roman"/>
                <w:noProof/>
                <w:sz w:val="20"/>
              </w:rPr>
              <w:t>В близко бъдеще се планира да бъде осигурен следният капацитет:</w:t>
            </w:r>
          </w:p>
          <w:p>
            <w:pPr>
              <w:pStyle w:val="ListParagraph"/>
              <w:numPr>
                <w:ilvl w:val="0"/>
                <w:numId w:val="8"/>
              </w:numPr>
              <w:ind w:left="401" w:hanging="142"/>
              <w:rPr>
                <w:rFonts w:ascii="Times New Roman" w:hAnsi="Times New Roman" w:cs="Times New Roman"/>
                <w:noProof/>
                <w:sz w:val="20"/>
                <w:szCs w:val="20"/>
              </w:rPr>
            </w:pPr>
            <w:r>
              <w:rPr>
                <w:rFonts w:ascii="Times New Roman" w:hAnsi="Times New Roman"/>
                <w:noProof/>
                <w:sz w:val="20"/>
              </w:rPr>
              <w:t xml:space="preserve">Според представители на гръцката национална отбрана до 15 февруари ще бъде осигурен допълнителен капацитет за приемане от 1 500 места в Диавата и още 1 500 места в Схистос. Броят на тези места постепенно ще бъде увеличен до 4000 във всеки един от тези лагери (общо 8000 места). Гърция подаде искане за спешно финансиране за закупуването 1 150 сглобяеми къщи за тези места. Оценката е в напреднал етап с оглед на това да бъде сключен договор през втората седмица на февруари 2016 г. До поръчването и разполагането на тези сглобяеми къщи на новите места гръцките органи възнамеряват да разположат там отоплявани палатки. </w:t>
            </w:r>
          </w:p>
          <w:p>
            <w:pPr>
              <w:rPr>
                <w:rFonts w:ascii="Times New Roman" w:hAnsi="Times New Roman" w:cs="Times New Roman"/>
                <w:noProof/>
                <w:sz w:val="20"/>
                <w:szCs w:val="20"/>
              </w:rPr>
            </w:pPr>
          </w:p>
          <w:p>
            <w:pPr>
              <w:ind w:left="259" w:hanging="259"/>
              <w:rPr>
                <w:rFonts w:ascii="Times New Roman" w:hAnsi="Times New Roman" w:cs="Times New Roman"/>
                <w:noProof/>
                <w:sz w:val="20"/>
                <w:szCs w:val="20"/>
              </w:rPr>
            </w:pPr>
            <w:r>
              <w:rPr>
                <w:rFonts w:ascii="Times New Roman" w:hAnsi="Times New Roman"/>
                <w:noProof/>
                <w:sz w:val="20"/>
              </w:rPr>
              <w:t>X  Гръцките органи следва допълнително да увеличат своя капацитет за приемане, така че да достигнат целта от общо 30 000 места за настаняване на незаконни мигранти и кандидати за международна закрила, включително лица, на които предстои да бъдат преместени, за да изпълнят своя ангажимент съгласно изявлението, прието на срещата на високо равнище, посветена на маршрута през Западните Балкани. В допълнение към това ВКБООН следва да продължи да сключва споразумения за изпълнение, за да да постигне целта от 20 000 места по схемата за наемане.</w:t>
            </w:r>
          </w:p>
          <w:p>
            <w:pPr>
              <w:ind w:left="259" w:hanging="259"/>
              <w:rPr>
                <w:rFonts w:ascii="Times New Roman" w:hAnsi="Times New Roman" w:cs="Times New Roman"/>
                <w:noProof/>
                <w:sz w:val="20"/>
                <w:szCs w:val="20"/>
              </w:rPr>
            </w:pPr>
            <w:r>
              <w:rPr>
                <w:rFonts w:ascii="Times New Roman" w:hAnsi="Times New Roman"/>
                <w:noProof/>
                <w:sz w:val="20"/>
              </w:rPr>
              <w:t>Х  Очаква се отговор на писмото на комисар Аврамопулос за изясняване на настоящото положение (местоположения, капацитет и запълване на капацитета).</w:t>
            </w:r>
          </w:p>
          <w:p>
            <w:pPr>
              <w:ind w:left="259" w:hanging="259"/>
              <w:rPr>
                <w:rFonts w:ascii="Times New Roman" w:hAnsi="Times New Roman" w:cs="Times New Roman"/>
                <w:noProof/>
                <w:sz w:val="20"/>
                <w:szCs w:val="20"/>
              </w:rPr>
            </w:pPr>
          </w:p>
        </w:tc>
      </w:tr>
      <w:tr>
        <w:trPr>
          <w:trHeight w:val="387"/>
        </w:trPr>
        <w:tc>
          <w:tcPr>
            <w:tcW w:w="1664" w:type="dxa"/>
            <w:vMerge/>
            <w:tcBorders>
              <w:left w:val="single" w:sz="4" w:space="0" w:color="auto"/>
              <w:bottom w:val="single" w:sz="4" w:space="0" w:color="auto"/>
              <w:right w:val="single" w:sz="4" w:space="0" w:color="auto"/>
            </w:tcBorders>
            <w:vAlign w:val="center"/>
          </w:tcPr>
          <w:p>
            <w:pPr>
              <w:rPr>
                <w:rFonts w:ascii="Times New Roman" w:hAnsi="Times New Roman" w:cs="Times New Roman"/>
                <w:b/>
                <w:smallCaps/>
                <w:noProof/>
                <w:sz w:val="20"/>
                <w:szCs w:val="20"/>
              </w:rPr>
            </w:pPr>
          </w:p>
        </w:tc>
        <w:tc>
          <w:tcPr>
            <w:tcW w:w="3072"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noProof/>
                <w:sz w:val="20"/>
                <w:szCs w:val="20"/>
              </w:rPr>
            </w:pPr>
            <w:r>
              <w:rPr>
                <w:rFonts w:ascii="Times New Roman" w:hAnsi="Times New Roman"/>
                <w:noProof/>
                <w:sz w:val="20"/>
              </w:rPr>
              <w:t xml:space="preserve">Държавите членки следва да отговорят незабавно на искането за помощ, отправено чрез Механизма за гражданска защита на Съюза. </w:t>
            </w:r>
          </w:p>
        </w:tc>
        <w:tc>
          <w:tcPr>
            <w:tcW w:w="4685" w:type="dxa"/>
            <w:tcBorders>
              <w:top w:val="single" w:sz="4" w:space="0" w:color="auto"/>
              <w:left w:val="single" w:sz="4" w:space="0" w:color="auto"/>
              <w:bottom w:val="single" w:sz="4" w:space="0" w:color="auto"/>
              <w:right w:val="single" w:sz="4" w:space="0" w:color="auto"/>
            </w:tcBorders>
          </w:tcPr>
          <w:p>
            <w:pPr>
              <w:ind w:left="259" w:hanging="259"/>
              <w:rPr>
                <w:rFonts w:ascii="Times New Roman" w:hAnsi="Times New Roman" w:cs="Times New Roman"/>
                <w:noProof/>
                <w:sz w:val="20"/>
                <w:szCs w:val="20"/>
              </w:rPr>
            </w:pPr>
            <w:r>
              <w:rPr>
                <w:rFonts w:ascii="Times New Roman" w:hAnsi="Times New Roman"/>
                <w:noProof/>
                <w:sz w:val="20"/>
              </w:rPr>
              <w:t xml:space="preserve">X  Едва 9 държави членки предложиха помощ в натура в контекста на Механизма за гражданска защита на Съюза. </w:t>
            </w:r>
          </w:p>
          <w:p>
            <w:pPr>
              <w:ind w:left="259" w:hanging="259"/>
              <w:rPr>
                <w:rFonts w:ascii="Times New Roman" w:hAnsi="Times New Roman" w:cs="Times New Roman"/>
                <w:noProof/>
                <w:sz w:val="20"/>
                <w:szCs w:val="20"/>
              </w:rPr>
            </w:pPr>
          </w:p>
        </w:tc>
      </w:tr>
    </w:tbl>
    <w:p>
      <w:pPr>
        <w:rPr>
          <w:rFonts w:ascii="Times New Roman" w:hAnsi="Times New Roman" w:cs="Times New Roman"/>
          <w:noProof/>
          <w:color w:val="1F497D"/>
          <w:sz w:val="20"/>
          <w:szCs w:val="20"/>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444742"/>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01D"/>
    <w:multiLevelType w:val="hybridMultilevel"/>
    <w:tmpl w:val="471C7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CA78DE"/>
    <w:multiLevelType w:val="hybridMultilevel"/>
    <w:tmpl w:val="C9D2FC1C"/>
    <w:lvl w:ilvl="0" w:tplc="0809000F">
      <w:start w:val="1"/>
      <w:numFmt w:val="decimal"/>
      <w:lvlText w:val="%1."/>
      <w:lvlJc w:val="left"/>
      <w:pPr>
        <w:ind w:left="720" w:hanging="720"/>
      </w:pPr>
      <w:rPr>
        <w:rFonts w:hint="default"/>
      </w:rPr>
    </w:lvl>
    <w:lvl w:ilvl="1" w:tplc="D9587DE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AB61FE"/>
    <w:multiLevelType w:val="hybridMultilevel"/>
    <w:tmpl w:val="09F691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707247A"/>
    <w:multiLevelType w:val="hybridMultilevel"/>
    <w:tmpl w:val="4420DA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BE01D6F"/>
    <w:multiLevelType w:val="hybridMultilevel"/>
    <w:tmpl w:val="68E6C1A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E9723FC"/>
    <w:multiLevelType w:val="hybridMultilevel"/>
    <w:tmpl w:val="57B407DA"/>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6">
    <w:nsid w:val="6BB00FF0"/>
    <w:multiLevelType w:val="hybridMultilevel"/>
    <w:tmpl w:val="310A97C6"/>
    <w:lvl w:ilvl="0" w:tplc="08090001">
      <w:start w:val="1"/>
      <w:numFmt w:val="bullet"/>
      <w:lvlText w:val=""/>
      <w:lvlJc w:val="left"/>
      <w:pPr>
        <w:ind w:left="979" w:hanging="360"/>
      </w:pPr>
      <w:rPr>
        <w:rFonts w:ascii="Symbol" w:hAnsi="Symbol"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7">
    <w:nsid w:val="7A7C4D09"/>
    <w:multiLevelType w:val="hybridMultilevel"/>
    <w:tmpl w:val="8DD00E4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u1082?\u1098?\u1084?"/>
    <w:docVar w:name="LW_ANNEX_NBR_FIRST" w:val="2"/>
    <w:docVar w:name="LW_ANNEX_NBR_LAST" w:val="2"/>
    <w:docVar w:name="LW_CONFIDENCE" w:val=" "/>
    <w:docVar w:name="LW_CONST_RESTREINT_UE" w:val="RESTREINT UE"/>
    <w:docVar w:name="LW_CORRIGENDUM" w:val="&lt;UNUSED&gt;"/>
    <w:docVar w:name="LW_COVERPAGE_GUID" w:val="7A853926A4084B578551D91913D410B6"/>
    <w:docVar w:name="LW_CROSSREFERENCE" w:val="&lt;UNUSED&gt;"/>
    <w:docVar w:name="LW_DocType" w:val="NORMAL"/>
    <w:docVar w:name="LW_EMISSION" w:val="10.2.2016"/>
    <w:docVar w:name="LW_EMISSION_ISODATE" w:val="2016-02-10"/>
    <w:docVar w:name="LW_EMISSION_LOCATION" w:val="BRX"/>
    <w:docVar w:name="LW_EMISSION_PREFIX" w:val="Брюксел, "/>
    <w:docVar w:name="LW_EMISSION_SUFFIX" w:val=" \u1075?."/>
    <w:docVar w:name="LW_ID_DOCTYPE_NONLW" w:val="CP-039"/>
    <w:docVar w:name="LW_LANGUE" w:val="BG"/>
    <w:docVar w:name="LW_MARKING" w:val="&lt;UNUSED&gt;"/>
    <w:docVar w:name="LW_NOM.INST" w:val="\u1045?\u1042?\u1056?\u1054?\u1055?\u1045?\u1049?\u1057?\u1050?\u1040? \u1050?\u1054?\u1052?\u1048?\u1057?\u1048?\u1071?"/>
    <w:docVar w:name="LW_NOM.INST_JOINTDOC" w:val="&lt;EMPTY&gt;"/>
    <w:docVar w:name="LW_OBJETACTEPRINCIPAL.CP" w:val="\u1043?\u1098?\u1088?\u1094?\u1080?\u1103? - \u1076?\u1086?\u1082?\u1083?\u1072?\u1076? \u1079?\u1072? \u1072?\u1082?\u1090?\u1091?\u1072?\u1083?\u1085?\u1086?\u1090?\u1086? \u1089?\u1098?\u1089?\u1090?\u1086?\u1103?\u1085?\u1080?\u1077?"/>
    <w:docVar w:name="LW_PART_NBR" w:val="1"/>
    <w:docVar w:name="LW_PART_NBR_TOTAL" w:val="1"/>
    <w:docVar w:name="LW_REF.INST.NEW" w:val="COM"/>
    <w:docVar w:name="LW_REF.INST.NEW_ADOPTED" w:val="final"/>
    <w:docVar w:name="LW_REF.INST.NEW_TEXT" w:val="(2016) 85"/>
    <w:docVar w:name="LW_REF.INTERNE" w:val="&lt;UNUSED&gt;"/>
    <w:docVar w:name="LW_SUPERTITRE" w:val="&lt;UNUSED&gt;"/>
    <w:docVar w:name="LW_TITRE.OBJ.CP" w:val="&lt;UNUSED&gt;"/>
    <w:docVar w:name="LW_TYPE.DOC.CP" w:val="\u1055?\u1056?\u1048?\u1051?\u1054?\u1046?\u1045?\u1053?\u1048?\u1045?_x000b_"/>
    <w:docVar w:name="LW_TYPEACTEPRINCIPAL.CP" w:val="\u1057?\u1098?\u1086?\u1073?\u1097?\u1077?\u1085?\u1080?\u1077? \u1085?\u1072? \u1050?\u1086?\u1084?\u1080?\u1089?\u1080?\u1103?\u1090?\u1072? \u1076?\u1086? \u1045?\u1074?\u1088?\u1086?\u1087?\u1077?\u1081?\u1089?\u1082?\u1080?\u1103? \u1087?\u1072?\u1088?\u1083?\u1072?\u1084?\u1077?\u1085?\u1090? \u1080? \u1057?\u1098?\u1074?\u1077?\u1090?\u1072? \u1086?\u1090?\u1085?\u1086?\u1089?\u1085?\u1086? \u1072?\u1082?\u1090?\u1091?\u1072?\u1083?\u1085?\u1086?\u1090?\u1086? \u1089?\u1098?\u1089?\u1090?\u1086?\u1103?\u1085?\u1080?\u1077? \u1074?\u1098?\u1074? \u1074?\u1088?\u1098?\u1079?\u1082?\u1072? \u1089? \u1080?\u1079?\u1087?\u1098?\u1083?\u1085?\u1077?\u1085?\u1080?\u1077?\u1090?\u1086? \u1085?\u1072? \u1087?\u1088?\u1080?\u1086?\u1088?\u1080?\u1090?\u1077?\u1090?\u1085?\u1080?\u1090?\u1077? \u1076?\u1077?\u1081?\u1089?\u1090?\u1074?\u1080?\u1103? \u1074? \u1088?\u1072?\u1084?\u1082?\u1080?\u1090?\u1077? \u1085?\u1072? \u1045?\u1074?\u1088?\u1086?\u1087?\u1077?\u1081?\u1089?\u1082?\u1072?\u1090?\u1072? \u1087?\u1088?\u1086?\u1075?\u1088?\u1072?\u1084?\u1072? \u1079?\u1072? \u1084?\u1080?\u1075?\u1088?\u1072?\u1094?\u1080?\u1103?\u1090?\u107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Leipteksti">
    <w:name w:val="Leipäteksti"/>
    <w:uiPriority w:val="99"/>
    <w:pPr>
      <w:spacing w:after="0" w:line="240" w:lineRule="auto"/>
    </w:pPr>
    <w:rPr>
      <w:rFonts w:ascii="Calibri" w:eastAsia="Calibri" w:hAnsi="Calibri" w:cs="Calibri"/>
      <w:color w:val="000000"/>
      <w:sz w:val="24"/>
      <w:szCs w:val="24"/>
      <w:u w:color="000000"/>
    </w:rPr>
  </w:style>
  <w:style w:type="table" w:styleId="TableGrid">
    <w:name w:val="Table Grid"/>
    <w:basedOn w:val="TableNormal"/>
    <w:uiPriority w:val="59"/>
    <w:pPr>
      <w:spacing w:after="0" w:line="240" w:lineRule="auto"/>
    </w:pPr>
    <w:rPr>
      <w:bdr w:val="none" w:sz="0" w:space="0" w:color="auto" w:fram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rFonts w:ascii="Times New Roman" w:hAnsi="Times New Roman" w:cs="Times New Roman" w:hint="default"/>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Leipteksti">
    <w:name w:val="Leipäteksti"/>
    <w:uiPriority w:val="99"/>
    <w:pPr>
      <w:spacing w:after="0" w:line="240" w:lineRule="auto"/>
    </w:pPr>
    <w:rPr>
      <w:rFonts w:ascii="Calibri" w:eastAsia="Calibri" w:hAnsi="Calibri" w:cs="Calibri"/>
      <w:color w:val="000000"/>
      <w:sz w:val="24"/>
      <w:szCs w:val="24"/>
      <w:u w:color="000000"/>
    </w:rPr>
  </w:style>
  <w:style w:type="table" w:styleId="TableGrid">
    <w:name w:val="Table Grid"/>
    <w:basedOn w:val="TableNormal"/>
    <w:uiPriority w:val="59"/>
    <w:pPr>
      <w:spacing w:after="0" w:line="240" w:lineRule="auto"/>
    </w:pPr>
    <w:rPr>
      <w:bdr w:val="none" w:sz="0" w:space="0" w:color="auto" w:fram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rFonts w:ascii="Times New Roman" w:hAnsi="Times New Roman" w:cs="Times New Roman" w:hint="default"/>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898972">
      <w:bodyDiv w:val="1"/>
      <w:marLeft w:val="0"/>
      <w:marRight w:val="0"/>
      <w:marTop w:val="0"/>
      <w:marBottom w:val="0"/>
      <w:divBdr>
        <w:top w:val="none" w:sz="0" w:space="0" w:color="auto"/>
        <w:left w:val="none" w:sz="0" w:space="0" w:color="auto"/>
        <w:bottom w:val="none" w:sz="0" w:space="0" w:color="auto"/>
        <w:right w:val="none" w:sz="0" w:space="0" w:color="auto"/>
      </w:divBdr>
    </w:div>
    <w:div w:id="1208878165">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753771618">
      <w:bodyDiv w:val="1"/>
      <w:marLeft w:val="0"/>
      <w:marRight w:val="0"/>
      <w:marTop w:val="0"/>
      <w:marBottom w:val="0"/>
      <w:divBdr>
        <w:top w:val="none" w:sz="0" w:space="0" w:color="auto"/>
        <w:left w:val="none" w:sz="0" w:space="0" w:color="auto"/>
        <w:bottom w:val="none" w:sz="0" w:space="0" w:color="auto"/>
        <w:right w:val="none" w:sz="0" w:space="0" w:color="auto"/>
      </w:divBdr>
    </w:div>
    <w:div w:id="18634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782E-6437-4D14-ADB4-8687F60A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4062</Words>
  <Characters>23684</Characters>
  <Application>Microsoft Office Word</Application>
  <DocSecurity>0</DocSecurity>
  <Lines>910</Lines>
  <Paragraphs>157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DE LANDA Rosa Maria (SG)</dc:creator>
  <cp:lastModifiedBy>DIGIT/A3</cp:lastModifiedBy>
  <cp:revision>18</cp:revision>
  <cp:lastPrinted>2016-02-09T16:45:00Z</cp:lastPrinted>
  <dcterms:created xsi:type="dcterms:W3CDTF">2016-02-09T17:21:00Z</dcterms:created>
  <dcterms:modified xsi:type="dcterms:W3CDTF">2016-02-17T11:27:00Z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DocStatus">
    <vt:lpwstr>Green</vt:lpwstr>
  </property>
</Properties>
</file>