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7E0D08F40094E738B9CE7BA091464C1" style="width:450.6pt;height:406.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Текущи дейности, които допринасят за защитата на децата мигранти</w:t>
      </w:r>
    </w:p>
    <w:p>
      <w:pPr>
        <w:spacing w:after="120" w:line="240" w:lineRule="auto"/>
        <w:jc w:val="both"/>
        <w:rPr>
          <w:rFonts w:ascii="Times New Roman" w:eastAsia="Times New Roman" w:hAnsi="Times New Roman" w:cs="Times New Roman"/>
          <w:noProof/>
        </w:rPr>
      </w:pPr>
    </w:p>
    <w:p>
      <w:pPr>
        <w:spacing w:before="120" w:after="120" w:line="240" w:lineRule="auto"/>
        <w:jc w:val="both"/>
        <w:rPr>
          <w:rFonts w:ascii="Times New Roman" w:hAnsi="Times New Roman" w:cs="Times New Roman"/>
          <w:noProof/>
        </w:rPr>
      </w:pPr>
      <w:r>
        <w:rPr>
          <w:rFonts w:ascii="Times New Roman" w:hAnsi="Times New Roman"/>
          <w:noProof/>
        </w:rPr>
        <w:t>Европейската програма за миграцията поставя особен акцент върху необходимостта от защита на децата мигранти. Настоящото приложение обобщава актуалното състояние на текущите действия, в това число работата по завършване на изпълнението на плана за действие относно непридружени непълнолетни лица (2010—2014 г.)</w:t>
      </w:r>
      <w:r>
        <w:rPr>
          <w:rFonts w:ascii="Times New Roman" w:hAnsi="Times New Roman"/>
          <w:noProof/>
          <w:vertAlign w:val="superscript"/>
        </w:rPr>
        <w:footnoteReference w:id="1"/>
      </w:r>
      <w:r>
        <w:rPr>
          <w:rFonts w:ascii="Times New Roman" w:hAnsi="Times New Roman"/>
          <w:noProof/>
        </w:rPr>
        <w:t xml:space="preserve">, за което Комисията ще направи оценка и доклад по-късно тази година. </w:t>
      </w:r>
    </w:p>
    <w:p>
      <w:pPr>
        <w:spacing w:before="120" w:after="120" w:line="240" w:lineRule="auto"/>
        <w:jc w:val="both"/>
        <w:rPr>
          <w:rFonts w:ascii="Times New Roman" w:hAnsi="Times New Roman" w:cs="Times New Roman"/>
          <w:noProof/>
        </w:rPr>
      </w:pPr>
    </w:p>
    <w:p>
      <w:pPr>
        <w:spacing w:before="120" w:after="120" w:line="240" w:lineRule="auto"/>
        <w:jc w:val="both"/>
        <w:rPr>
          <w:rFonts w:ascii="Times New Roman" w:hAnsi="Times New Roman" w:cs="Times New Roman"/>
          <w:i/>
          <w:noProof/>
        </w:rPr>
      </w:pPr>
      <w:r>
        <w:rPr>
          <w:rFonts w:ascii="Times New Roman" w:hAnsi="Times New Roman"/>
          <w:i/>
          <w:noProof/>
        </w:rPr>
        <w:t>Закрила на деца по протежение на миграционния маршрут</w:t>
      </w:r>
    </w:p>
    <w:p>
      <w:pPr>
        <w:spacing w:before="120" w:after="120" w:line="240" w:lineRule="auto"/>
        <w:jc w:val="both"/>
        <w:rPr>
          <w:rFonts w:ascii="Times New Roman" w:hAnsi="Times New Roman" w:cs="Times New Roman"/>
          <w:noProof/>
        </w:rPr>
      </w:pPr>
      <w:r>
        <w:rPr>
          <w:rFonts w:ascii="Times New Roman" w:hAnsi="Times New Roman"/>
          <w:noProof/>
        </w:rPr>
        <w:t>В рамките на програмите на ЕС за финансиране бяха заделени повече от 200 млн. евро за закрила на децата мигранти. За пролетта на 2016 г. се планира пряка безвъзмездна помощ от 3,5 млн. евро за подкрепа на ВКБООН, УНИЦЕФ, МОМ и на организацията „Спасете децата“ с цел прилагане в дейностите им в рамките на ЕС на споделена грижа за закрила на децата мигранти, а други 3 млн. евро са насочени към изграждането на капацитет в системите за закрила на детето, предназначени за деца мигранти.</w:t>
      </w:r>
    </w:p>
    <w:p>
      <w:pPr>
        <w:spacing w:after="120" w:line="240" w:lineRule="auto"/>
        <w:jc w:val="both"/>
        <w:rPr>
          <w:rFonts w:ascii="Times New Roman" w:hAnsi="Times New Roman" w:cs="Times New Roman"/>
          <w:noProof/>
        </w:rPr>
      </w:pPr>
      <w:r>
        <w:rPr>
          <w:rFonts w:ascii="Times New Roman" w:hAnsi="Times New Roman"/>
          <w:noProof/>
        </w:rPr>
        <w:t>Европол и Евроюст действат за разбиването на мрежи, които участват в контрабандата и трафика на деца. Трафикът на деца се определя като един от приоритетите по линия на Европейска мултидисциплинарна платформа за борба с криминални заплахи при трафика на хора, в рамките на цикъла на политиката на ЕС за борба с организираната и тежката международна престъпност</w:t>
      </w:r>
      <w:r>
        <w:rPr>
          <w:rStyle w:val="FootnoteReference"/>
          <w:rFonts w:ascii="Times New Roman" w:hAnsi="Times New Roman"/>
          <w:noProof/>
        </w:rPr>
        <w:footnoteReference w:id="2"/>
      </w:r>
      <w:r>
        <w:rPr>
          <w:rFonts w:ascii="Times New Roman" w:hAnsi="Times New Roman"/>
          <w:noProof/>
        </w:rPr>
        <w:t xml:space="preserve">. Комисията подкрепя Европол и правоприлагащите органи, както и други агенции на ЕС в оперативните им усилия за справяне с трафика на деца. По линия на фонд „Убежище, миграция и интеграция“ наскоро бе публикувана специална покана за предоставяне на безвъзмездни средства в областта на трафика на хора в размер от 3 млн. евро, като един от приоритетите е ранното идентифициране и защита на децата жертви на трафик и на непридружените деца, изложени на риск от трафик. </w:t>
      </w:r>
    </w:p>
    <w:p>
      <w:pPr>
        <w:spacing w:after="120" w:line="240" w:lineRule="auto"/>
        <w:jc w:val="both"/>
        <w:rPr>
          <w:rFonts w:ascii="Times New Roman" w:hAnsi="Times New Roman" w:cs="Times New Roman"/>
          <w:noProof/>
        </w:rPr>
      </w:pPr>
      <w:r>
        <w:rPr>
          <w:rFonts w:ascii="Times New Roman" w:hAnsi="Times New Roman"/>
          <w:noProof/>
        </w:rPr>
        <w:t>В рамките на платформата на гражданското общество в ЕС за борба с трафика на хора съществува подгрупа относно трафика на деца, която работи за тясното взаимодействие по тези въпроси с гражданското общество и организациите за правата на децата.</w:t>
      </w:r>
    </w:p>
    <w:p>
      <w:pPr>
        <w:spacing w:after="120" w:line="240" w:lineRule="auto"/>
        <w:jc w:val="both"/>
        <w:rPr>
          <w:rFonts w:ascii="Times New Roman" w:hAnsi="Times New Roman" w:cs="Times New Roman"/>
          <w:noProof/>
        </w:rPr>
      </w:pPr>
      <w:r>
        <w:rPr>
          <w:rFonts w:ascii="Times New Roman" w:hAnsi="Times New Roman"/>
          <w:noProof/>
        </w:rPr>
        <w:t xml:space="preserve">Европейската служба за подкрепа в областта на убежището планира да доразвие съществуващите насоки за най-добри практики относно оценката на висшите интереси на детето, в това число начините за определяне на възрастта, за откриване на семейството, за определяне на лица със специални нужди и трафик на деца. Frontex ще работи и занапред, в сътрудничество с държавите членки, за да се гарантира, че служителите на граничната охрана са обучени относно процедурите, които се прилагат по отношение на децата по границите. </w:t>
      </w:r>
    </w:p>
    <w:p>
      <w:pPr>
        <w:spacing w:after="120" w:line="240" w:lineRule="auto"/>
        <w:jc w:val="both"/>
        <w:rPr>
          <w:rFonts w:ascii="Times New Roman" w:hAnsi="Times New Roman" w:cs="Times New Roman"/>
          <w:noProof/>
        </w:rPr>
      </w:pPr>
      <w:r>
        <w:rPr>
          <w:rFonts w:ascii="Times New Roman" w:hAnsi="Times New Roman"/>
          <w:noProof/>
        </w:rPr>
        <w:t>Освен това в подхода за „горещите точки“ са интегрирани мерки за закрила на детето и предпазни мерки (включително проверка на персонала, обучение и правила за докладване). Например ще се използва механизъм за оценка на здравето, включително ваксинационен статус на децата (2 млн. евро бяха предоставени по здравната програма).</w:t>
      </w:r>
    </w:p>
    <w:p>
      <w:pPr>
        <w:spacing w:after="120" w:line="240" w:lineRule="auto"/>
        <w:jc w:val="both"/>
        <w:rPr>
          <w:rFonts w:ascii="Times New Roman" w:hAnsi="Times New Roman" w:cs="Times New Roman"/>
          <w:noProof/>
        </w:rPr>
      </w:pPr>
    </w:p>
    <w:p>
      <w:pPr>
        <w:spacing w:after="120" w:line="240" w:lineRule="auto"/>
        <w:jc w:val="both"/>
        <w:rPr>
          <w:rFonts w:ascii="Times New Roman" w:hAnsi="Times New Roman" w:cs="Times New Roman"/>
          <w:i/>
          <w:noProof/>
        </w:rPr>
      </w:pPr>
      <w:r>
        <w:rPr>
          <w:rFonts w:ascii="Times New Roman" w:hAnsi="Times New Roman"/>
          <w:i/>
          <w:noProof/>
        </w:rPr>
        <w:t>Настойничество на непридружените деца</w:t>
      </w:r>
    </w:p>
    <w:p>
      <w:pPr>
        <w:spacing w:after="120" w:line="240" w:lineRule="auto"/>
        <w:jc w:val="both"/>
        <w:rPr>
          <w:rFonts w:ascii="Times New Roman" w:hAnsi="Times New Roman" w:cs="Times New Roman"/>
          <w:noProof/>
        </w:rPr>
      </w:pPr>
      <w:r>
        <w:rPr>
          <w:rFonts w:ascii="Times New Roman" w:hAnsi="Times New Roman"/>
          <w:noProof/>
        </w:rPr>
        <w:t>Европейската комисия и Агенцията на ЕС за основните права публикува наръчник за настойничеството на деца, лишени от родителски грижи, чиято цел е да оказва подкрепа на органите на държавите членки с цел укрепване на техните системи за настойничество и практики, за да се гарантира, че те са по-подготвени да се справят със специфичните потребности на децата — жертви на трафик. Обучението на съдиите и централните органи относно трансграничното признаване на съдебни решения, съдържащи защитни мерки, в това число настойничество, за непридружени и разделени от семействата си деца, ще бъде улеснено</w:t>
      </w:r>
      <w:r>
        <w:rPr>
          <w:rStyle w:val="FootnoteReference"/>
          <w:rFonts w:ascii="Times New Roman" w:hAnsi="Times New Roman"/>
          <w:noProof/>
        </w:rPr>
        <w:footnoteReference w:id="3"/>
      </w:r>
      <w:r>
        <w:rPr>
          <w:rFonts w:ascii="Times New Roman" w:hAnsi="Times New Roman"/>
          <w:noProof/>
        </w:rPr>
        <w:t xml:space="preserve">, включително чрез Европейската съдебна мрежа по граждански и търговски дела. </w:t>
      </w:r>
    </w:p>
    <w:p>
      <w:pPr>
        <w:spacing w:after="120" w:line="240" w:lineRule="auto"/>
        <w:jc w:val="both"/>
        <w:rPr>
          <w:rFonts w:ascii="Times New Roman" w:hAnsi="Times New Roman" w:cs="Times New Roman"/>
          <w:noProof/>
        </w:rPr>
      </w:pPr>
    </w:p>
    <w:p>
      <w:pPr>
        <w:spacing w:after="120" w:line="240" w:lineRule="auto"/>
        <w:jc w:val="both"/>
        <w:rPr>
          <w:rFonts w:ascii="Times New Roman" w:hAnsi="Times New Roman" w:cs="Times New Roman"/>
          <w:i/>
          <w:noProof/>
        </w:rPr>
      </w:pPr>
      <w:r>
        <w:rPr>
          <w:rFonts w:ascii="Times New Roman" w:hAnsi="Times New Roman"/>
          <w:i/>
          <w:noProof/>
        </w:rPr>
        <w:t>Образование за децата мигранти в рамките на ЕС и извън него</w:t>
      </w:r>
    </w:p>
    <w:p>
      <w:pPr>
        <w:spacing w:after="120" w:line="240" w:lineRule="auto"/>
        <w:jc w:val="both"/>
        <w:rPr>
          <w:rFonts w:ascii="Times New Roman" w:hAnsi="Times New Roman" w:cs="Times New Roman"/>
          <w:noProof/>
        </w:rPr>
      </w:pPr>
      <w:r>
        <w:rPr>
          <w:rFonts w:ascii="Times New Roman" w:hAnsi="Times New Roman"/>
          <w:noProof/>
        </w:rPr>
        <w:t>Правото на образование на децата мигранти е приоритет за европейското сътрудничество в областта на образованието и обучението</w:t>
      </w:r>
      <w:r>
        <w:rPr>
          <w:rStyle w:val="FootnoteReference"/>
          <w:rFonts w:ascii="Times New Roman" w:hAnsi="Times New Roman"/>
          <w:noProof/>
        </w:rPr>
        <w:footnoteReference w:id="4"/>
      </w:r>
      <w:r>
        <w:rPr>
          <w:rFonts w:ascii="Times New Roman" w:hAnsi="Times New Roman"/>
          <w:noProof/>
        </w:rPr>
        <w:t>, като се поставя особен акцент на новопристигналите мигранти и на насърчаването на социалните, гражданските и междукултурните умения сред децата и младите хора, за да се попречи на маргинализирането. Европейският онлайн инструментариум за училищата предлага на работещите в училищата и на разработващите политики практическа информация за приобщаващото образование, включително за интеграцията на мигрантите.</w:t>
      </w:r>
    </w:p>
    <w:p>
      <w:pPr>
        <w:spacing w:after="120" w:line="240" w:lineRule="auto"/>
        <w:jc w:val="both"/>
        <w:rPr>
          <w:rFonts w:ascii="Times New Roman" w:hAnsi="Times New Roman" w:cs="Times New Roman"/>
          <w:noProof/>
        </w:rPr>
      </w:pPr>
      <w:r>
        <w:rPr>
          <w:rFonts w:ascii="Times New Roman" w:hAnsi="Times New Roman"/>
          <w:noProof/>
        </w:rPr>
        <w:t xml:space="preserve">Извън ЕС през 2015—2016 г. 120 млн. евро финансиране от ЕС е заделено за регионални програми за образование и закрила на уязвими сирийски деца и юноши бежанци и уязвими деца и юноши от приемните общности, като работата ще се осъществява от партньори като УНИЦЕФ в Турция, Ливан, Йордания и Ирак. Механизмът за Турция в полза на бежанците ще подкрепя предоставянето на образование на млади сирийски бежанци в Турция. Освен това през 2016 г. Комисията ще увеличи четири пъти подкрепата си за образование на деца в извънредни ситуации, включително ситуации на конфликт, т.е. от 1 % на 4 % от своя бюджет за хуманитарна помощ, в съответствие с глобалната цел на ООН. </w:t>
      </w:r>
    </w:p>
    <w:p>
      <w:pPr>
        <w:spacing w:after="120" w:line="240" w:lineRule="auto"/>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188442"/>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План за действие относно непридружени непълнолетни лица (2010—2014 г.), COM(2010) 213 окончателен от 6 май 2010 г.</w:t>
      </w:r>
    </w:p>
  </w:footnote>
  <w:footnote w:id="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shd w:val="clear" w:color="auto" w:fill="FFFFFF"/>
        </w:rPr>
        <w:t xml:space="preserve">Заключения на Съвета относно създаването и прилагането на цикъл на политиката на ЕС за борба с организираната и тежката международна престъпност, док. </w:t>
      </w:r>
      <w:hyperlink r:id="rId1" w:tooltip="Заключения на Съвета относно създаването и прилагането на цикъл на политиката на ЕС за борба с организираната и тежката международна престъпност">
        <w:r>
          <w:rPr>
            <w:rStyle w:val="Hyperlink"/>
            <w:rFonts w:ascii="Times New Roman" w:hAnsi="Times New Roman"/>
            <w:color w:val="auto"/>
            <w:u w:val="none"/>
            <w:bdr w:val="none" w:sz="0" w:space="0" w:color="auto" w:frame="1"/>
            <w:shd w:val="clear" w:color="auto" w:fill="FFFFFF"/>
          </w:rPr>
          <w:t>15358/10 COSI 69 ENFOPOL 298 CRIMORG 185 ENFOCUSTOM 94</w:t>
        </w:r>
      </w:hyperlink>
      <w:r>
        <w:rPr>
          <w:rFonts w:ascii="Times New Roman" w:hAnsi="Times New Roman"/>
          <w:shd w:val="clear" w:color="auto" w:fill="FFFFFF"/>
        </w:rPr>
        <w:t>.</w:t>
      </w:r>
    </w:p>
  </w:footnote>
  <w:footnote w:id="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Финансиране чрез Европейската съдебна мрежа.</w:t>
      </w:r>
    </w:p>
  </w:footnote>
  <w:footnote w:id="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 Проектите, ориентирани към бежанците, са определени като приоритет за програмата „Еразъм +“ през 2016 г. (около 1,5 милиарда евро са запазени за дейности в областта на образованието, обучението, младежта и спорта).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80C42"/>
    <w:multiLevelType w:val="hybridMultilevel"/>
    <w:tmpl w:val="E778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6"/>
    <w:docVar w:name="LW_ANNEX_NBR_LAST" w:val="6"/>
    <w:docVar w:name="LW_CONFIDENCE" w:val=" "/>
    <w:docVar w:name="LW_CONST_RESTREINT_UE" w:val="RESTREINT UE"/>
    <w:docVar w:name="LW_CORRIGENDUM" w:val="&lt;UNUSED&gt;"/>
    <w:docVar w:name="LW_COVERPAGE_GUID" w:val="07E0D08F40094E738B9CE7BA091464C1"/>
    <w:docVar w:name="LW_CROSSREFERENCE" w:val="&lt;UNUSED&gt;"/>
    <w:docVar w:name="LW_DATE.ADOPT.CP_ISODATE" w:val="&lt;EMPTY&gt;"/>
    <w:docVar w:name="LW_DocType" w:val="NORMAL"/>
    <w:docVar w:name="LW_EMISSION" w:val="10.2.2016"/>
    <w:docVar w:name="LW_EMISSION_ISODATE" w:val="2016-02-10"/>
    <w:docVar w:name="LW_EMISSION_LOCATION" w:val="BRX"/>
    <w:docVar w:name="LW_EMISSION_PREFIX" w:val="Брюксел, "/>
    <w:docVar w:name="LW_EMISSION_SUFFIX" w:val=" \u1075?."/>
    <w:docVar w:name="LW_ID_DOCTYPE_NONLW" w:val="CP-039"/>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OBJETACTEPRINCIPAL.CP" w:val="\u1058?\u1077?\u1082?\u1091?\u1097?\u1080? \u1076?\u1077?\u1081?\u1085?\u1086?\u1089?\u1090?\u1080?, \u1082?\u1086?\u1080?\u1090?\u1086? \u1076?\u1086?\u1087?\u1088?\u1080?\u1085?\u1072?\u1089?\u1103?\u1090? \u1079?\u1072? \u1079?\u1072?\u1097?\u1080?\u1090?\u1072?\u1090?\u1072? \u1085?\u1072? \u1076?\u1077?\u1094?\u1072?\u1090?\u1072? \u1084?\u1080?\u1075?\u1088?\u1072?\u1085?\u1090?\u1080?_x000b_"/>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85"/>
    <w:docVar w:name="LW_REF.INTERNE" w:val="&lt;UNUSED&gt;"/>
    <w:docVar w:name="LW_SOUS.TITRE.OBJ.CP" w:val="&lt;UNUSED&gt;"/>
    <w:docVar w:name="LW_SUPERTITRE" w:val="&lt;UNUSED&gt;"/>
    <w:docVar w:name="LW_TITRE.OBJ.CP" w:val="&lt;UNUSED&gt;"/>
    <w:docVar w:name="LW_TYPE.DOC.CP" w:val="\u1055?\u1056?\u1048?\u1051?\u1054?\u1046?\u1045?\u1053?\u1048?\u1045?_x000b_"/>
    <w:docVar w:name="LW_TYPEACTEPRINCIPAL.CP" w:val="\u1057?\u1098?\u1086?\u1073?\u1097?\u1077?\u1085?\u1080?\u1077? \u1085?\u1072? \u1050?\u1086?\u1084?\u1080?\u1089?\u1080?\u1103?\u1090?\u1072? \u1076?\u1086? \u1045?\u1074?\u1088?\u1086?\u1087?\u1077?\u1081?\u1089?\u1082?\u1080?\u1103? \u1087?\u1072?\u1088?\u1083?\u1072?\u1084?\u1077?\u1085?\u1090? \u1080? \u1057?\u1098?\u1074?\u1077?\u1090?\u1072? \u1086?\u1090?\u1085?\u1086?\u1089?\u1085?\u1086? \u1072?\u1082?\u1090?\u1091?\u1072?\u1083?\u1085?\u1086?\u1090?\u1086? \u1089?\u1098?\u1089?\u1090?\u1086?\u1103?\u1085?\u1080?\u1077? \u1074?\u1098?\u1074? \u1074?\u1088?\u1098?\u1079?\u1082?\u1072? \u1089? \u1080?\u1079?\u1087?\u1098?\u1083?\u1085?\u1077?\u1085?\u1080?\u1077?\u1090?\u1086? \u1085?\u1072? \u1087?\u1088?\u1080?\u1086?\u1088?\u1080?\u1090?\u1077?\u1090?\u1085?\u1080?\u1090?\u1077? \u1076?\u1077?\u1081?\u1089?\u1090?\u1074?\u1080?\u1103? \u1074? \u1088?\u1072?\u1084?\u1082?\u1080?\u1090?\u1077? \u1085?\u1072? \u1045?\u1074?\u1088?\u1086?\u1087?\u1077?\u1081?\u1089?\u1082?\u1072?\u1090?\u1072? \u1087?\u1088?\u1086?\u1075?\u1088?\u1072?\u1084?\u1072? \u1079?\u1072? \u1084?\u1080?\u1075?\u1088?\u1072?\u1094?\u1080?\u1103?\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00275">
      <w:bodyDiv w:val="1"/>
      <w:marLeft w:val="0"/>
      <w:marRight w:val="0"/>
      <w:marTop w:val="0"/>
      <w:marBottom w:val="0"/>
      <w:divBdr>
        <w:top w:val="none" w:sz="0" w:space="0" w:color="auto"/>
        <w:left w:val="none" w:sz="0" w:space="0" w:color="auto"/>
        <w:bottom w:val="none" w:sz="0" w:space="0" w:color="auto"/>
        <w:right w:val="none" w:sz="0" w:space="0" w:color="auto"/>
      </w:divBdr>
    </w:div>
    <w:div w:id="492138339">
      <w:bodyDiv w:val="1"/>
      <w:marLeft w:val="0"/>
      <w:marRight w:val="0"/>
      <w:marTop w:val="0"/>
      <w:marBottom w:val="0"/>
      <w:divBdr>
        <w:top w:val="none" w:sz="0" w:space="0" w:color="auto"/>
        <w:left w:val="none" w:sz="0" w:space="0" w:color="auto"/>
        <w:bottom w:val="none" w:sz="0" w:space="0" w:color="auto"/>
        <w:right w:val="none" w:sz="0" w:space="0" w:color="auto"/>
      </w:divBdr>
    </w:div>
    <w:div w:id="1517620455">
      <w:bodyDiv w:val="1"/>
      <w:marLeft w:val="0"/>
      <w:marRight w:val="0"/>
      <w:marTop w:val="0"/>
      <w:marBottom w:val="0"/>
      <w:divBdr>
        <w:top w:val="none" w:sz="0" w:space="0" w:color="auto"/>
        <w:left w:val="none" w:sz="0" w:space="0" w:color="auto"/>
        <w:bottom w:val="none" w:sz="0" w:space="0" w:color="auto"/>
        <w:right w:val="none" w:sz="0" w:space="0" w:color="auto"/>
      </w:divBdr>
    </w:div>
    <w:div w:id="1837574755">
      <w:bodyDiv w:val="1"/>
      <w:marLeft w:val="0"/>
      <w:marRight w:val="0"/>
      <w:marTop w:val="0"/>
      <w:marBottom w:val="0"/>
      <w:divBdr>
        <w:top w:val="none" w:sz="0" w:space="0" w:color="auto"/>
        <w:left w:val="none" w:sz="0" w:space="0" w:color="auto"/>
        <w:bottom w:val="none" w:sz="0" w:space="0" w:color="auto"/>
        <w:right w:val="none" w:sz="0" w:space="0" w:color="auto"/>
      </w:divBdr>
    </w:div>
    <w:div w:id="21116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register.consilium.europa.eu/doc/srv?l=EN&amp;f=ST%2015358%202010%20I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161A6-D9BD-4D9C-A6A5-1EECB9C2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748</Words>
  <Characters>4141</Characters>
  <Application>Microsoft Office Word</Application>
  <DocSecurity>0</DocSecurity>
  <Lines>67</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ADAMO Chiara (JUST)</dc:creator>
  <cp:lastModifiedBy>DIGIT/A3</cp:lastModifiedBy>
  <cp:revision>15</cp:revision>
  <cp:lastPrinted>2016-02-09T16:59:00Z</cp:lastPrinted>
  <dcterms:created xsi:type="dcterms:W3CDTF">2016-02-09T17:29:00Z</dcterms:created>
  <dcterms:modified xsi:type="dcterms:W3CDTF">2016-02-17T11:32:00Z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6</vt:lpwstr>
  </property>
  <property fmtid="{D5CDD505-2E9C-101B-9397-08002B2CF9AE}" pid="3" name="Last annex">
    <vt:lpwstr>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