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FE5B2F97C0645038D29FA344CA17005" style="width:450.75pt;height:393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Съвместен план за действие между ЕС и Турция: доклад за изпълнението</w:t>
      </w:r>
    </w:p>
    <w:p>
      <w:pPr>
        <w:spacing w:after="0" w:line="240" w:lineRule="auto"/>
        <w:jc w:val="center"/>
        <w:rPr>
          <w:rFonts w:ascii="Times New Roman" w:hAnsi="Times New Roman" w:cs="Times New Roman"/>
          <w:b/>
          <w:noProof/>
          <w:sz w:val="24"/>
          <w:szCs w:val="24"/>
        </w:rPr>
      </w:pPr>
    </w:p>
    <w:p>
      <w:pPr>
        <w:spacing w:after="0" w:line="240" w:lineRule="auto"/>
        <w:jc w:val="center"/>
        <w:rPr>
          <w:rFonts w:ascii="Times New Roman" w:hAnsi="Times New Roman" w:cs="Times New Roman"/>
          <w:b/>
          <w:i/>
          <w:noProof/>
          <w:sz w:val="24"/>
          <w:szCs w:val="24"/>
        </w:rPr>
      </w:pPr>
      <w:r>
        <w:rPr>
          <w:rFonts w:ascii="Times New Roman" w:hAnsi="Times New Roman"/>
          <w:b/>
          <w:i/>
          <w:noProof/>
          <w:sz w:val="24"/>
        </w:rPr>
        <w:t>Период: 17 декември 2015 г.—31 януари 2016 г.</w:t>
      </w:r>
    </w:p>
    <w:p>
      <w:pPr>
        <w:spacing w:after="0" w:line="240" w:lineRule="auto"/>
        <w:jc w:val="center"/>
        <w:rPr>
          <w:rFonts w:ascii="Times New Roman" w:hAnsi="Times New Roman" w:cs="Times New Roman"/>
          <w:b/>
          <w:i/>
          <w:noProof/>
          <w:sz w:val="24"/>
          <w:szCs w:val="24"/>
        </w:rPr>
      </w:pPr>
      <w:r>
        <w:rPr>
          <w:rFonts w:ascii="Times New Roman" w:hAnsi="Times New Roman"/>
          <w:b/>
          <w:i/>
          <w:noProof/>
          <w:sz w:val="24"/>
        </w:rPr>
        <w:t xml:space="preserve"> </w:t>
      </w:r>
    </w:p>
    <w:p>
      <w:pPr>
        <w:spacing w:line="240" w:lineRule="auto"/>
        <w:jc w:val="both"/>
        <w:rPr>
          <w:rFonts w:ascii="Times New Roman" w:hAnsi="Times New Roman" w:cs="Times New Roman"/>
          <w:b/>
          <w:noProof/>
          <w:sz w:val="24"/>
          <w:szCs w:val="24"/>
        </w:rPr>
      </w:pPr>
      <w:r>
        <w:rPr>
          <w:rFonts w:ascii="Times New Roman" w:hAnsi="Times New Roman"/>
          <w:b/>
          <w:noProof/>
          <w:sz w:val="24"/>
        </w:rPr>
        <w:t>Въведение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На срещата на върха между ЕС и Турция, проведена на 29 ноември 2015 г., Турция и ЕС приведоха в действие съвместния план за действие (СПД), договорен ad referenda на 15 октомври 2015 г. Целта на СПД е да се засили сътрудничеството за подпомагане на сирийските бежанци, ползващи се с временна закрила, и на техните приемни общности в Турция, както и да се укрепи сътрудничеството за предотвратяване на незаконни миграционни потоци към ЕС. По този начин изпълнението на СПД следва да въведе ред в миграционните потоци и да спомогне за спирането на незаконната миграция.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Целта на този втори доклад за изпълнението на СПД, два месеца след привеждането в действие на плана, е да се предостави информация за реалните действия, предприети от Турция и ЕС за изпълнение на съответните им ангажименти от публикуването на първия доклад на 17 декември 2015 г. Тези доклади представляват част от общите усилия да се следи ситуацията отблизо. </w:t>
      </w:r>
    </w:p>
    <w:p>
      <w:pPr>
        <w:pStyle w:val="ListParagraph"/>
        <w:numPr>
          <w:ilvl w:val="0"/>
          <w:numId w:val="10"/>
        </w:numPr>
        <w:spacing w:after="120" w:line="240" w:lineRule="auto"/>
        <w:ind w:left="357" w:hanging="357"/>
        <w:jc w:val="both"/>
        <w:rPr>
          <w:rFonts w:ascii="Times New Roman" w:hAnsi="Times New Roman" w:cs="Times New Roman"/>
          <w:b/>
          <w:noProof/>
          <w:sz w:val="24"/>
          <w:szCs w:val="24"/>
          <w:u w:val="single"/>
        </w:rPr>
      </w:pPr>
      <w:r>
        <w:rPr>
          <w:rFonts w:ascii="Times New Roman" w:hAnsi="Times New Roman"/>
          <w:b/>
          <w:noProof/>
          <w:sz w:val="24"/>
          <w:u w:val="single"/>
        </w:rPr>
        <w:t xml:space="preserve">Част 1 </w:t>
      </w:r>
    </w:p>
    <w:p>
      <w:pPr>
        <w:spacing w:line="240" w:lineRule="auto"/>
        <w:jc w:val="both"/>
        <w:rPr>
          <w:rFonts w:ascii="Times New Roman" w:hAnsi="Times New Roman" w:cs="Times New Roman"/>
          <w:b/>
          <w:noProof/>
          <w:sz w:val="24"/>
          <w:szCs w:val="24"/>
        </w:rPr>
      </w:pPr>
      <w:r>
        <w:rPr>
          <w:rFonts w:ascii="Times New Roman" w:hAnsi="Times New Roman"/>
          <w:b/>
          <w:noProof/>
          <w:sz w:val="24"/>
        </w:rPr>
        <w:t>1.1.</w:t>
      </w:r>
      <w:r>
        <w:rPr>
          <w:noProof/>
        </w:rPr>
        <w:tab/>
      </w:r>
      <w:r>
        <w:rPr>
          <w:rFonts w:ascii="Times New Roman" w:hAnsi="Times New Roman"/>
          <w:b/>
          <w:noProof/>
          <w:sz w:val="24"/>
        </w:rPr>
        <w:t xml:space="preserve"> Статистически данни (в ЕС)</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Една от основните цели на СПД е да се постигнат резултати по-специално при пресичането на притока на незаконни мигранти.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Броят на хората, пристигащи незаконно в ЕС от Турция, продължава да е висок за този период на годината, когато зимните метеорологични условия се очакваше да допринесат за намаляване на броя на пристигащите лица. По-конкретно, цифрите за </w:t>
      </w:r>
      <w:r>
        <w:rPr>
          <w:rFonts w:ascii="Times New Roman" w:hAnsi="Times New Roman"/>
          <w:i/>
          <w:noProof/>
          <w:sz w:val="24"/>
        </w:rPr>
        <w:t>46-дневния период на докладване</w:t>
      </w:r>
      <w:r>
        <w:rPr>
          <w:rFonts w:ascii="Times New Roman" w:hAnsi="Times New Roman"/>
          <w:noProof/>
          <w:sz w:val="24"/>
        </w:rPr>
        <w:t xml:space="preserve"> (т.е. от 17 декември до 31 януари) са следните:</w:t>
      </w:r>
    </w:p>
    <w:p>
      <w:pPr>
        <w:pStyle w:val="ListParagraph"/>
        <w:numPr>
          <w:ilvl w:val="0"/>
          <w:numId w:val="16"/>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Общият брой на незаконните мигранти, достигнали ЕС по море и суша (т.е. през Гърция и България), е бил 110 211 души. Повечето от тях, т.е. 109 336, или 99,2 %, са пресекли Егейско море. </w:t>
      </w:r>
    </w:p>
    <w:p>
      <w:pPr>
        <w:pStyle w:val="ListParagraph"/>
        <w:numPr>
          <w:ilvl w:val="0"/>
          <w:numId w:val="16"/>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Средният дневен брой на незаконните преминавания, извършени през Гърция, е бил 2 377, през България — 19, или общо 2 396. </w:t>
      </w:r>
    </w:p>
    <w:p>
      <w:pPr>
        <w:pStyle w:val="ListParagraph"/>
        <w:numPr>
          <w:ilvl w:val="0"/>
          <w:numId w:val="16"/>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На седмична база броят на пристигналите през Гърция лица е бил средно 16 437 души. </w:t>
      </w:r>
    </w:p>
    <w:p>
      <w:pPr>
        <w:spacing w:line="240" w:lineRule="auto"/>
        <w:jc w:val="both"/>
        <w:rPr>
          <w:rFonts w:ascii="Times New Roman" w:hAnsi="Times New Roman" w:cs="Times New Roman"/>
          <w:noProof/>
          <w:sz w:val="24"/>
          <w:szCs w:val="24"/>
        </w:rPr>
      </w:pPr>
      <w:r>
        <w:rPr>
          <w:rFonts w:ascii="Times New Roman" w:hAnsi="Times New Roman"/>
          <w:noProof/>
          <w:sz w:val="24"/>
        </w:rPr>
        <w:t>За сравнение с предходни месеци:</w:t>
      </w:r>
    </w:p>
    <w:p>
      <w:pPr>
        <w:pStyle w:val="ListParagraph"/>
        <w:numPr>
          <w:ilvl w:val="0"/>
          <w:numId w:val="16"/>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Общият брой на лицата, пристигнали незаконно от Турция в Гърция през септември, октомври, ноември и декември 2015 г. и януари 2016 г., е бил съответно 147 639, 214 792, 154 381, 110 835 и 67 756 души. </w:t>
      </w:r>
    </w:p>
    <w:p>
      <w:pPr>
        <w:pStyle w:val="ListParagraph"/>
        <w:numPr>
          <w:ilvl w:val="0"/>
          <w:numId w:val="16"/>
        </w:numPr>
        <w:spacing w:line="240" w:lineRule="auto"/>
        <w:jc w:val="both"/>
        <w:rPr>
          <w:rFonts w:ascii="Times New Roman" w:hAnsi="Times New Roman" w:cs="Times New Roman"/>
          <w:noProof/>
          <w:sz w:val="24"/>
          <w:szCs w:val="24"/>
        </w:rPr>
      </w:pPr>
      <w:r>
        <w:rPr>
          <w:rFonts w:ascii="Times New Roman" w:hAnsi="Times New Roman"/>
          <w:noProof/>
          <w:sz w:val="24"/>
        </w:rPr>
        <w:t xml:space="preserve">За същите месеци съответните средни дневни стойности са били 4 921, 6 929, 5 146, 3 575 и 2 186 лица.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Незаконните влизания от Турция в Гърция (по море) през </w:t>
      </w:r>
      <w:r>
        <w:rPr>
          <w:rFonts w:ascii="Times New Roman" w:hAnsi="Times New Roman"/>
          <w:i/>
          <w:noProof/>
          <w:sz w:val="24"/>
        </w:rPr>
        <w:t>декември и януари</w:t>
      </w:r>
      <w:r>
        <w:rPr>
          <w:rFonts w:ascii="Times New Roman" w:hAnsi="Times New Roman"/>
          <w:noProof/>
          <w:sz w:val="24"/>
        </w:rPr>
        <w:t xml:space="preserve"> са представени на следните графики: графика 1 показва броя на незаконно пристигащите на ден, а на графика 2 са представени незаконно пристигащите на седмица</w:t>
      </w:r>
      <w:r>
        <w:rPr>
          <w:rStyle w:val="FootnoteReference"/>
          <w:rFonts w:ascii="Times New Roman" w:hAnsi="Times New Roman"/>
          <w:noProof/>
          <w:sz w:val="24"/>
        </w:rPr>
        <w:footnoteReference w:id="1"/>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Графика 3 показва броя на незаконно пристигащите на месец от Турция в Гърция от</w:t>
      </w:r>
      <w:r>
        <w:rPr>
          <w:rFonts w:ascii="Times New Roman" w:hAnsi="Times New Roman"/>
          <w:i/>
          <w:noProof/>
          <w:sz w:val="24"/>
        </w:rPr>
        <w:t xml:space="preserve"> септември 2015</w:t>
      </w:r>
      <w:r>
        <w:rPr>
          <w:rFonts w:ascii="Times New Roman" w:hAnsi="Times New Roman"/>
          <w:noProof/>
          <w:sz w:val="24"/>
        </w:rPr>
        <w:t> </w:t>
      </w:r>
      <w:r>
        <w:rPr>
          <w:rFonts w:ascii="Times New Roman" w:hAnsi="Times New Roman"/>
          <w:i/>
          <w:noProof/>
          <w:sz w:val="24"/>
        </w:rPr>
        <w:t>г. до януари 2016 г</w:t>
      </w:r>
      <w:r>
        <w:rPr>
          <w:rFonts w:ascii="Times New Roman" w:hAnsi="Times New Roman"/>
          <w:noProof/>
          <w:sz w:val="24"/>
        </w:rPr>
        <w:t>. На графика 4 е показан броят на незаконно пристигналите лица през същия период, т.е. от септември 2015 г. до януари 2016 г., с разбивка по преобладаващите националности (въз основа на декларацията на мигрантите при тяхното пристигане), т.е. сирийци, следвани от афганистанци и иракчани. Разбивката показва намаляващ процент — в сравнение с общия брой — на сирийците (от 69 % на 38 %) и нарастващ процент на афганистанците (от 18 % на 24 %) и иракчаните (от 8 % на 15 %).</w:t>
      </w:r>
    </w:p>
    <w:p>
      <w:pPr>
        <w:spacing w:line="240" w:lineRule="auto"/>
        <w:jc w:val="center"/>
        <w:rPr>
          <w:noProof/>
          <w:color w:val="1F497D"/>
        </w:rPr>
      </w:pPr>
      <w:r>
        <w:rPr>
          <w:noProof/>
          <w:lang w:val="en-US" w:eastAsia="en-US" w:bidi="ar-SA"/>
        </w:rPr>
        <w:drawing>
          <wp:inline distT="0" distB="0" distL="0" distR="0">
            <wp:extent cx="6166624" cy="3769112"/>
            <wp:effectExtent l="0" t="0" r="24765"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240" w:lineRule="auto"/>
        <w:rPr>
          <w:rFonts w:ascii="Times New Roman" w:hAnsi="Times New Roman" w:cs="Times New Roman"/>
          <w:i/>
          <w:noProof/>
          <w:sz w:val="24"/>
          <w:szCs w:val="24"/>
        </w:rPr>
      </w:pPr>
      <w:r>
        <w:rPr>
          <w:rFonts w:ascii="Times New Roman" w:hAnsi="Times New Roman"/>
          <w:i/>
          <w:noProof/>
          <w:sz w:val="24"/>
        </w:rPr>
        <w:t xml:space="preserve">Графика 1: Незаконно пристигащи от Турция в Гърция на ден — декември 2015 г. и януари 2016 г. — Източник: Frontex </w:t>
      </w:r>
    </w:p>
    <w:p>
      <w:pPr>
        <w:spacing w:line="240" w:lineRule="auto"/>
        <w:jc w:val="both"/>
        <w:rPr>
          <w:rFonts w:ascii="Times New Roman" w:hAnsi="Times New Roman" w:cs="Times New Roman"/>
          <w:noProof/>
          <w:sz w:val="24"/>
          <w:szCs w:val="24"/>
        </w:rPr>
      </w:pPr>
      <w:r>
        <w:rPr>
          <w:noProof/>
          <w:lang w:val="en-US" w:eastAsia="en-US" w:bidi="ar-SA"/>
        </w:rPr>
        <w:drawing>
          <wp:inline distT="0" distB="0" distL="0" distR="0">
            <wp:extent cx="5676900" cy="29241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240" w:lineRule="auto"/>
        <w:jc w:val="both"/>
        <w:rPr>
          <w:noProof/>
          <w:lang w:val="en-GB"/>
        </w:rPr>
      </w:pPr>
      <w:r>
        <w:rPr>
          <w:rFonts w:ascii="Times New Roman" w:hAnsi="Times New Roman"/>
          <w:i/>
          <w:noProof/>
          <w:sz w:val="24"/>
        </w:rPr>
        <w:t>Графика 2: Незаконно пристигащи от Турция в Гърция на месец— декември 2015 г. и януари 2016 г. — Източник: Frontex</w:t>
      </w:r>
      <w:r>
        <w:rPr>
          <w:noProof/>
        </w:rPr>
        <w:t xml:space="preserve"> </w:t>
      </w:r>
    </w:p>
    <w:p>
      <w:pPr>
        <w:spacing w:line="240" w:lineRule="auto"/>
        <w:jc w:val="both"/>
        <w:rPr>
          <w:noProof/>
          <w:lang w:val="en-GB"/>
        </w:rPr>
      </w:pPr>
      <w:r>
        <w:rPr>
          <w:noProof/>
          <w:lang w:val="en-US" w:eastAsia="en-US" w:bidi="ar-SA"/>
        </w:rPr>
        <w:drawing>
          <wp:inline distT="0" distB="0" distL="0" distR="0">
            <wp:extent cx="565785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57850" cy="2333625"/>
                    </a:xfrm>
                    <a:prstGeom prst="rect">
                      <a:avLst/>
                    </a:prstGeom>
                  </pic:spPr>
                </pic:pic>
              </a:graphicData>
            </a:graphic>
          </wp:inline>
        </w:drawing>
      </w:r>
    </w:p>
    <w:p>
      <w:pPr>
        <w:spacing w:line="240" w:lineRule="auto"/>
        <w:jc w:val="both"/>
        <w:rPr>
          <w:rFonts w:ascii="Times New Roman" w:hAnsi="Times New Roman" w:cs="Times New Roman"/>
          <w:i/>
          <w:noProof/>
          <w:sz w:val="24"/>
          <w:szCs w:val="24"/>
          <w:lang w:val="en-GB"/>
        </w:rPr>
      </w:pPr>
    </w:p>
    <w:p>
      <w:pPr>
        <w:spacing w:line="240" w:lineRule="auto"/>
        <w:jc w:val="both"/>
        <w:rPr>
          <w:rFonts w:ascii="Times New Roman" w:hAnsi="Times New Roman" w:cs="Times New Roman"/>
          <w:noProof/>
          <w:sz w:val="24"/>
          <w:szCs w:val="24"/>
        </w:rPr>
      </w:pPr>
      <w:r>
        <w:rPr>
          <w:rFonts w:ascii="Times New Roman" w:hAnsi="Times New Roman"/>
          <w:noProof/>
          <w:sz w:val="24"/>
        </w:rPr>
        <w:t>Графика 3 на Комисията: Незаконно пристигащи от Турция в Гърция на месец— от септември 2015 г. до януари 2016 г. — Източник: данни на мрежата на Frontex за анализ на риска (FRAN) (2015 г.) и данни от приложението за докладване на съвместни операции (JORA) (януари 2016 г.) към 8 февруари 2016 г. Данните от JORA са предварителни оперативни данни, които подлежат на промяна.</w:t>
      </w:r>
    </w:p>
    <w:p>
      <w:pPr>
        <w:spacing w:line="240" w:lineRule="auto"/>
        <w:jc w:val="center"/>
        <w:rPr>
          <w:rFonts w:ascii="Times New Roman" w:hAnsi="Times New Roman" w:cs="Times New Roman"/>
          <w:i/>
          <w:noProof/>
          <w:sz w:val="24"/>
          <w:szCs w:val="24"/>
        </w:rPr>
      </w:pPr>
    </w:p>
    <w:p>
      <w:pPr>
        <w:spacing w:line="240" w:lineRule="auto"/>
        <w:jc w:val="center"/>
        <w:rPr>
          <w:rFonts w:ascii="Times New Roman" w:hAnsi="Times New Roman" w:cs="Times New Roman"/>
          <w:i/>
          <w:noProof/>
          <w:sz w:val="24"/>
          <w:szCs w:val="24"/>
        </w:rPr>
      </w:pPr>
      <w:r>
        <w:rPr>
          <w:noProof/>
          <w:lang w:val="en-US" w:eastAsia="en-US" w:bidi="ar-SA"/>
        </w:rPr>
        <w:drawing>
          <wp:inline distT="0" distB="0" distL="0" distR="0">
            <wp:extent cx="6048375" cy="41243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240" w:lineRule="auto"/>
        <w:jc w:val="both"/>
        <w:rPr>
          <w:rFonts w:ascii="Times New Roman" w:hAnsi="Times New Roman" w:cs="Times New Roman"/>
          <w:i/>
          <w:noProof/>
          <w:sz w:val="24"/>
          <w:szCs w:val="24"/>
        </w:rPr>
      </w:pPr>
      <w:r>
        <w:rPr>
          <w:rFonts w:ascii="Times New Roman" w:hAnsi="Times New Roman"/>
          <w:i/>
          <w:noProof/>
          <w:sz w:val="24"/>
        </w:rPr>
        <w:t>Графика 4 на Комисията: Незаконно пристигащи от Турция в Гърция по националности (т.е. сирийци, афганистанци и иракчани) — от септември 2015 г. до януари 2016 г. — Източник: данни на мрежата на Frontex за анализ на риска (FRAN) (2015 г.) и данни от приложението за докладване на съвместни операции (JORA) (януари 2016 г.) към 8 февруари 2016 г. Данните от JORA са предварителни оперативни данни, които подлежат на промяна.</w:t>
      </w:r>
    </w:p>
    <w:p>
      <w:pPr>
        <w:spacing w:line="240" w:lineRule="auto"/>
        <w:jc w:val="both"/>
        <w:rPr>
          <w:rFonts w:ascii="Times New Roman" w:hAnsi="Times New Roman" w:cs="Times New Roman"/>
          <w:noProof/>
          <w:sz w:val="24"/>
          <w:szCs w:val="24"/>
        </w:rPr>
      </w:pPr>
      <w:r>
        <w:rPr>
          <w:rFonts w:ascii="Times New Roman" w:hAnsi="Times New Roman"/>
          <w:noProof/>
          <w:sz w:val="24"/>
        </w:rPr>
        <w:t>При общия брой на незаконно пристигащите от Турция в Гърция се наблюдава вариране, въпреки че стойностите намаляват (вж. графики 2 и 3). Тази низходяща тенденция обаче е в диапазона, който може да се очаква предвид зимните условия. Като се има предвид зимният сезон, стойностите остават високи за този период от годината.</w:t>
      </w:r>
    </w:p>
    <w:p>
      <w:pPr>
        <w:spacing w:line="240" w:lineRule="auto"/>
        <w:jc w:val="both"/>
        <w:rPr>
          <w:rFonts w:ascii="Times New Roman" w:hAnsi="Times New Roman" w:cs="Times New Roman"/>
          <w:noProof/>
          <w:sz w:val="24"/>
          <w:szCs w:val="24"/>
        </w:rPr>
      </w:pPr>
      <w:r>
        <w:rPr>
          <w:rFonts w:ascii="Times New Roman" w:hAnsi="Times New Roman"/>
          <w:noProof/>
          <w:sz w:val="24"/>
        </w:rPr>
        <w:t>Законодателните и оперативните мерки, предприети от турските органи за спиране на незаконната миграция, изглежда са оказали някакво начално, макар и ограничено въздействие върху миграционните потоци. Все още не сме в състояние да определим количествено точното им въздействие в краткосрочен план.</w:t>
      </w:r>
    </w:p>
    <w:p>
      <w:pPr>
        <w:spacing w:line="240" w:lineRule="auto"/>
        <w:jc w:val="both"/>
        <w:rPr>
          <w:rFonts w:ascii="Times New Roman" w:hAnsi="Times New Roman" w:cs="Times New Roman"/>
          <w:noProof/>
          <w:sz w:val="24"/>
          <w:szCs w:val="24"/>
        </w:rPr>
      </w:pPr>
      <w:r>
        <w:rPr>
          <w:rFonts w:ascii="Times New Roman" w:hAnsi="Times New Roman"/>
          <w:noProof/>
          <w:sz w:val="24"/>
        </w:rPr>
        <w:t>Също така следва да се отбележи, че поради влошаващите се метеорологични условия броят на хората, загинали при незаконно преминаване на границата към Гърция, се увеличава</w:t>
      </w:r>
      <w:r>
        <w:rPr>
          <w:rStyle w:val="FootnoteReference"/>
          <w:rFonts w:ascii="Times New Roman" w:hAnsi="Times New Roman"/>
          <w:noProof/>
          <w:sz w:val="24"/>
        </w:rPr>
        <w:footnoteReference w:id="2"/>
      </w:r>
      <w:r>
        <w:rPr>
          <w:rFonts w:ascii="Times New Roman" w:hAnsi="Times New Roman"/>
          <w:noProof/>
          <w:sz w:val="24"/>
        </w:rPr>
        <w:t xml:space="preserve">. </w:t>
      </w:r>
    </w:p>
    <w:p>
      <w:pPr>
        <w:spacing w:after="120" w:line="240" w:lineRule="auto"/>
        <w:jc w:val="both"/>
        <w:rPr>
          <w:rFonts w:ascii="Times New Roman" w:hAnsi="Times New Roman" w:cs="Times New Roman"/>
          <w:b/>
          <w:noProof/>
          <w:sz w:val="24"/>
          <w:szCs w:val="24"/>
        </w:rPr>
      </w:pPr>
      <w:r>
        <w:rPr>
          <w:rFonts w:ascii="Times New Roman" w:hAnsi="Times New Roman"/>
          <w:b/>
          <w:noProof/>
          <w:sz w:val="24"/>
        </w:rPr>
        <w:t>1.2. Статистически данни (в Турция)</w:t>
      </w:r>
    </w:p>
    <w:p>
      <w:pPr>
        <w:spacing w:after="120" w:line="240" w:lineRule="auto"/>
        <w:jc w:val="both"/>
        <w:rPr>
          <w:rFonts w:ascii="Times New Roman" w:hAnsi="Times New Roman" w:cs="Times New Roman"/>
          <w:noProof/>
          <w:sz w:val="24"/>
          <w:szCs w:val="24"/>
        </w:rPr>
      </w:pPr>
      <w:r>
        <w:rPr>
          <w:rFonts w:ascii="Times New Roman" w:hAnsi="Times New Roman"/>
          <w:noProof/>
          <w:sz w:val="24"/>
        </w:rPr>
        <w:t>Понастоящем Турция е приела 2 582 600 сирийски бежанци</w:t>
      </w:r>
      <w:r>
        <w:rPr>
          <w:rStyle w:val="FootnoteReference"/>
          <w:rFonts w:ascii="Times New Roman" w:hAnsi="Times New Roman"/>
          <w:noProof/>
          <w:sz w:val="24"/>
        </w:rPr>
        <w:footnoteReference w:id="3"/>
      </w:r>
      <w:r>
        <w:rPr>
          <w:rFonts w:ascii="Times New Roman" w:hAnsi="Times New Roman"/>
          <w:noProof/>
          <w:sz w:val="24"/>
        </w:rPr>
        <w:t>, на които групово предоставя временна закрила. Този статут осигурява достъп до обществени услуги като образование и здравни грижи. От 15 януари 2016 г. Турция също така предоставя — при определени условия (вж. по-долу за повече подробности) — достъп до пазара на труда. Към 22 януари 269 207 сирийци са били приютени в бежански лагери, където им е оказана подкрепа, състояща се от широка гама от мерки.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След публикуването на първия доклад за изпълнението на СПД на 17 декември 2015 г. ЕС реши да събере данни от ЕС и от Турция относно изпълнението на СПД в рамките на процеса на интегрираните договорености за реакция на политическо равнище в кризисни ситуации (IPCR). В този контекст и след като бяха проведени дискусии с нея, на 22 януари Турция се съгласи да предостави данни за набор от показатели, свързани с изпълнението на СПД между ЕС и Турция, въз основа на договорен модел. Във връзка с това на 22 януари турските органи предоставиха следната информация:</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350 000 сирийски деца, ползващи се с временна закрила, са записани в училище.</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Родени са били 151 746 бебета (до 22 януари).</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Към 18 януари Турция е регистрирала 217 952 лица, които не са сирийци, като е предстояла регистрацията на още 138 912 лица.</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За периода от 1 до 15 януари 42 936 сирийци са влезли законно в Турция, а 13 887 са напуснали Турция. Съответните стойности за законните влизания и излизания на иранци са били 24 896 и 32 268; на иракчани — 12 525 и 16 300; на ливанци — 2 778 и 5 449, и на йорданци — 2 032 и 2 527. В зависимост от срока на визата чужденците могат да пребивават в Турция от 30 до 90 дни. Чужденците, които имат право да влизат в Турция без виза, могат да пребивават в страната до 90 дни в рамките на период от 180 дни. </w:t>
      </w:r>
    </w:p>
    <w:p>
      <w:pPr>
        <w:pStyle w:val="ListParagraph"/>
        <w:numPr>
          <w:ilvl w:val="0"/>
          <w:numId w:val="17"/>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В периода от 1 до 15 януари Гърция е подала до Турция 322 молби за обратно приемане. България не е подала нито една. Понастоящем Турция разглежда молбите от Гърция</w:t>
      </w:r>
      <w:r>
        <w:rPr>
          <w:rStyle w:val="FootnoteReference"/>
          <w:rFonts w:ascii="Times New Roman" w:hAnsi="Times New Roman"/>
          <w:noProof/>
          <w:sz w:val="24"/>
        </w:rPr>
        <w:footnoteReference w:id="4"/>
      </w:r>
      <w:r>
        <w:rPr>
          <w:rFonts w:ascii="Times New Roman" w:hAnsi="Times New Roman"/>
          <w:noProof/>
          <w:sz w:val="24"/>
        </w:rPr>
        <w:t>.</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През същия период, от 1 до 15 януари, граничните правоприлагащи служби на Турция са предотвратили незаконното напускане на турската територия на 2 541 мигранти през морските граници и на 4 671 през сухоземните граници в посока ЕС.</w:t>
      </w:r>
    </w:p>
    <w:p>
      <w:pPr>
        <w:pStyle w:val="ListParagraph"/>
        <w:numPr>
          <w:ilvl w:val="0"/>
          <w:numId w:val="17"/>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През 2015 г. в Турция са регистрирани 64 109 молби за убежище (11 383 от които са подадени от афганистански граждани, а 42 105 — от иракски граждани)</w:t>
      </w:r>
      <w:r>
        <w:rPr>
          <w:rStyle w:val="FootnoteReference"/>
          <w:rFonts w:ascii="Times New Roman" w:hAnsi="Times New Roman"/>
          <w:noProof/>
          <w:sz w:val="24"/>
        </w:rPr>
        <w:footnoteReference w:id="5"/>
      </w:r>
      <w:r>
        <w:rPr>
          <w:rFonts w:ascii="Times New Roman" w:hAnsi="Times New Roman"/>
          <w:noProof/>
          <w:sz w:val="24"/>
        </w:rPr>
        <w:t xml:space="preserve">. През същата година са приключени само 459 процедури за предоставяне на убежище с предоставяне на статут на бежанец или с ясно отхвърляне на молбата за убежище. Останалите молби са в процес на разглеждане. </w:t>
      </w:r>
    </w:p>
    <w:p>
      <w:pPr>
        <w:pStyle w:val="ListParagraph"/>
        <w:numPr>
          <w:ilvl w:val="0"/>
          <w:numId w:val="17"/>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В периода 1—15 януари турската брегова охрана, полиция и жандармерия са провели седем специални съвместни операции за задържане на незаконни мигранти и подпомагащи незаконната миграция лица/контрабандисти на хора и за предотвратяване на незаконното заминаване от страната. В резултат са били заловени 230 контрабандисти.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Освен това Турция отбеляза, че нейните правоприлагащи служби са увеличили усилията си за предотвратяване на незаконните заминавания, за задържане на контрабандисти и спасяване на мигранти в морето. По-конкретно Турция докладва, че през декември 2015 г. са били задържани средно по 514 незаконни мигранти на ден, в сравнение с 450 през ноември 2015 г. Общият брой на задържаните през 2015 г. контрабандисти е 3 700. Турската брегова охрана, жандармерията и всички останали правоприлагащи служби играят ключова роля при задържането на незаконни мигранти и контрабандисти. </w:t>
      </w:r>
    </w:p>
    <w:p>
      <w:pPr>
        <w:spacing w:after="120" w:line="240" w:lineRule="auto"/>
        <w:jc w:val="both"/>
        <w:rPr>
          <w:rFonts w:ascii="Times New Roman" w:hAnsi="Times New Roman" w:cs="Times New Roman"/>
          <w:noProof/>
          <w:sz w:val="24"/>
          <w:szCs w:val="24"/>
        </w:rPr>
      </w:pPr>
      <w:r>
        <w:rPr>
          <w:rFonts w:ascii="Times New Roman" w:hAnsi="Times New Roman"/>
          <w:noProof/>
          <w:sz w:val="24"/>
        </w:rPr>
        <w:t>Турция обеща през февруари да предостави повече информация въз основа на договорения модел.</w:t>
      </w:r>
    </w:p>
    <w:p>
      <w:pPr>
        <w:spacing w:after="0" w:line="240" w:lineRule="auto"/>
        <w:jc w:val="both"/>
        <w:rPr>
          <w:rFonts w:ascii="Times New Roman" w:hAnsi="Times New Roman" w:cs="Times New Roman"/>
          <w:b/>
          <w:noProof/>
          <w:sz w:val="24"/>
          <w:szCs w:val="24"/>
          <w:u w:val="single"/>
        </w:rPr>
      </w:pPr>
    </w:p>
    <w:p>
      <w:pPr>
        <w:spacing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Част 2: </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Изпълнение на ангажиментите на Турция съгласно Съвместния план за действие между ЕС и Турция </w:t>
      </w:r>
    </w:p>
    <w:p>
      <w:pPr>
        <w:spacing w:line="240" w:lineRule="auto"/>
        <w:jc w:val="both"/>
        <w:rPr>
          <w:rFonts w:ascii="Times New Roman" w:hAnsi="Times New Roman" w:cs="Times New Roman"/>
          <w:noProof/>
          <w:sz w:val="24"/>
          <w:szCs w:val="24"/>
        </w:rPr>
      </w:pPr>
      <w:r>
        <w:rPr>
          <w:rFonts w:ascii="Times New Roman" w:hAnsi="Times New Roman"/>
          <w:noProof/>
          <w:sz w:val="24"/>
        </w:rPr>
        <w:t>На 8 януари Турция въведе задължение за притежаване на виза за сирийците, пътуващи до турски летища или морски пристанища и пристигащи от трети държави, с цел да се намали транзитната миграция в посока ЕС. Мярката доведе до незабавен ефект, като броят на сирийците, които в крайна сметка бяха допуснати в Турция от Ливан и Йордания, намаля рязко след нейното въвеждане, спадайки от 41 781 души през последните осем дни (т.е. 1—8 януари) преди въвеждането на изискването за виза на 1 155 души през следващите десет дни (т.е. 9—18 януари). Това представлява намаление от над 40 000 души.</w:t>
      </w:r>
    </w:p>
    <w:p>
      <w:pPr>
        <w:spacing w:line="240" w:lineRule="auto"/>
        <w:jc w:val="both"/>
        <w:rPr>
          <w:rFonts w:ascii="Times New Roman" w:hAnsi="Times New Roman" w:cs="Times New Roman"/>
          <w:noProof/>
          <w:sz w:val="24"/>
          <w:szCs w:val="24"/>
        </w:rPr>
      </w:pPr>
      <w:r>
        <w:rPr>
          <w:rFonts w:ascii="Times New Roman" w:hAnsi="Times New Roman"/>
          <w:noProof/>
          <w:sz w:val="24"/>
        </w:rPr>
        <w:t>На 15 януари Турция прие нормативен акт, с който предоставя на сирийците, ползващи се с временна закрила, ефективен достъп до пазара на труда, макар и при някои условия и ограничения, като по този начин изпълни основен ангажимент по СПД. Целта на мярката е Турция да стане по-привлекателна държава за убежище за сирийците, като по този начин се предприемат действия във връзка с един от основните фактори, които тласкат сирийците да навлизат незаконно в ЕС в търсене на по-добри перспективи. Съгласно нормативния акт сирийски гражданин може да подаде заявление за разрешение за работа само шест месеца след одобрението на статута му на ползващ се с временна закрила. Разрешения за работа могат да бъдат предоставяни само в провинциите, в които бежанецът, ползващ се с временна закрила, има право да пребивава. В нормативния акт не се предвиждат ограничения по отношение на икономическите сектори, въпреки че се предвижда ограничение до 10 % за сирийски бежанци с изключение на секторите на земеделието и животновъдството. Нормативният акт е пряко приложим, но общият му характер може да изисква допълнителни правила за неговото прилагане. Приемането на този нормативен акт несъмнено представлява много положителна стъпка; неговото реалното въздействие обаче ще зависи от бързото му и ефективно прилагане.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Турция е подготвила и е внесла в парламента законодателен проект относно защитата на личните данни. Ако е съвместимо с европейските стандарти, това законодателство ще даде възможност на Турция да си сътрудничи по-тясно с Европол, Евроюст и правоприлагащите служби на държавите членки. Настоящият законопроект се нуждае от допълнителни подобрения основно във връзка с независимостта на органа за защита на данните и изключването на правоприлагащите органи и разузнавателните дейности от обхвата на закона. ЕС сподели с Турция своята загриженост с надеждата, че тези недостатъци все още могат да бъдат отстранени в хода на парламентарния процес.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На 8 януари турското правителство внесе в парламента за ратифициране тристранното споразумение между Турция, България и Гърция. </w:t>
      </w:r>
    </w:p>
    <w:p>
      <w:pPr>
        <w:spacing w:line="240" w:lineRule="auto"/>
        <w:jc w:val="both"/>
        <w:rPr>
          <w:rFonts w:ascii="Times New Roman" w:hAnsi="Times New Roman" w:cs="Times New Roman"/>
          <w:noProof/>
          <w:sz w:val="24"/>
          <w:szCs w:val="24"/>
        </w:rPr>
      </w:pPr>
      <w:r>
        <w:rPr>
          <w:rFonts w:ascii="Times New Roman" w:hAnsi="Times New Roman"/>
          <w:noProof/>
          <w:sz w:val="24"/>
        </w:rPr>
        <w:t>Турция изрази готовност да подобри изпълнението на задълженията по споразумението за обратно приемане между Турция и Гърция и да открие повече пунктове за обратно приемане в допълнение към този в Дикили. Основният проблем за изпълнението на това двустранно споразумение остава дългото забавяне при обработването на гръцките молби за обратно приемане. В края на декември 2015 г. и края на януари 2016 г. турски служители са посетили Атина и обсъдили с гръцките органи средствата и начините за подобряване на изпълнението на двустранното споразумение за обратно приемане.</w:t>
      </w:r>
    </w:p>
    <w:p>
      <w:pPr>
        <w:spacing w:line="240" w:lineRule="auto"/>
        <w:jc w:val="both"/>
        <w:rPr>
          <w:rFonts w:ascii="Times New Roman" w:hAnsi="Times New Roman" w:cs="Times New Roman"/>
          <w:noProof/>
          <w:sz w:val="24"/>
          <w:szCs w:val="24"/>
        </w:rPr>
      </w:pPr>
      <w:r>
        <w:rPr>
          <w:rFonts w:ascii="Times New Roman" w:hAnsi="Times New Roman"/>
          <w:noProof/>
          <w:sz w:val="24"/>
        </w:rPr>
        <w:t>През януари турската полиция е организирала информационна кампания в турския южен курортен град Бодрум. Дирекцията на полицията в провинцията е изготвила брошури, с които мигрантите да бъдат разубеждавани да предприемат опасни пътувания към Европа. Отпечатани са около 5 000 брошури на турски, арабски и английски език, които са предадени на жандармерията за разпространение.</w:t>
      </w:r>
    </w:p>
    <w:p>
      <w:pPr>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u w:val="single"/>
        </w:rPr>
        <w:t>Част 3:</w:t>
      </w:r>
      <w:r>
        <w:rPr>
          <w:rFonts w:ascii="Times New Roman" w:hAnsi="Times New Roman"/>
          <w:b/>
          <w:noProof/>
          <w:sz w:val="24"/>
        </w:rPr>
        <w:t xml:space="preserve"> </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Изпълнение на ангажиментите на ЕС съгласно Съвместния план за действие между ЕС и Турция </w:t>
      </w:r>
    </w:p>
    <w:p>
      <w:pPr>
        <w:pStyle w:val="ListBullet"/>
        <w:numPr>
          <w:ilvl w:val="0"/>
          <w:numId w:val="0"/>
        </w:numPr>
        <w:spacing w:line="240" w:lineRule="auto"/>
        <w:jc w:val="both"/>
        <w:rPr>
          <w:rFonts w:ascii="Times New Roman" w:hAnsi="Times New Roman" w:cs="Times New Roman"/>
          <w:noProof/>
          <w:sz w:val="24"/>
          <w:szCs w:val="24"/>
        </w:rPr>
      </w:pPr>
      <w:r>
        <w:rPr>
          <w:rFonts w:ascii="Times New Roman" w:hAnsi="Times New Roman"/>
          <w:noProof/>
          <w:sz w:val="24"/>
        </w:rPr>
        <w:t xml:space="preserve">На 24 ноември 2015 г. Комисията прие решение за създаване на Механизъм за бежанците в Турция и механизъм за координиране на действията на Съюза и на държавите членки в подкрепа на усилията на Турция за приемането на над 2 милиона сирийски бежанци. Комисията и държавите членки са поели ангажимент да предоставят първоначална сума от 3 милиарда евро през 2016 г. и 2017 г., която ще бъде направлявана чрез Механизма. Държавите членки приветстваха създаването на Механизма, като същевременно подчертаха връзката между изпълнението от Турция на ангажиментите ѝ съгласно съвместния план за действие и предоставянето на помощта. Впоследствие беше решено, че от бюджета на ЕС ще бъде предоставен 1 милиард евро за Механизма, докато държавите членки ще осигурят останалите 2 милиарда евро според техния дял от БНД. На 3 февруари държавите членки постигнаха политическо споразумение относно източниците на финансиране и оперативните условия за Механизма. Впоследствие Комисията измени решението си, за да отрази споразумението с държавите членки. Комисията отговаря за управлението на ресурсите, координирани чрез Механизма, като използва за това финансовите инструменти за външна помощ, които са най-подходящи за вида помощ, която ще бъде предоставена. Механизмът се управлява от ръководен комитет, председателстван от Комисията. Държавите членки са членове на ръководния комитет, в който Турция има статут на наблюдател. Ръководният комитет ще проведе първото си заседание на 17 февруари. Механизмът ще предоставя помощ във възможно най-кратък срок, като основната му цел ще бъде осигуряването на помощ, за да се посрещнат по един достоен начин основните нужди на най-уязвимите бежанци, които живеят в Турция, в това число нуждите от храна, подслон, спешна медицинска помощ и защита. В допълнение към предвидените дългосрочни действия, помощта ще обхване и неформалното образование, за да не се стигне до едно загубено поколение сирийски деца. Понастоящем около 400 000 сирийски деца не могат да посещават училище. Това е важен мотивиращ фактор за миграция, който застрашава не само непосредственото им здраве и благополучие, но и възможността им да изградят бъдеще за себе си. </w:t>
      </w:r>
    </w:p>
    <w:p>
      <w:pPr>
        <w:spacing w:line="240" w:lineRule="auto"/>
        <w:jc w:val="both"/>
        <w:rPr>
          <w:rFonts w:ascii="Times New Roman" w:hAnsi="Times New Roman" w:cs="Times New Roman"/>
          <w:noProof/>
          <w:sz w:val="24"/>
          <w:szCs w:val="24"/>
        </w:rPr>
      </w:pPr>
      <w:r>
        <w:rPr>
          <w:rFonts w:ascii="Times New Roman" w:hAnsi="Times New Roman"/>
          <w:noProof/>
          <w:sz w:val="24"/>
        </w:rPr>
        <w:t>В края на 2015 г. в сътрудничество с турските органи Комисията стартира оценка на нуждите на сирийците, ползващи се с временна закрила в Турция. Първият преглед на оценката на нуждите се очаква да бъде изготвен до средата на февруари, а проучването е предвидено да приключи в началото на пролетта. Оценката на нуждите ще помогне за набелязването на проекти, които да бъдат финансирани чрез Механизма. Междувременно Комисията вече определи образованието, подобряването на пригодността за заетост на сирийските бежанци и презаселването като приоритетни области за незабавна подкрепа (вж. приложението с приоритетни области за намеса). Според текущите предварителни прогнози една трета от помощта може да бъде използвана за хуманитарни нужди, а с две трети от нея биха могли да се подпомогнат достъпът до образование (важен приоритет), местната инфраструктура и възможностите за работа.</w:t>
      </w:r>
    </w:p>
    <w:p>
      <w:pPr>
        <w:spacing w:line="240" w:lineRule="auto"/>
        <w:jc w:val="both"/>
        <w:rPr>
          <w:rFonts w:ascii="Times New Roman" w:hAnsi="Times New Roman" w:cs="Times New Roman"/>
          <w:bCs/>
          <w:iCs/>
          <w:noProof/>
          <w:sz w:val="24"/>
          <w:szCs w:val="24"/>
        </w:rPr>
      </w:pPr>
      <w:r>
        <w:rPr>
          <w:rFonts w:ascii="Times New Roman" w:hAnsi="Times New Roman"/>
          <w:noProof/>
          <w:sz w:val="24"/>
        </w:rPr>
        <w:t>На 11 януари първият заместник-председател на Комисията Тимерманс посети Турция и обсъди с турските партньори ефективното изпълнение на СПД.</w:t>
      </w:r>
    </w:p>
    <w:p>
      <w:pPr>
        <w:spacing w:line="240" w:lineRule="auto"/>
        <w:jc w:val="both"/>
        <w:rPr>
          <w:rFonts w:ascii="Times New Roman" w:hAnsi="Times New Roman" w:cs="Times New Roman"/>
          <w:bCs/>
          <w:iCs/>
          <w:noProof/>
          <w:sz w:val="24"/>
          <w:szCs w:val="24"/>
        </w:rPr>
      </w:pPr>
      <w:r>
        <w:rPr>
          <w:rFonts w:ascii="Times New Roman" w:hAnsi="Times New Roman"/>
          <w:noProof/>
          <w:sz w:val="24"/>
        </w:rPr>
        <w:t xml:space="preserve">На 25 януари върховният представител и заместник-председател на Комисията Могерини и комисар Хан проведоха дискусии относно изпълнението на СПД в рамките на политически диалог на високо равнище. </w:t>
      </w:r>
    </w:p>
    <w:p>
      <w:pPr>
        <w:spacing w:line="240" w:lineRule="auto"/>
        <w:jc w:val="both"/>
        <w:rPr>
          <w:rFonts w:ascii="Times New Roman" w:hAnsi="Times New Roman" w:cs="Times New Roman"/>
          <w:bCs/>
          <w:iCs/>
          <w:noProof/>
          <w:sz w:val="24"/>
          <w:szCs w:val="24"/>
        </w:rPr>
      </w:pPr>
      <w:r>
        <w:rPr>
          <w:rFonts w:ascii="Times New Roman" w:hAnsi="Times New Roman"/>
          <w:noProof/>
          <w:sz w:val="24"/>
        </w:rPr>
        <w:t>На 28 февруари делегация на ЕС се срещна с турските органи в Анкара, за да се обсъдят и договорят конкретни начини за подобряване на изпълнението и повишаване на ефективността на СПД, както и за намаляване на миграционните потоци. Те набелязаха дванадесет приоритетни действия, които следва спешно да бъдат проучени допълнително. Списъкът на действията включва inter alia:</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Укрепване на капацитета на Турция за прилагане на споразумението между ЕС и Турция за обратно приемане, считано от 1 юни 2016 г.;</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 xml:space="preserve">Сключване от Турция на споразумения за обратно приемане с държавите, които са източник на незаконна миграция към Турция и ЕС; </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Подобряване на прилагането на двустранното споразумение между Гърция и Турция;</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Приемане на законодателство за защита на личните данни в съответствие с европейските стандарти, което е необходимо с цел по-тясно сътрудничество на Турция с Европол, Евроюст и правоприлагащите служби на държавите членки;</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Увеличаване на капацитета на турската брегова охрана за прихващане;</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Укрепване на законодателството, действията и сътрудничеството на Турция с държавите — членки на ЕС, в борбата срещу контрабандата и контрабандистите на хора;</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 xml:space="preserve">Оказване на подкрепа на Турция с цел по-добро управление на източните ѝ граници; </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По-активни информационни кампании за мигрантите, за да бъдат разубедени да предприемат опасни пътувания към ЕС;</w:t>
      </w:r>
    </w:p>
    <w:p>
      <w:pPr>
        <w:pStyle w:val="ListParagraph"/>
        <w:numPr>
          <w:ilvl w:val="0"/>
          <w:numId w:val="17"/>
        </w:numPr>
        <w:spacing w:after="120" w:line="240" w:lineRule="auto"/>
        <w:ind w:left="714" w:hanging="357"/>
        <w:contextualSpacing w:val="0"/>
        <w:jc w:val="both"/>
        <w:rPr>
          <w:rFonts w:ascii="Times New Roman" w:hAnsi="Times New Roman" w:cs="Times New Roman"/>
          <w:bCs/>
          <w:iCs/>
          <w:noProof/>
          <w:sz w:val="24"/>
          <w:szCs w:val="24"/>
        </w:rPr>
      </w:pPr>
      <w:r>
        <w:rPr>
          <w:rFonts w:ascii="Times New Roman" w:hAnsi="Times New Roman"/>
          <w:noProof/>
          <w:sz w:val="24"/>
        </w:rPr>
        <w:t xml:space="preserve">Оказване на подкрепа на Турция за по-доброто идентифициране на подправени документи за пътуване и други удостоверителни документи. </w:t>
      </w:r>
    </w:p>
    <w:p>
      <w:pPr>
        <w:spacing w:line="240" w:lineRule="auto"/>
        <w:jc w:val="both"/>
        <w:rPr>
          <w:rFonts w:ascii="Times New Roman" w:hAnsi="Times New Roman" w:cs="Times New Roman"/>
          <w:bCs/>
          <w:iCs/>
          <w:noProof/>
          <w:sz w:val="24"/>
          <w:szCs w:val="24"/>
        </w:rPr>
      </w:pPr>
      <w:r>
        <w:rPr>
          <w:rFonts w:ascii="Times New Roman" w:hAnsi="Times New Roman"/>
          <w:noProof/>
          <w:sz w:val="24"/>
        </w:rPr>
        <w:t>ЕС вече предоставя помощ в няколко от горепосочените области, по-конкретно чрез Инструмента за предприсъединителна помощ (ИПП) и Инструмента, допринасящ за стабилността и мира (IcSP), като е възможно да се наложи ускоряване на нейното предоставяне.</w:t>
      </w:r>
    </w:p>
    <w:p>
      <w:pPr>
        <w:spacing w:line="240" w:lineRule="auto"/>
        <w:jc w:val="both"/>
        <w:rPr>
          <w:rFonts w:ascii="Times New Roman" w:hAnsi="Times New Roman" w:cs="Times New Roman"/>
          <w:bCs/>
          <w:iCs/>
          <w:noProof/>
          <w:sz w:val="24"/>
          <w:szCs w:val="24"/>
        </w:rPr>
      </w:pPr>
      <w:r>
        <w:rPr>
          <w:rFonts w:ascii="Times New Roman" w:hAnsi="Times New Roman"/>
          <w:noProof/>
          <w:sz w:val="24"/>
        </w:rPr>
        <w:t xml:space="preserve">На 2 февруари двете страни проведоха първото обсъждане на последващи мерки относно горепосочения списък от действия.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Комисията и Турция продължиха дискусиите относно приоритетите за програмата за 2016 г. за помощта по ИПП, като обърнаха специално внимание на увеличаването на финансовата помощ за подкрепа на Турция при изпълнението на изискването от диалога за либерализиране на визовия режим (програмно посещение на Генерална дирекция „Политика за съседство и преговори за разширяване“ на 9—11 декември). </w:t>
      </w:r>
    </w:p>
    <w:p>
      <w:pPr>
        <w:spacing w:line="240" w:lineRule="auto"/>
        <w:jc w:val="both"/>
        <w:rPr>
          <w:rFonts w:ascii="Times New Roman" w:hAnsi="Times New Roman" w:cs="Times New Roman"/>
          <w:noProof/>
          <w:sz w:val="24"/>
          <w:szCs w:val="24"/>
        </w:rPr>
      </w:pPr>
      <w:r>
        <w:rPr>
          <w:rFonts w:ascii="Times New Roman" w:hAnsi="Times New Roman"/>
          <w:noProof/>
          <w:sz w:val="24"/>
        </w:rPr>
        <w:t>Междувременно ЕС продължи да предоставя незабавна помощ в Турция. От началото на кризата от бюджета на ЕС са предоставени общо 365 милиона евро за пряко подпомагане на сирийските бежанци и турските приемни общности. От тази сума за хуманитарна помощ до момента са сключени договори за 71 милиона евро чрез съответните хуманитарни организации основно за подпомагане на бежанците в Турция.</w:t>
      </w:r>
      <w:r>
        <w:rPr>
          <w:noProof/>
        </w:rPr>
        <w:t xml:space="preserve"> </w:t>
      </w:r>
      <w:r>
        <w:rPr>
          <w:rFonts w:ascii="Times New Roman" w:hAnsi="Times New Roman"/>
          <w:noProof/>
          <w:sz w:val="24"/>
        </w:rPr>
        <w:t>През май 2015 г. управителният съвет на доверителния фонд на ЕС в отговор на кризата в Сирия одобри програма за първоначална реакция на стойност 18 милиона евро от ИПП, за да се посрещнат непосредствените нужди от образование и продоволствена сигурност на сирийските бежанци в Турция. През септември 2015 г. бяха подписани споразумения с УНИЦЕФ и Световната продоволствена програма (СПП). Общо през 2015 г. чрез доверителния фонд на ЕС бяха предоставени около 173 милиона евро от ИПП. На 1 декември 2015 г. управителният съвет на доверителния фонд на ЕС за Сирия прие нови финансови решения за действия в Турция в размер до 150 милиона евро. В края на 2015 г. 165 милиона евро от средствата на Инструмента за предприсъединителна помощ (ИПП) за 2012 г., за които имаше риск от отмяна на бюджетните кредити, включително 25 милиона евро съфинансиране от Турция, бяха разпределени за доверителния фонд за проекти в Турция. Понастоящем се извършва оценка на проектен портфейл от 21 проекта на стойност 383 милиона евро. Определянето на по-нататъшните действия в Турция ще бъде направено въз основа на извършвания понастоящем анализ на нуждите (вж. по-горе).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ЕС също така продължи да предоставя значителна помощ на сирийските бежанци, приети в Ливан, Йордания и Ирак, както и на сирийците, разселени в Сирия. На второто заседание на своя управителен съвет, проведено на 1 декември 2015 г., доверителният фонд на ЕС в отговор на кризата в Сирия разпредели 350 милиона евро за спешно необходима помощ за 1,5 милиона бежанци и за намиращите се под прекомерен натиск приемни общности в Ливан, Турция, Йордания и Ирак. </w:t>
      </w:r>
    </w:p>
    <w:p>
      <w:pPr>
        <w:tabs>
          <w:tab w:val="num" w:pos="720"/>
        </w:tabs>
        <w:spacing w:line="240" w:lineRule="auto"/>
        <w:jc w:val="both"/>
        <w:rPr>
          <w:rFonts w:ascii="Times New Roman" w:hAnsi="Times New Roman" w:cs="Times New Roman"/>
          <w:noProof/>
          <w:sz w:val="24"/>
          <w:szCs w:val="24"/>
        </w:rPr>
      </w:pPr>
      <w:r>
        <w:rPr>
          <w:rFonts w:ascii="Times New Roman" w:hAnsi="Times New Roman"/>
          <w:noProof/>
          <w:sz w:val="24"/>
        </w:rPr>
        <w:t>На 7 декември ЕС прие годишната програма за действие за Турция за 2015 г. по ИПП II, като предостави допълнителна подкрепа за Турция за укрепване на капацитета ѝ за борба с контрабандата на мигранти, по-специално чрез увеличаване на капацитета за патрулиране и наблюдение на турската брегова служба чрез закупуването на 20 надуваеми лодки и шест мобилни радара, както и за други съответни турски органи. В програмата се предвиждат и доставки за увеличаване на капацитета на командването на турската брегова охрана за борба с незаконната имиграция и организираната престъпност по море, като целта е да се увеличи броят на спасените/задържаните незаконни мигранти. Понастоящем се разработва проект по ИПП за подкрепа на Турция при осигуряването на сигурни паспорти с биометрични данни.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ЕС завърши процедурата за подбор с цел разполагане на служител на FRONTEX за връзка в Турция. </w:t>
      </w:r>
    </w:p>
    <w:p>
      <w:pPr>
        <w:spacing w:after="0" w:line="240" w:lineRule="auto"/>
        <w:jc w:val="both"/>
        <w:rPr>
          <w:rFonts w:ascii="Times New Roman" w:hAnsi="Times New Roman" w:cs="Times New Roman"/>
          <w:b/>
          <w:noProof/>
          <w:sz w:val="24"/>
          <w:szCs w:val="24"/>
          <w:u w:val="single"/>
        </w:rPr>
      </w:pPr>
    </w:p>
    <w:p>
      <w:pPr>
        <w:spacing w:line="240" w:lineRule="auto"/>
        <w:jc w:val="both"/>
        <w:rPr>
          <w:rFonts w:ascii="Times New Roman" w:hAnsi="Times New Roman" w:cs="Times New Roman"/>
          <w:b/>
          <w:noProof/>
          <w:sz w:val="24"/>
          <w:szCs w:val="24"/>
          <w:u w:val="single"/>
        </w:rPr>
      </w:pPr>
      <w:r>
        <w:rPr>
          <w:rFonts w:ascii="Times New Roman" w:hAnsi="Times New Roman"/>
          <w:b/>
          <w:noProof/>
          <w:sz w:val="24"/>
          <w:u w:val="single"/>
        </w:rPr>
        <w:t xml:space="preserve">Част 4 </w:t>
      </w:r>
    </w:p>
    <w:p>
      <w:pPr>
        <w:spacing w:line="240" w:lineRule="auto"/>
        <w:jc w:val="both"/>
        <w:rPr>
          <w:rFonts w:ascii="Times New Roman" w:hAnsi="Times New Roman" w:cs="Times New Roman"/>
          <w:b/>
          <w:noProof/>
          <w:sz w:val="24"/>
          <w:szCs w:val="24"/>
        </w:rPr>
      </w:pPr>
      <w:r>
        <w:rPr>
          <w:rFonts w:ascii="Times New Roman" w:hAnsi="Times New Roman"/>
          <w:b/>
          <w:noProof/>
          <w:sz w:val="24"/>
        </w:rPr>
        <w:t>Заключения и препоръки</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Общият брой на незаконните мигранти, влизащи в ЕС от Турция, бележи спад от октомври 2015 г. Въпреки това броят им остава висок за този период на годината. За да се справи с това тревожно явление, Турция трябва спешно да постигне значителен напредък в предотвратяването на незаконното заминаване на мигранти и бежанци от нейната територия. Особено важно е да се засилят наземните операции за предотвратяване на незаконното заминаване.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Дялът на лицата, които не са сирийци (напр. афганистанци, иракчани, пакистанци, иранци, мароканци, бангладешци), сред незаконно пристигащите мигранти нараства от октомври насам. За да се справи с това явление, Турция трябва спешно да предприеме допълнителни мерки, за да съгласува постепенно визовата си политика с тази на ЕС, като обърне приоритетно внимание на онези държави, които са източник на незаконна миграция към ЕС. Турция трябва да гарантира, че приложимите процедури се приключват бързо, както е предвидено в националното ѝ законодателство, с ясно предоставяне на статут на бежанец или с отхвърляне. Турция също така трябва да гарантира, че не се допуска незаконното движение към ЕС на незаконни мигранти, за които е определено, че не се нуждаят от международна закрила. </w:t>
      </w:r>
    </w:p>
    <w:p>
      <w:pPr>
        <w:spacing w:line="240" w:lineRule="auto"/>
        <w:jc w:val="both"/>
        <w:rPr>
          <w:rFonts w:ascii="Times New Roman" w:hAnsi="Times New Roman" w:cs="Times New Roman"/>
          <w:noProof/>
          <w:sz w:val="24"/>
          <w:szCs w:val="24"/>
        </w:rPr>
      </w:pPr>
      <w:r>
        <w:rPr>
          <w:rFonts w:ascii="Times New Roman" w:hAnsi="Times New Roman"/>
          <w:noProof/>
          <w:sz w:val="24"/>
        </w:rPr>
        <w:t>От Турция се изисква да преразгледа проектозакона си за защита на личните данни, който понастоящем е внесен в парламента, и изцяло да го приведе в съответствие с европейските стандарти. Бързото приемане на подходящ закон за защита на личните данни ще даде възможност за по-тясно сътрудничество на Турция с Европол, Евроюст и правоприлагащите служби на държавите членки.</w:t>
      </w:r>
    </w:p>
    <w:p>
      <w:pPr>
        <w:spacing w:line="240" w:lineRule="auto"/>
        <w:jc w:val="both"/>
        <w:rPr>
          <w:rFonts w:ascii="Times New Roman" w:hAnsi="Times New Roman" w:cs="Times New Roman"/>
          <w:noProof/>
          <w:sz w:val="24"/>
          <w:szCs w:val="24"/>
        </w:rPr>
      </w:pPr>
      <w:r>
        <w:rPr>
          <w:rFonts w:ascii="Times New Roman" w:hAnsi="Times New Roman"/>
          <w:noProof/>
          <w:sz w:val="24"/>
        </w:rPr>
        <w:t>Турция и Гърция трябва да засилят двустранното си сътрудничество за наблюдение на границите, за борба с контрабандата на мигранти и за по-добро прилагане на двустранните задължения между Турция и Гърция за обратно приемане.</w:t>
      </w:r>
    </w:p>
    <w:p>
      <w:pPr>
        <w:spacing w:line="240" w:lineRule="auto"/>
        <w:jc w:val="both"/>
        <w:rPr>
          <w:rFonts w:ascii="Times New Roman" w:hAnsi="Times New Roman" w:cs="Times New Roman"/>
          <w:noProof/>
          <w:sz w:val="24"/>
          <w:szCs w:val="24"/>
        </w:rPr>
      </w:pPr>
      <w:r>
        <w:rPr>
          <w:rFonts w:ascii="Times New Roman" w:hAnsi="Times New Roman"/>
          <w:noProof/>
          <w:sz w:val="24"/>
        </w:rPr>
        <w:t>Турция също така се приканва да се подготви за прилагането на споразумението между ЕС и Турция за обратно приемане на граждани на трети държави от 1 юни 2016 г.</w:t>
      </w:r>
    </w:p>
    <w:p>
      <w:pPr>
        <w:spacing w:line="240" w:lineRule="auto"/>
        <w:jc w:val="both"/>
        <w:rPr>
          <w:rFonts w:ascii="Times New Roman" w:hAnsi="Times New Roman" w:cs="Times New Roman"/>
          <w:noProof/>
          <w:sz w:val="24"/>
          <w:szCs w:val="24"/>
        </w:rPr>
      </w:pPr>
      <w:r>
        <w:rPr>
          <w:rFonts w:ascii="Times New Roman" w:hAnsi="Times New Roman"/>
          <w:noProof/>
          <w:sz w:val="24"/>
        </w:rPr>
        <w:t>Турция се приканва да засили действията си за борба с контрабандата на мигранти в крайбрежните райони, включително в сътрудничество със заинтересованите държави — членки на ЕС.</w:t>
      </w:r>
    </w:p>
    <w:p>
      <w:pPr>
        <w:spacing w:line="240" w:lineRule="auto"/>
        <w:jc w:val="both"/>
        <w:rPr>
          <w:rFonts w:ascii="Times New Roman" w:hAnsi="Times New Roman" w:cs="Times New Roman"/>
          <w:noProof/>
          <w:sz w:val="24"/>
          <w:szCs w:val="24"/>
        </w:rPr>
      </w:pPr>
      <w:r>
        <w:rPr>
          <w:rFonts w:ascii="Times New Roman" w:hAnsi="Times New Roman"/>
          <w:noProof/>
          <w:sz w:val="24"/>
        </w:rPr>
        <w:t>След постигането на съгласие относно Механизма за бежанците в Турция ЕС от своя страна трябва да започне въз възможно най-кратък срок да предоставя помощ и да действа за посрещане на нуждите на бежанците съгласно Механизма. Освен това Комисията и Турция следва да имат готовност да преразгледат приоритетите при съществуващите програми за помощ за Турция в областта на миграцията, за да отговорят бързо на нововъзникващите нужди. Както е посочено в приложението, набелязаните приоритетни сектори за финансова помощ за бежанците в Турция са хуманитарната помощ, образованието, интеграцията на пазара на труда, здравеопазването и социалното приобщаване, общинската инфраструктура и управлението на бежанските потоци. Оценката на нуждите, която се извършва понастоящем, ще осигури подробен анализ за недостига на финансиране и ще послужи за подреждане по приоритет на нуждите от финансиране във всички сектори. Ръководният комитет на Механизма ще предоставя стратегически насоки и ще взема решения относно конкретните действия, суми и най-подходящи финансови инструменти, които да се използват. Първото заседание на ръководния комитет ще се проведе на 17 февруари 2016 г.</w:t>
      </w:r>
    </w:p>
    <w:p>
      <w:pPr>
        <w:spacing w:line="240" w:lineRule="auto"/>
        <w:jc w:val="both"/>
        <w:rPr>
          <w:rFonts w:ascii="Times New Roman" w:hAnsi="Times New Roman" w:cs="Times New Roman"/>
          <w:noProof/>
          <w:sz w:val="24"/>
          <w:szCs w:val="24"/>
        </w:rPr>
      </w:pPr>
      <w:r>
        <w:rPr>
          <w:rFonts w:ascii="Times New Roman" w:hAnsi="Times New Roman"/>
          <w:noProof/>
          <w:sz w:val="24"/>
        </w:rPr>
        <w:t>Турция и ЕС трябва да продължат работата си и да приведат в действие вече свършеното по договорените на 28 януари 12 действия в подкрепа на ефективното изпълнение на Съвместния план за действие.</w:t>
      </w:r>
    </w:p>
    <w:p>
      <w:pPr>
        <w:spacing w:line="240" w:lineRule="auto"/>
        <w:jc w:val="both"/>
        <w:rPr>
          <w:rFonts w:ascii="Times New Roman" w:hAnsi="Times New Roman" w:cs="Times New Roman"/>
          <w:noProof/>
          <w:sz w:val="24"/>
          <w:szCs w:val="24"/>
        </w:rPr>
      </w:pPr>
      <w:r>
        <w:rPr>
          <w:rFonts w:ascii="Times New Roman" w:hAnsi="Times New Roman"/>
          <w:noProof/>
          <w:sz w:val="24"/>
        </w:rPr>
        <w:t>В заключение, Турция се призовава да продължи и да засили действията си за цялостно и ефективно изпълнение на Съвместния план за действие. Важно е ефектът от координираните усилия на ЕС и Турция бързо да получи отражение в резултатите, по-специално що се отнася до спирането на притока на незаконни мигранти.</w:t>
      </w:r>
    </w:p>
    <w:p>
      <w:pPr>
        <w:spacing w:line="240" w:lineRule="auto"/>
        <w:jc w:val="both"/>
        <w:rPr>
          <w:rFonts w:ascii="Times New Roman" w:hAnsi="Times New Roman" w:cs="Times New Roman"/>
          <w:noProof/>
          <w:sz w:val="24"/>
          <w:szCs w:val="24"/>
        </w:rPr>
      </w:pPr>
      <w:r>
        <w:rPr>
          <w:rFonts w:ascii="Times New Roman" w:hAnsi="Times New Roman"/>
          <w:noProof/>
          <w:sz w:val="24"/>
        </w:rPr>
        <w:t>Комисията ще продължи да полага усилия, за да гарантира бързо и ефективно изпълнение на Съвместния план за действие между ЕС и Турция. Комисията ще следи внимателно изпълнението на СПД и редовно ще докладва за него.</w:t>
      </w:r>
    </w:p>
    <w:p>
      <w:pPr>
        <w:spacing w:line="240" w:lineRule="auto"/>
        <w:rPr>
          <w:rFonts w:ascii="Times New Roman" w:hAnsi="Times New Roman" w:cs="Times New Roman"/>
          <w:noProof/>
          <w:sz w:val="24"/>
          <w:szCs w:val="24"/>
        </w:rPr>
      </w:pPr>
      <w:r>
        <w:rPr>
          <w:noProof/>
        </w:rPr>
        <w:br w:type="page"/>
      </w:r>
    </w:p>
    <w:p>
      <w:pPr>
        <w:spacing w:line="240" w:lineRule="auto"/>
        <w:jc w:val="center"/>
        <w:rPr>
          <w:rFonts w:ascii="Times New Roman" w:hAnsi="Times New Roman" w:cs="Times New Roman"/>
          <w:b/>
          <w:noProof/>
          <w:sz w:val="24"/>
          <w:szCs w:val="24"/>
        </w:rPr>
      </w:pPr>
      <w:r>
        <w:rPr>
          <w:rFonts w:ascii="Times New Roman" w:hAnsi="Times New Roman"/>
          <w:b/>
          <w:noProof/>
          <w:sz w:val="24"/>
        </w:rPr>
        <w:t>ПРИЛОЖЕНИЕ</w:t>
      </w:r>
    </w:p>
    <w:p>
      <w:pPr>
        <w:spacing w:line="240" w:lineRule="auto"/>
        <w:jc w:val="center"/>
        <w:rPr>
          <w:rFonts w:ascii="Times New Roman" w:hAnsi="Times New Roman" w:cs="Times New Roman"/>
          <w:b/>
          <w:noProof/>
          <w:sz w:val="24"/>
          <w:szCs w:val="24"/>
        </w:rPr>
      </w:pPr>
      <w:r>
        <w:rPr>
          <w:rFonts w:ascii="Times New Roman" w:hAnsi="Times New Roman"/>
          <w:b/>
          <w:noProof/>
          <w:sz w:val="24"/>
        </w:rPr>
        <w:t>Списък на предвидените понастоящем приоритети и възможни проекти в рамките на Механизма за бежанците в Турция</w:t>
      </w:r>
    </w:p>
    <w:p>
      <w:pPr>
        <w:pStyle w:val="Point1letter"/>
        <w:numPr>
          <w:ilvl w:val="0"/>
          <w:numId w:val="0"/>
        </w:numPr>
        <w:pBdr>
          <w:top w:val="single" w:sz="4" w:space="1" w:color="auto"/>
          <w:left w:val="single" w:sz="4" w:space="4" w:color="auto"/>
          <w:bottom w:val="single" w:sz="4" w:space="1" w:color="auto"/>
          <w:right w:val="single" w:sz="4" w:space="4" w:color="auto"/>
        </w:pBdr>
        <w:ind w:left="1417" w:hanging="1417"/>
        <w:rPr>
          <w:b/>
          <w:noProof/>
        </w:rPr>
      </w:pPr>
      <w:r>
        <w:rPr>
          <w:b/>
          <w:noProof/>
        </w:rPr>
        <w:t xml:space="preserve">Приоритет 1: </w:t>
      </w:r>
      <w:r>
        <w:rPr>
          <w:noProof/>
        </w:rPr>
        <w:tab/>
      </w:r>
      <w:r>
        <w:rPr>
          <w:b/>
          <w:noProof/>
        </w:rPr>
        <w:t>Отговор на основните нужди</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1.1. Хуманитарна помощ </w:t>
      </w:r>
    </w:p>
    <w:p>
      <w:pPr>
        <w:spacing w:line="240" w:lineRule="auto"/>
        <w:jc w:val="both"/>
        <w:rPr>
          <w:rFonts w:ascii="Times New Roman" w:hAnsi="Times New Roman" w:cs="Times New Roman"/>
          <w:noProof/>
          <w:sz w:val="24"/>
          <w:szCs w:val="24"/>
          <w:u w:val="single"/>
        </w:rPr>
      </w:pPr>
      <w:r>
        <w:rPr>
          <w:rFonts w:ascii="Times New Roman" w:hAnsi="Times New Roman"/>
          <w:noProof/>
          <w:sz w:val="24"/>
        </w:rPr>
        <w:t>Цялата хуманитарна помощ ще се управлява и предоставя при пълно зачитане на хуманитарните принципи и на Европейския консенсус относно хуманитарната помощ.</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w:t>
      </w:r>
      <w:r>
        <w:rPr>
          <w:rFonts w:ascii="Times New Roman" w:hAnsi="Times New Roman"/>
          <w:noProof/>
          <w:sz w:val="24"/>
        </w:rPr>
        <w:t>: да се отговори на най-спешните хуманитарни нужди в петте приоритетни сектора, а именно: хранителни и нехранителни стоки, здравни грижи, закрила, подслон, вода, канализация и хигиена и осигуряване на възможности за образование.</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0"/>
        </w:numPr>
        <w:spacing w:line="240" w:lineRule="auto"/>
        <w:jc w:val="both"/>
        <w:rPr>
          <w:rFonts w:ascii="Times New Roman" w:hAnsi="Times New Roman" w:cs="Times New Roman"/>
          <w:noProof/>
          <w:sz w:val="24"/>
          <w:szCs w:val="24"/>
        </w:rPr>
      </w:pPr>
      <w:r>
        <w:rPr>
          <w:rFonts w:ascii="Times New Roman" w:hAnsi="Times New Roman"/>
          <w:noProof/>
          <w:sz w:val="24"/>
        </w:rPr>
        <w:t>Текущите хуманитарни действия на ЕС се изразяват основно в схеми за прехвърляне на ресурси, които се изпълняват чрез сравнително голям брой партньори и при които акцентът е поставен върху нуждите от хранителни и нехранителни стоки, върху закрилата, здравните грижи и действията за осигуряване на възможности за образование в Турция. Тези схеми за прехвърляне на ресурси биха могли да бъдат разширени, така че да достигнат до 1 милион души.</w:t>
      </w:r>
    </w:p>
    <w:p>
      <w:pPr>
        <w:pStyle w:val="ListParagraph"/>
        <w:numPr>
          <w:ilvl w:val="0"/>
          <w:numId w:val="20"/>
        </w:numPr>
        <w:spacing w:line="240" w:lineRule="auto"/>
        <w:jc w:val="both"/>
        <w:rPr>
          <w:rFonts w:ascii="Times New Roman" w:hAnsi="Times New Roman" w:cs="Times New Roman"/>
          <w:noProof/>
          <w:sz w:val="24"/>
          <w:szCs w:val="24"/>
        </w:rPr>
      </w:pPr>
      <w:r>
        <w:rPr>
          <w:rFonts w:ascii="Times New Roman" w:hAnsi="Times New Roman"/>
          <w:noProof/>
          <w:sz w:val="24"/>
        </w:rPr>
        <w:t xml:space="preserve">Преминаване към прилагането на </w:t>
      </w:r>
      <w:r>
        <w:rPr>
          <w:rFonts w:ascii="Times New Roman" w:hAnsi="Times New Roman"/>
          <w:b/>
          <w:noProof/>
          <w:sz w:val="24"/>
        </w:rPr>
        <w:t>защитна мрежа при извънредни обстоятелства</w:t>
      </w:r>
      <w:r>
        <w:rPr>
          <w:rFonts w:ascii="Times New Roman" w:hAnsi="Times New Roman"/>
          <w:noProof/>
          <w:sz w:val="24"/>
        </w:rPr>
        <w:t>: многоцелева схема за прехвърляне на ресурси с подход, ориентиран към основните нужди (включително хранителни стоки, нехранителни стоки, подслон), за намаляване на факторите, мотивиращи вторичното разселване на бежанците. Тази система ще позволи на бежанците да задоволяват по достоен начин основните си нужди, включително от храна и изделия за ежедневието.</w:t>
      </w:r>
    </w:p>
    <w:p>
      <w:pPr>
        <w:pStyle w:val="ListParagraph"/>
        <w:numPr>
          <w:ilvl w:val="0"/>
          <w:numId w:val="20"/>
        </w:numPr>
        <w:spacing w:line="240" w:lineRule="auto"/>
        <w:jc w:val="both"/>
        <w:rPr>
          <w:rFonts w:ascii="Times New Roman" w:hAnsi="Times New Roman" w:cs="Times New Roman"/>
          <w:noProof/>
          <w:sz w:val="24"/>
          <w:szCs w:val="24"/>
        </w:rPr>
      </w:pPr>
      <w:r>
        <w:rPr>
          <w:rFonts w:ascii="Times New Roman" w:hAnsi="Times New Roman"/>
          <w:noProof/>
          <w:sz w:val="24"/>
        </w:rPr>
        <w:t xml:space="preserve">По-нататъшно предоставяне на помощ в натура и широкообхватна </w:t>
      </w:r>
      <w:r>
        <w:rPr>
          <w:rFonts w:ascii="Times New Roman" w:hAnsi="Times New Roman"/>
          <w:b/>
          <w:noProof/>
          <w:sz w:val="24"/>
        </w:rPr>
        <w:t>система за закрила</w:t>
      </w:r>
      <w:r>
        <w:rPr>
          <w:rFonts w:ascii="Times New Roman" w:hAnsi="Times New Roman"/>
          <w:noProof/>
          <w:sz w:val="24"/>
        </w:rPr>
        <w:t xml:space="preserve"> (фондове за специални нужди, управление на молбите, правна помощ, насочване към приложимата процедура, повишаване на осведомеността, както и програми за закрила на детето и за борба с насилието, основано на пола), както и </w:t>
      </w:r>
      <w:r>
        <w:rPr>
          <w:rFonts w:ascii="Times New Roman" w:hAnsi="Times New Roman"/>
          <w:b/>
          <w:noProof/>
          <w:sz w:val="24"/>
        </w:rPr>
        <w:t>установяване на връзка между помощ, възстановяване и развитие</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Целева група</w:t>
      </w:r>
      <w:r>
        <w:rPr>
          <w:rFonts w:ascii="Times New Roman" w:hAnsi="Times New Roman"/>
          <w:noProof/>
          <w:sz w:val="24"/>
        </w:rPr>
        <w:t>: помощта е насочена към значителен брой от най-уязвимите бежанци в Турция, предимно сирийци. Приблизителният брой на бежанците, до които следва да достигне хуманитарната помощ, би могъл да достигне 1 милион.</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szCs w:val="24"/>
        </w:rPr>
      </w:pPr>
      <w:r>
        <w:rPr>
          <w:rFonts w:ascii="Times New Roman" w:hAnsi="Times New Roman"/>
          <w:b/>
          <w:noProof/>
          <w:sz w:val="24"/>
        </w:rPr>
        <w:t>Приоритет 2:</w:t>
      </w:r>
      <w:r>
        <w:rPr>
          <w:noProof/>
        </w:rPr>
        <w:tab/>
      </w:r>
      <w:r>
        <w:rPr>
          <w:rFonts w:ascii="Times New Roman" w:hAnsi="Times New Roman"/>
          <w:b/>
          <w:noProof/>
          <w:sz w:val="24"/>
        </w:rPr>
        <w:t>Социално-икономическа подкрепа</w:t>
      </w:r>
    </w:p>
    <w:p>
      <w:pPr>
        <w:spacing w:line="240" w:lineRule="auto"/>
        <w:jc w:val="both"/>
        <w:rPr>
          <w:rFonts w:ascii="Times New Roman" w:hAnsi="Times New Roman" w:cs="Times New Roman"/>
          <w:b/>
          <w:noProof/>
          <w:sz w:val="24"/>
          <w:szCs w:val="24"/>
        </w:rPr>
      </w:pPr>
      <w:r>
        <w:rPr>
          <w:rFonts w:ascii="Times New Roman" w:hAnsi="Times New Roman"/>
          <w:b/>
          <w:noProof/>
          <w:sz w:val="24"/>
        </w:rPr>
        <w:t>2.1 Образование</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Въпреки усилията, полагани понастоящем, все още до 400 000 деца трябва да се завърнат в училище за учебните 2015/2016 г. и 2016/2017 г. Освен това се осигурява много малко подкрепа за улесняване на достъпа до гимназиалния етап на средното образование, и по-специално до професионално образование и обучение, и почти никаква подкрепа за записване на младите бежанци във висши учебни заведения. </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Цели</w:t>
      </w:r>
      <w:r>
        <w:rPr>
          <w:rFonts w:ascii="Times New Roman" w:hAnsi="Times New Roman"/>
          <w:noProof/>
          <w:sz w:val="24"/>
        </w:rPr>
        <w:t>: достъп до основно образование за всички сирийски деца (400 000 деца трябва да се завърнат в училище за учебните 2015/2016 г. и 2016/2017 г.); достъп до средно образование, и по-специално професионално образование и обучение; достъп до висше образование.</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достъпа на всички деца до образование</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достъпа до средно образование, включително професионално образование и обучение и чиракуване</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включване в образователната система и предотвратяване на преждевременното напускане на училище, включително чрез езиково обучение, когато това е целесъобразно</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достъпа до висше образование</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по-добра способност на образованието и обучението да реагират на нуждите на пазара на труда</w:t>
      </w:r>
    </w:p>
    <w:p>
      <w:pPr>
        <w:pStyle w:val="ListParagraph"/>
        <w:numPr>
          <w:ilvl w:val="0"/>
          <w:numId w:val="21"/>
        </w:numPr>
        <w:spacing w:after="120" w:line="240" w:lineRule="auto"/>
        <w:jc w:val="both"/>
        <w:rPr>
          <w:rFonts w:ascii="Times New Roman" w:hAnsi="Times New Roman" w:cs="Times New Roman"/>
          <w:noProof/>
          <w:sz w:val="24"/>
          <w:szCs w:val="24"/>
        </w:rPr>
      </w:pPr>
      <w:r>
        <w:rPr>
          <w:rFonts w:ascii="Times New Roman" w:hAnsi="Times New Roman"/>
          <w:noProof/>
          <w:sz w:val="24"/>
        </w:rPr>
        <w:t>Осигуряване на инфраструктура за образование и обучение в регионите, засегнати от значителни демографски промени, предизвикани от притока на бежанци</w:t>
      </w:r>
    </w:p>
    <w:p>
      <w:pPr>
        <w:spacing w:line="240" w:lineRule="auto"/>
        <w:jc w:val="both"/>
        <w:rPr>
          <w:rFonts w:ascii="Times New Roman" w:hAnsi="Times New Roman" w:cs="Times New Roman"/>
          <w:b/>
          <w:noProof/>
          <w:sz w:val="24"/>
          <w:szCs w:val="24"/>
        </w:rPr>
      </w:pPr>
      <w:r>
        <w:rPr>
          <w:rFonts w:ascii="Times New Roman" w:hAnsi="Times New Roman"/>
          <w:noProof/>
          <w:sz w:val="24"/>
          <w:u w:val="single"/>
        </w:rPr>
        <w:t>Целева група</w:t>
      </w:r>
      <w:r>
        <w:rPr>
          <w:rFonts w:ascii="Times New Roman" w:hAnsi="Times New Roman"/>
          <w:noProof/>
          <w:sz w:val="24"/>
        </w:rPr>
        <w:t>: деца и млади бежанци, със специална насоченост към момичетата</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2.2: Достъп до пазара на труда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Следва да бъде осигурено подпомагане, за да се помогне на бежанците да се възползват от възможностите за работа, разкрити посредством новото законодателство за достъпа на бежанците до пазара на труда, включително чрез повишаване и адаптиране на компетентностите и уменията. Така следва да се създадат реални стимули за бежанците да работят и същевременно да дадат своя принос за турската икономика. </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Цели:</w:t>
      </w:r>
      <w:r>
        <w:rPr>
          <w:rFonts w:ascii="Times New Roman" w:hAnsi="Times New Roman"/>
          <w:noProof/>
          <w:sz w:val="24"/>
        </w:rPr>
        <w:t xml:space="preserve"> достъп до заетост; самостоятелна заетост и създаване на предприятия, и по-специално на микропредприятия.</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2"/>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анализ на нуждите на пазара на труда</w:t>
      </w:r>
    </w:p>
    <w:p>
      <w:pPr>
        <w:pStyle w:val="ListParagraph"/>
        <w:numPr>
          <w:ilvl w:val="0"/>
          <w:numId w:val="22"/>
        </w:numPr>
        <w:spacing w:after="120" w:line="240" w:lineRule="auto"/>
        <w:jc w:val="both"/>
        <w:rPr>
          <w:rFonts w:ascii="Times New Roman" w:hAnsi="Times New Roman" w:cs="Times New Roman"/>
          <w:noProof/>
          <w:sz w:val="24"/>
          <w:szCs w:val="24"/>
        </w:rPr>
      </w:pPr>
      <w:r>
        <w:rPr>
          <w:rFonts w:ascii="Times New Roman" w:hAnsi="Times New Roman"/>
          <w:noProof/>
          <w:sz w:val="24"/>
        </w:rPr>
        <w:t>Предоставяне на индивидуално професионално ориентиране и консултиране</w:t>
      </w:r>
    </w:p>
    <w:p>
      <w:pPr>
        <w:pStyle w:val="ListParagraph"/>
        <w:numPr>
          <w:ilvl w:val="0"/>
          <w:numId w:val="22"/>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повишаване на уменията и компетентностите, по-специално чрез обучение и преквалификация</w:t>
      </w:r>
    </w:p>
    <w:p>
      <w:pPr>
        <w:pStyle w:val="ListParagraph"/>
        <w:numPr>
          <w:ilvl w:val="0"/>
          <w:numId w:val="22"/>
        </w:numPr>
        <w:spacing w:after="120" w:line="240" w:lineRule="auto"/>
        <w:jc w:val="both"/>
        <w:rPr>
          <w:rFonts w:ascii="Times New Roman" w:hAnsi="Times New Roman" w:cs="Times New Roman"/>
          <w:noProof/>
          <w:sz w:val="24"/>
          <w:szCs w:val="24"/>
        </w:rPr>
      </w:pPr>
      <w:r>
        <w:rPr>
          <w:rFonts w:ascii="Times New Roman" w:hAnsi="Times New Roman"/>
          <w:noProof/>
          <w:sz w:val="24"/>
        </w:rPr>
        <w:t>Разработване на системи за приравняване на квалификацията</w:t>
      </w:r>
    </w:p>
    <w:p>
      <w:pPr>
        <w:pStyle w:val="ListParagraph"/>
        <w:numPr>
          <w:ilvl w:val="0"/>
          <w:numId w:val="22"/>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Подкрепа за предприемачеството, включително чрез схеми за микрокредитиране </w:t>
      </w:r>
    </w:p>
    <w:p>
      <w:pPr>
        <w:spacing w:line="240" w:lineRule="auto"/>
        <w:jc w:val="both"/>
        <w:rPr>
          <w:rFonts w:ascii="Times New Roman" w:hAnsi="Times New Roman" w:cs="Times New Roman"/>
          <w:noProof/>
          <w:spacing w:val="-6"/>
          <w:sz w:val="24"/>
          <w:szCs w:val="24"/>
        </w:rPr>
      </w:pPr>
      <w:r>
        <w:rPr>
          <w:rFonts w:ascii="Times New Roman" w:hAnsi="Times New Roman"/>
          <w:noProof/>
          <w:spacing w:val="-6"/>
          <w:sz w:val="24"/>
          <w:u w:val="single"/>
        </w:rPr>
        <w:t xml:space="preserve">Целева група: </w:t>
      </w:r>
      <w:r>
        <w:rPr>
          <w:rFonts w:ascii="Times New Roman" w:hAnsi="Times New Roman"/>
          <w:noProof/>
          <w:spacing w:val="-6"/>
          <w:sz w:val="24"/>
        </w:rPr>
        <w:t>възрастни бежанци, със специална насоченост към по-ниско квалифицираните</w:t>
      </w:r>
    </w:p>
    <w:p>
      <w:pPr>
        <w:spacing w:line="240" w:lineRule="auto"/>
        <w:jc w:val="both"/>
        <w:rPr>
          <w:rFonts w:ascii="Times New Roman" w:hAnsi="Times New Roman" w:cs="Times New Roman"/>
          <w:b/>
          <w:noProof/>
          <w:sz w:val="24"/>
          <w:szCs w:val="24"/>
        </w:rPr>
      </w:pPr>
      <w:r>
        <w:rPr>
          <w:rFonts w:ascii="Times New Roman" w:hAnsi="Times New Roman"/>
          <w:b/>
          <w:noProof/>
          <w:sz w:val="24"/>
        </w:rPr>
        <w:t>2.3: Здравни грижи и социално приобщаване</w:t>
      </w:r>
    </w:p>
    <w:p>
      <w:pPr>
        <w:spacing w:line="240" w:lineRule="auto"/>
        <w:jc w:val="both"/>
        <w:rPr>
          <w:rFonts w:ascii="Times New Roman" w:hAnsi="Times New Roman" w:cs="Times New Roman"/>
          <w:noProof/>
          <w:sz w:val="24"/>
          <w:szCs w:val="24"/>
        </w:rPr>
      </w:pPr>
      <w:r>
        <w:rPr>
          <w:rFonts w:ascii="Times New Roman" w:hAnsi="Times New Roman"/>
          <w:noProof/>
          <w:sz w:val="24"/>
        </w:rPr>
        <w:t>Остър недостиг на грижи съществува в областите на първичната здравна помощ, физическата рехабилитация/следоперативните грижи за ранени при военни действия, както и репродуктивното и психичното здраве. Общностните центрове дават възможност да бъде осигурена ефективна система за подкрепа чрез правни консултации, закрила и административни насоки, курсове за обучение за жени, неформално образование и образование в ранна детска възраст за децата, медицински консултации и насочване към лекари и болници за лечение.</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Цели</w:t>
      </w:r>
      <w:r>
        <w:rPr>
          <w:rFonts w:ascii="Times New Roman" w:hAnsi="Times New Roman"/>
          <w:noProof/>
          <w:sz w:val="24"/>
        </w:rPr>
        <w:t>: достъп до здравни грижи; достъп до основни социални услуги</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3"/>
        </w:numPr>
        <w:spacing w:after="80" w:line="240" w:lineRule="auto"/>
        <w:ind w:left="714" w:hanging="357"/>
        <w:jc w:val="both"/>
        <w:rPr>
          <w:rFonts w:ascii="Times New Roman" w:hAnsi="Times New Roman" w:cs="Times New Roman"/>
          <w:noProof/>
          <w:sz w:val="24"/>
          <w:szCs w:val="24"/>
        </w:rPr>
      </w:pPr>
      <w:r>
        <w:rPr>
          <w:rFonts w:ascii="Times New Roman" w:hAnsi="Times New Roman"/>
          <w:noProof/>
          <w:sz w:val="24"/>
        </w:rPr>
        <w:t>Предоставяне на здравни грижи</w:t>
      </w:r>
    </w:p>
    <w:p>
      <w:pPr>
        <w:pStyle w:val="ListParagraph"/>
        <w:numPr>
          <w:ilvl w:val="0"/>
          <w:numId w:val="23"/>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Предоставяне на психологическа подкрепа </w:t>
      </w:r>
    </w:p>
    <w:p>
      <w:pPr>
        <w:pStyle w:val="ListParagraph"/>
        <w:numPr>
          <w:ilvl w:val="0"/>
          <w:numId w:val="23"/>
        </w:numPr>
        <w:spacing w:after="120" w:line="240" w:lineRule="auto"/>
        <w:jc w:val="both"/>
        <w:rPr>
          <w:rFonts w:ascii="Times New Roman" w:hAnsi="Times New Roman" w:cs="Times New Roman"/>
          <w:noProof/>
          <w:sz w:val="24"/>
          <w:szCs w:val="24"/>
        </w:rPr>
      </w:pPr>
      <w:r>
        <w:rPr>
          <w:rFonts w:ascii="Times New Roman" w:hAnsi="Times New Roman"/>
          <w:noProof/>
          <w:sz w:val="24"/>
        </w:rPr>
        <w:t>Подкрепа за достъпа до основни социални услуги, в това число административни и правни консултации</w:t>
      </w:r>
    </w:p>
    <w:p>
      <w:pPr>
        <w:pStyle w:val="ListParagraph"/>
        <w:numPr>
          <w:ilvl w:val="0"/>
          <w:numId w:val="23"/>
        </w:numPr>
        <w:spacing w:after="120" w:line="240" w:lineRule="auto"/>
        <w:jc w:val="both"/>
        <w:rPr>
          <w:rFonts w:ascii="Times New Roman" w:hAnsi="Times New Roman" w:cs="Times New Roman"/>
          <w:noProof/>
          <w:sz w:val="24"/>
          <w:szCs w:val="24"/>
        </w:rPr>
      </w:pPr>
      <w:r>
        <w:rPr>
          <w:rFonts w:ascii="Times New Roman" w:hAnsi="Times New Roman"/>
          <w:noProof/>
          <w:sz w:val="24"/>
        </w:rPr>
        <w:t>Предоставяне на здравна и социална инфраструктура</w:t>
      </w:r>
    </w:p>
    <w:p>
      <w:pPr>
        <w:spacing w:line="240" w:lineRule="auto"/>
        <w:rPr>
          <w:rFonts w:ascii="Times New Roman" w:hAnsi="Times New Roman" w:cs="Times New Roman"/>
          <w:noProof/>
          <w:sz w:val="24"/>
          <w:szCs w:val="24"/>
        </w:rPr>
      </w:pPr>
      <w:r>
        <w:rPr>
          <w:rFonts w:ascii="Times New Roman" w:hAnsi="Times New Roman"/>
          <w:noProof/>
          <w:sz w:val="24"/>
          <w:u w:val="single"/>
        </w:rPr>
        <w:t>Целева група</w:t>
      </w:r>
      <w:r>
        <w:rPr>
          <w:rFonts w:ascii="Times New Roman" w:hAnsi="Times New Roman"/>
          <w:noProof/>
          <w:sz w:val="24"/>
        </w:rPr>
        <w:t xml:space="preserve">: бежанци, хора от приемните общности, с насоченост към най-уязвимите </w:t>
      </w:r>
    </w:p>
    <w:p>
      <w:pPr>
        <w:spacing w:line="240" w:lineRule="auto"/>
        <w:jc w:val="both"/>
        <w:rPr>
          <w:rFonts w:ascii="Times New Roman" w:hAnsi="Times New Roman" w:cs="Times New Roman"/>
          <w:b/>
          <w:noProof/>
          <w:sz w:val="24"/>
          <w:szCs w:val="24"/>
        </w:rPr>
      </w:pPr>
      <w:r>
        <w:rPr>
          <w:rFonts w:ascii="Times New Roman" w:hAnsi="Times New Roman"/>
          <w:b/>
          <w:noProof/>
          <w:sz w:val="24"/>
        </w:rPr>
        <w:t>2.4: Общинска инфраструктура</w:t>
      </w:r>
    </w:p>
    <w:p>
      <w:pPr>
        <w:spacing w:line="240" w:lineRule="auto"/>
        <w:jc w:val="both"/>
        <w:rPr>
          <w:rFonts w:ascii="Times New Roman" w:hAnsi="Times New Roman" w:cs="Times New Roman"/>
          <w:noProof/>
          <w:sz w:val="24"/>
          <w:szCs w:val="24"/>
        </w:rPr>
      </w:pPr>
      <w:r>
        <w:rPr>
          <w:rFonts w:ascii="Times New Roman" w:hAnsi="Times New Roman"/>
          <w:noProof/>
          <w:sz w:val="24"/>
        </w:rPr>
        <w:t>Преобладаващото мнозинство от бежанците (85 %) живее извън съществуващите 25 лагера, в които са настанени приблизително 250 000 души. Този приток на хора към най-слабо развитите части на страната оказва изключителен натиск върху местната инфраструктура на някои селища, по-специално по отношение на пътищата за достъп, водоснабдяването, канализацията и пречистването на водите, както и управлението на твърдите отпадъци. Освен това за да се намали вече наблюдаваната враждебност, социалните услуги, предоставяни на бежанците, следва да се предоставят и на местните общности, където това е необходимо.</w:t>
      </w:r>
    </w:p>
    <w:p>
      <w:pPr>
        <w:spacing w:line="240" w:lineRule="auto"/>
        <w:jc w:val="both"/>
        <w:rPr>
          <w:rFonts w:ascii="Times New Roman" w:hAnsi="Times New Roman" w:cs="Times New Roman"/>
          <w:noProof/>
          <w:spacing w:val="-6"/>
          <w:sz w:val="24"/>
          <w:szCs w:val="24"/>
        </w:rPr>
      </w:pPr>
      <w:r>
        <w:rPr>
          <w:rFonts w:ascii="Times New Roman" w:hAnsi="Times New Roman"/>
          <w:noProof/>
          <w:spacing w:val="-6"/>
          <w:sz w:val="24"/>
          <w:u w:val="single"/>
        </w:rPr>
        <w:t>Цели:</w:t>
      </w:r>
      <w:r>
        <w:rPr>
          <w:rFonts w:ascii="Times New Roman" w:hAnsi="Times New Roman"/>
          <w:noProof/>
          <w:spacing w:val="-6"/>
          <w:sz w:val="24"/>
        </w:rPr>
        <w:t xml:space="preserve"> намаляване на въздействието на притока на бежанци върху местната инфраструктура</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4"/>
        </w:numPr>
        <w:spacing w:line="240" w:lineRule="auto"/>
        <w:jc w:val="both"/>
        <w:rPr>
          <w:rFonts w:ascii="Times New Roman" w:hAnsi="Times New Roman" w:cs="Times New Roman"/>
          <w:noProof/>
          <w:sz w:val="24"/>
          <w:szCs w:val="24"/>
        </w:rPr>
      </w:pPr>
      <w:r>
        <w:rPr>
          <w:rFonts w:ascii="Times New Roman" w:hAnsi="Times New Roman"/>
          <w:noProof/>
          <w:sz w:val="24"/>
        </w:rPr>
        <w:t>Подкрепа за обновяването, модернизацията или изграждането на местна общинска инфраструктура, по-специално във връзка с управлението на водите, управлението на отпадъците, градския транспорт и общинските услуги.</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Целева група:</w:t>
      </w:r>
      <w:r>
        <w:rPr>
          <w:rFonts w:ascii="Times New Roman" w:hAnsi="Times New Roman"/>
          <w:noProof/>
          <w:sz w:val="24"/>
        </w:rPr>
        <w:t xml:space="preserve"> бежанци и хора от приемните общности</w:t>
      </w:r>
    </w:p>
    <w:p>
      <w:pPr>
        <w:pStyle w:val="Point1letter"/>
        <w:numPr>
          <w:ilvl w:val="0"/>
          <w:numId w:val="0"/>
        </w:numPr>
        <w:pBdr>
          <w:top w:val="single" w:sz="4" w:space="1" w:color="auto"/>
          <w:left w:val="single" w:sz="4" w:space="4" w:color="auto"/>
          <w:bottom w:val="single" w:sz="4" w:space="1" w:color="auto"/>
          <w:right w:val="single" w:sz="4" w:space="4" w:color="auto"/>
        </w:pBdr>
        <w:ind w:left="1417" w:hanging="1417"/>
        <w:rPr>
          <w:b/>
          <w:noProof/>
        </w:rPr>
      </w:pPr>
      <w:r>
        <w:rPr>
          <w:b/>
          <w:noProof/>
        </w:rPr>
        <w:t xml:space="preserve">Приоритет 3: </w:t>
      </w:r>
      <w:r>
        <w:rPr>
          <w:noProof/>
        </w:rPr>
        <w:tab/>
      </w:r>
      <w:r>
        <w:rPr>
          <w:b/>
          <w:noProof/>
        </w:rPr>
        <w:t>Подкрепа за националните и местните органи за справяне с последиците от присъствието на бежанци в Турция</w:t>
      </w:r>
    </w:p>
    <w:p>
      <w:pPr>
        <w:spacing w:line="240" w:lineRule="auto"/>
        <w:jc w:val="both"/>
        <w:rPr>
          <w:rFonts w:ascii="Times New Roman" w:hAnsi="Times New Roman" w:cs="Times New Roman"/>
          <w:b/>
          <w:noProof/>
          <w:sz w:val="24"/>
          <w:szCs w:val="24"/>
        </w:rPr>
      </w:pPr>
      <w:r>
        <w:rPr>
          <w:rFonts w:ascii="Times New Roman" w:hAnsi="Times New Roman"/>
          <w:b/>
          <w:noProof/>
          <w:sz w:val="24"/>
        </w:rPr>
        <w:t xml:space="preserve">3.1: Управление на миграционните потоци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Регионалните и местните органи, които носят административната отговорност за приемането на бежанците, които не живеят в лагери, също ще се нуждаят от подкрепа за изграждане на капацитет и оперативна подкрепа. Освен това националните органи, отговарящи за регистрацията на бежанците и управлението на миграцията, също са изправени пред проблеми с капацитета, които трябва да бъдат преодолени. </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Цели</w:t>
      </w:r>
      <w:r>
        <w:rPr>
          <w:rFonts w:ascii="Times New Roman" w:hAnsi="Times New Roman"/>
          <w:noProof/>
          <w:sz w:val="24"/>
        </w:rPr>
        <w:t>: подобряване на капацитета на местните, регионалните и националните органи за управление на потоците от бежанци/мигранти.</w:t>
      </w:r>
    </w:p>
    <w:p>
      <w:pPr>
        <w:spacing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Потенциални проекти:</w:t>
      </w:r>
    </w:p>
    <w:p>
      <w:pPr>
        <w:pStyle w:val="ListParagraph"/>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rPr>
        <w:t>Изграждане на капацитет за управление на миграцията</w:t>
      </w:r>
    </w:p>
    <w:p>
      <w:pPr>
        <w:pStyle w:val="ListParagraph"/>
        <w:numPr>
          <w:ilvl w:val="0"/>
          <w:numId w:val="24"/>
        </w:numPr>
        <w:spacing w:line="240" w:lineRule="auto"/>
        <w:rPr>
          <w:rFonts w:ascii="Times New Roman" w:hAnsi="Times New Roman" w:cs="Times New Roman"/>
          <w:noProof/>
          <w:sz w:val="24"/>
          <w:szCs w:val="24"/>
        </w:rPr>
      </w:pPr>
      <w:r>
        <w:rPr>
          <w:rFonts w:ascii="Times New Roman" w:hAnsi="Times New Roman"/>
          <w:noProof/>
          <w:sz w:val="24"/>
        </w:rPr>
        <w:t>Снабдяване с необходимото оборудване</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Целева група:</w:t>
      </w:r>
      <w:r>
        <w:rPr>
          <w:rFonts w:ascii="Times New Roman" w:hAnsi="Times New Roman"/>
          <w:noProof/>
          <w:sz w:val="24"/>
        </w:rPr>
        <w:t xml:space="preserve"> местни, регионални и национални органи</w:t>
      </w:r>
    </w:p>
    <w:p>
      <w:pPr>
        <w:spacing w:line="240" w:lineRule="auto"/>
        <w:jc w:val="both"/>
        <w:rPr>
          <w:rFonts w:ascii="Times New Roman" w:hAnsi="Times New Roman" w:cs="Times New Roman"/>
          <w:noProof/>
          <w:sz w:val="24"/>
          <w:szCs w:val="24"/>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0061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Както и в първия доклад за изпълнението на СПД, тези графики представят единствено броя на влизанията от Турция в Гърция, тъй като те представляват над 99 % от общия брой на влезлите лица.</w:t>
      </w: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Според Международната организация по миграция (МОМ) в периода 1—28 януари 2016 г. в Егейско море са загинали 244 мигранти. </w:t>
      </w:r>
    </w:p>
  </w:footnote>
  <w:footnote w:id="3">
    <w:p>
      <w:pPr>
        <w:pStyle w:val="FootnoteText"/>
        <w:jc w:val="both"/>
        <w:rPr>
          <w:rFonts w:ascii="Times New Roman" w:hAnsi="Times New Roman" w:cs="Times New Roman"/>
        </w:rPr>
      </w:pPr>
      <w:r>
        <w:rPr>
          <w:rStyle w:val="FootnoteReference"/>
          <w:rFonts w:ascii="Times New Roman" w:hAnsi="Times New Roman"/>
          <w:sz w:val="24"/>
        </w:rPr>
        <w:footnoteRef/>
      </w:r>
      <w:r>
        <w:rPr>
          <w:rFonts w:ascii="Times New Roman" w:hAnsi="Times New Roman"/>
          <w:sz w:val="24"/>
        </w:rPr>
        <w:t xml:space="preserve"> </w:t>
      </w:r>
      <w:r>
        <w:rPr>
          <w:rFonts w:ascii="Times New Roman" w:hAnsi="Times New Roman"/>
        </w:rPr>
        <w:t>Брой на регистрираните сирийски бежанци според данните, предоставени от Министерството на външните работи на Турция на 3 февруари.</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Съгласно двустранния протокол между Гърция и Турция за обратно приемане, замолената държава разполага с максимален срок от 75 дни, за да отговори на молба за обратно приемане. При съгласие връщането следва да се осъществи в максимален срок от 15 дни. В същия протокол за обратно приемане се предвижда опростена процедура, при която замолената държава следва да приеме обратно лице, което е задържано в гранична зона, в рамките на една седмица от уведомлението за задържането.</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Съгласно турското законодателство само онези лица, които са избягали от Сирия, получават автоматично при регистрация международна закрила като група. Гражданите на други държави трябва да подадат индивидуални молби и получават статут на бежанец след извършване на проверка и решение на Главна дирекция за управление на миграцията.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8681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3F7163"/>
    <w:multiLevelType w:val="hybridMultilevel"/>
    <w:tmpl w:val="643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C41BAD"/>
    <w:multiLevelType w:val="hybridMultilevel"/>
    <w:tmpl w:val="FDD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CD33E5"/>
    <w:multiLevelType w:val="hybridMultilevel"/>
    <w:tmpl w:val="2CD0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A7B61"/>
    <w:multiLevelType w:val="hybridMultilevel"/>
    <w:tmpl w:val="245A1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3F4797"/>
    <w:multiLevelType w:val="hybridMultilevel"/>
    <w:tmpl w:val="3A0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1DF86C16"/>
    <w:multiLevelType w:val="hybridMultilevel"/>
    <w:tmpl w:val="C444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5B0439"/>
    <w:multiLevelType w:val="hybridMultilevel"/>
    <w:tmpl w:val="811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2E20EB"/>
    <w:multiLevelType w:val="hybridMultilevel"/>
    <w:tmpl w:val="186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24138A"/>
    <w:multiLevelType w:val="multilevel"/>
    <w:tmpl w:val="8B68B42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417C72E6"/>
    <w:multiLevelType w:val="hybridMultilevel"/>
    <w:tmpl w:val="5F4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42D4D"/>
    <w:multiLevelType w:val="hybridMultilevel"/>
    <w:tmpl w:val="4D82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7D462B"/>
    <w:multiLevelType w:val="hybridMultilevel"/>
    <w:tmpl w:val="64D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541F3A"/>
    <w:multiLevelType w:val="hybridMultilevel"/>
    <w:tmpl w:val="4FDA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730DDC"/>
    <w:multiLevelType w:val="multilevel"/>
    <w:tmpl w:val="6F86F900"/>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EB87AFE"/>
    <w:multiLevelType w:val="hybridMultilevel"/>
    <w:tmpl w:val="51BC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7B5D0E"/>
    <w:multiLevelType w:val="multilevel"/>
    <w:tmpl w:val="8B68B42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32C61C1"/>
    <w:multiLevelType w:val="hybridMultilevel"/>
    <w:tmpl w:val="C62C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D70CAA"/>
    <w:multiLevelType w:val="hybridMultilevel"/>
    <w:tmpl w:val="3F249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DC36BD"/>
    <w:multiLevelType w:val="hybridMultilevel"/>
    <w:tmpl w:val="4030026E"/>
    <w:lvl w:ilvl="0" w:tplc="1D3039D6">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FC28D1"/>
    <w:multiLevelType w:val="hybridMultilevel"/>
    <w:tmpl w:val="956819E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6B01B38"/>
    <w:multiLevelType w:val="hybridMultilevel"/>
    <w:tmpl w:val="D078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22"/>
  </w:num>
  <w:num w:numId="5">
    <w:abstractNumId w:val="21"/>
  </w:num>
  <w:num w:numId="6">
    <w:abstractNumId w:val="1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9"/>
  </w:num>
  <w:num w:numId="11">
    <w:abstractNumId w:val="10"/>
  </w:num>
  <w:num w:numId="12">
    <w:abstractNumId w:val="20"/>
  </w:num>
  <w:num w:numId="13">
    <w:abstractNumId w:val="15"/>
  </w:num>
  <w:num w:numId="14">
    <w:abstractNumId w:val="7"/>
  </w:num>
  <w:num w:numId="15">
    <w:abstractNumId w:val="0"/>
  </w:num>
  <w:num w:numId="16">
    <w:abstractNumId w:val="18"/>
  </w:num>
  <w:num w:numId="17">
    <w:abstractNumId w:val="8"/>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num>
  <w:num w:numId="22">
    <w:abstractNumId w:val="13"/>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CFE5B2F97C0645038D29FA344CA17005"/>
    <w:docVar w:name="LW_CROSSREFERENCE" w:val="&lt;UNUSED&gt;"/>
    <w:docVar w:name="LW_DocType" w:val="NORMAL"/>
    <w:docVar w:name="LW_EMISSION" w:val="10.2.2016"/>
    <w:docVar w:name="LW_EMISSION_ISODATE" w:val="2016-02-10"/>
    <w:docVar w:name="LW_EMISSION_LOCATION" w:val="BRX"/>
    <w:docVar w:name="LW_EMISSION_PREFIX" w:val="Брюксел, "/>
    <w:docVar w:name="LW_EMISSION_SUFFIX" w:val=" \u1075?."/>
    <w:docVar w:name="LW_ID_DOCTYPE_NONLW" w:val="CP-039"/>
    <w:docVar w:name="LW_LANGUE" w:val="BG"/>
    <w:docVar w:name="LW_MARKING" w:val="&lt;UNUSED&gt;"/>
    <w:docVar w:name="LW_NOM.INST" w:val="\u1045?\u1042?\u1056?\u1054?\u1055?\u1045?\u1049?\u1057?\u1050?\u1040? \u1050?\u1054?\u1052?\u1048?\u1057?\u1048?\u1071?"/>
    <w:docVar w:name="LW_NOM.INST_JOINTDOC" w:val="&lt;EMPTY&gt;"/>
    <w:docVar w:name="LW_OBJETACTEPRINCIPAL.CP" w:val="\u1057?\u1098?\u1074?\u1084?\u1077?\u1089?\u1090?\u1077?\u1085? \u1087?\u1083?\u1072?\u1085? \u1079?\u1072? \u1076?\u1077?\u1081?\u1089?\u1090?\u1074?\u1080?\u1077? \u1084?\u1077?\u1078?\u1076?\u1091? \u1045?\u1057? \u1080? \u1058?\u1091?\u1088?\u1094?\u1080?\u1103? \u8212? \u1044?\u1086?\u1082?\u1083?\u1072?\u1076? \u1079?\u1072? \u1080?\u1079?\u1087?\u1098?\u1083?\u1085?\u1077?\u1085?\u1080?\u1077?\u1090?\u1086?"/>
    <w:docVar w:name="LW_PART_NBR" w:val="1"/>
    <w:docVar w:name="LW_PART_NBR_TOTAL" w:val="1"/>
    <w:docVar w:name="LW_REF.INST.NEW" w:val="COM"/>
    <w:docVar w:name="LW_REF.INST.NEW_ADOPTED" w:val="final"/>
    <w:docVar w:name="LW_REF.INST.NEW_TEXT" w:val="(2016) 85"/>
    <w:docVar w:name="LW_REF.INTERNE" w:val="&lt;UNUSED&gt;"/>
    <w:docVar w:name="LW_SUPERTITRE" w:val="&lt;UNUSED&gt;"/>
    <w:docVar w:name="LW_TITRE.OBJ.CP" w:val="&lt;UNUSED&gt;"/>
    <w:docVar w:name="LW_TYPE.DOC.CP" w:val="\u1055?\u1056?\u1048?\u1051?\u1054?\u1046?\u1045?\u1053?\u1048?\u1045?_x000b_"/>
    <w:docVar w:name="LW_TYPEACTEPRINCIPAL.CP" w:val="\u1057?\u1098?\u1086?\u1073?\u1097?\u1077?\u1085?\u1080?\u1077? \u1085?\u1072? \u1050?\u1086?\u1084?\u1080?\u1089?\u1080?\u1103?\u1090?\u1072? \u1076?\u1086? \u1045?\u1074?\u1088?\u1086?\u1087?\u1077?\u1081?\u1089?\u1082?\u1080?\u1103? \u1087?\u1072?\u1088?\u1083?\u1072?\u1084?\u1077?\u1085?\u1090? \u1080? \u1057?\u1098?\u1074?\u1077?\u1090?\u1072? \u1086?\u1090?\u1085?\u1086?\u1089?\u1085?\u1086? \u1072?\u1082?\u1090?\u1091?\u1072?\u1083?\u1085?\u1086?\u1090?\u1086? \u1089?\u1098?\u1089?\u1090?\u1086?\u1103?\u1085?\u1080?\u1077? \u1074?\u1098?\u1074? \u1074?\u1088?\u1098?\u1079?\u1082?\u1072? \u1089? \u1080?\u1079?\u1087?\u1098?\u1083?\u1085?\u1077?\u1085?\u1080?\u1077?\u1090?\u1086? \u1085?\u1072? \u1087?\u1088?\u1080?\u1086?\u1088?\u1080?\u1090?\u1077?\u1090?\u1085?\u1080?\u1090?\u1077? \u1076?\u1077?\u1081?\u1089?\u1090?\u1074?\u1080?\u1103? \u1074? \u1088?\u1072?\u1084?\u1082?\u1080?\u1090?\u1077? \u1085?\u1072? \u1045?\u1074?\u1088?\u1086?\u1087?\u1077?\u1081?\u1089?\u1082?\u1072?\u1090?\u1072? \u1087?\u1088?\u1086?\u1075?\u1088?\u1072?\u1084?\u1072? \u1079?\u1072? \u1084?\u1080?\u1075?\u1088?\u1072?\u1094?\u1080?\u1103?\u1090?\u107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99"/>
    <w:unhideWhenUsed/>
    <w:pPr>
      <w:numPr>
        <w:numId w:val="15"/>
      </w:numPr>
      <w:contextualSpacing/>
    </w:p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0number">
    <w:name w:val="Point 0 (number)"/>
    <w:basedOn w:val="Normal"/>
    <w:pPr>
      <w:numPr>
        <w:numId w:val="1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9"/>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9"/>
      </w:numPr>
      <w:spacing w:before="120" w:after="120" w:line="240" w:lineRule="auto"/>
      <w:jc w:val="both"/>
    </w:pPr>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99"/>
    <w:unhideWhenUsed/>
    <w:pPr>
      <w:numPr>
        <w:numId w:val="15"/>
      </w:numPr>
      <w:contextualSpacing/>
    </w:p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0number">
    <w:name w:val="Point 0 (number)"/>
    <w:basedOn w:val="Normal"/>
    <w:pPr>
      <w:numPr>
        <w:numId w:val="1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9"/>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9"/>
      </w:numPr>
      <w:spacing w:before="120" w:after="120" w:line="240" w:lineRule="auto"/>
      <w:jc w:val="both"/>
    </w:pPr>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6848">
      <w:bodyDiv w:val="1"/>
      <w:marLeft w:val="0"/>
      <w:marRight w:val="0"/>
      <w:marTop w:val="0"/>
      <w:marBottom w:val="0"/>
      <w:divBdr>
        <w:top w:val="none" w:sz="0" w:space="0" w:color="auto"/>
        <w:left w:val="none" w:sz="0" w:space="0" w:color="auto"/>
        <w:bottom w:val="none" w:sz="0" w:space="0" w:color="auto"/>
        <w:right w:val="none" w:sz="0" w:space="0" w:color="auto"/>
      </w:divBdr>
      <w:divsChild>
        <w:div w:id="1460564156">
          <w:marLeft w:val="0"/>
          <w:marRight w:val="0"/>
          <w:marTop w:val="0"/>
          <w:marBottom w:val="0"/>
          <w:divBdr>
            <w:top w:val="none" w:sz="0" w:space="0" w:color="auto"/>
            <w:left w:val="none" w:sz="0" w:space="0" w:color="auto"/>
            <w:bottom w:val="none" w:sz="0" w:space="0" w:color="auto"/>
            <w:right w:val="none" w:sz="0" w:space="0" w:color="auto"/>
          </w:divBdr>
          <w:divsChild>
            <w:div w:id="1610578958">
              <w:marLeft w:val="0"/>
              <w:marRight w:val="0"/>
              <w:marTop w:val="0"/>
              <w:marBottom w:val="150"/>
              <w:divBdr>
                <w:top w:val="none" w:sz="0" w:space="0" w:color="auto"/>
                <w:left w:val="none" w:sz="0" w:space="0" w:color="auto"/>
                <w:bottom w:val="none" w:sz="0" w:space="0" w:color="auto"/>
                <w:right w:val="none" w:sz="0" w:space="0" w:color="auto"/>
              </w:divBdr>
              <w:divsChild>
                <w:div w:id="1042554704">
                  <w:marLeft w:val="0"/>
                  <w:marRight w:val="0"/>
                  <w:marTop w:val="0"/>
                  <w:marBottom w:val="0"/>
                  <w:divBdr>
                    <w:top w:val="none" w:sz="0" w:space="0" w:color="auto"/>
                    <w:left w:val="none" w:sz="0" w:space="0" w:color="auto"/>
                    <w:bottom w:val="none" w:sz="0" w:space="0" w:color="auto"/>
                    <w:right w:val="none" w:sz="0" w:space="0" w:color="auto"/>
                  </w:divBdr>
                  <w:divsChild>
                    <w:div w:id="1534609001">
                      <w:marLeft w:val="0"/>
                      <w:marRight w:val="0"/>
                      <w:marTop w:val="0"/>
                      <w:marBottom w:val="0"/>
                      <w:divBdr>
                        <w:top w:val="none" w:sz="0" w:space="0" w:color="auto"/>
                        <w:left w:val="none" w:sz="0" w:space="0" w:color="auto"/>
                        <w:bottom w:val="none" w:sz="0" w:space="0" w:color="auto"/>
                        <w:right w:val="none" w:sz="0" w:space="0" w:color="auto"/>
                      </w:divBdr>
                      <w:divsChild>
                        <w:div w:id="563368801">
                          <w:marLeft w:val="0"/>
                          <w:marRight w:val="0"/>
                          <w:marTop w:val="0"/>
                          <w:marBottom w:val="0"/>
                          <w:divBdr>
                            <w:top w:val="none" w:sz="0" w:space="0" w:color="auto"/>
                            <w:left w:val="none" w:sz="0" w:space="0" w:color="auto"/>
                            <w:bottom w:val="none" w:sz="0" w:space="0" w:color="auto"/>
                            <w:right w:val="none" w:sz="0" w:space="0" w:color="auto"/>
                          </w:divBdr>
                          <w:divsChild>
                            <w:div w:id="130367383">
                              <w:marLeft w:val="0"/>
                              <w:marRight w:val="0"/>
                              <w:marTop w:val="0"/>
                              <w:marBottom w:val="0"/>
                              <w:divBdr>
                                <w:top w:val="none" w:sz="0" w:space="0" w:color="auto"/>
                                <w:left w:val="none" w:sz="0" w:space="0" w:color="auto"/>
                                <w:bottom w:val="none" w:sz="0" w:space="0" w:color="auto"/>
                                <w:right w:val="none" w:sz="0" w:space="0" w:color="auto"/>
                              </w:divBdr>
                              <w:divsChild>
                                <w:div w:id="1148396797">
                                  <w:marLeft w:val="0"/>
                                  <w:marRight w:val="-3600"/>
                                  <w:marTop w:val="150"/>
                                  <w:marBottom w:val="0"/>
                                  <w:divBdr>
                                    <w:top w:val="none" w:sz="0" w:space="0" w:color="auto"/>
                                    <w:left w:val="none" w:sz="0" w:space="0" w:color="auto"/>
                                    <w:bottom w:val="none" w:sz="0" w:space="0" w:color="auto"/>
                                    <w:right w:val="none" w:sz="0" w:space="0" w:color="auto"/>
                                  </w:divBdr>
                                  <w:divsChild>
                                    <w:div w:id="1842309769">
                                      <w:marLeft w:val="0"/>
                                      <w:marRight w:val="3600"/>
                                      <w:marTop w:val="0"/>
                                      <w:marBottom w:val="0"/>
                                      <w:divBdr>
                                        <w:top w:val="none" w:sz="0" w:space="0" w:color="auto"/>
                                        <w:left w:val="none" w:sz="0" w:space="0" w:color="auto"/>
                                        <w:bottom w:val="none" w:sz="0" w:space="0" w:color="auto"/>
                                        <w:right w:val="none" w:sz="0" w:space="0" w:color="auto"/>
                                      </w:divBdr>
                                      <w:divsChild>
                                        <w:div w:id="1281575183">
                                          <w:marLeft w:val="0"/>
                                          <w:marRight w:val="0"/>
                                          <w:marTop w:val="0"/>
                                          <w:marBottom w:val="0"/>
                                          <w:divBdr>
                                            <w:top w:val="none" w:sz="0" w:space="0" w:color="auto"/>
                                            <w:left w:val="none" w:sz="0" w:space="0" w:color="auto"/>
                                            <w:bottom w:val="none" w:sz="0" w:space="0" w:color="auto"/>
                                            <w:right w:val="none" w:sz="0" w:space="0" w:color="auto"/>
                                          </w:divBdr>
                                          <w:divsChild>
                                            <w:div w:id="1772552698">
                                              <w:marLeft w:val="0"/>
                                              <w:marRight w:val="0"/>
                                              <w:marTop w:val="0"/>
                                              <w:marBottom w:val="0"/>
                                              <w:divBdr>
                                                <w:top w:val="none" w:sz="0" w:space="0" w:color="auto"/>
                                                <w:left w:val="none" w:sz="0" w:space="0" w:color="auto"/>
                                                <w:bottom w:val="none" w:sz="0" w:space="0" w:color="auto"/>
                                                <w:right w:val="none" w:sz="0" w:space="0" w:color="auto"/>
                                              </w:divBdr>
                                              <w:divsChild>
                                                <w:div w:id="884216906">
                                                  <w:marLeft w:val="0"/>
                                                  <w:marRight w:val="0"/>
                                                  <w:marTop w:val="0"/>
                                                  <w:marBottom w:val="0"/>
                                                  <w:divBdr>
                                                    <w:top w:val="none" w:sz="0" w:space="0" w:color="auto"/>
                                                    <w:left w:val="none" w:sz="0" w:space="0" w:color="auto"/>
                                                    <w:bottom w:val="none" w:sz="0" w:space="0" w:color="auto"/>
                                                    <w:right w:val="none" w:sz="0" w:space="0" w:color="auto"/>
                                                  </w:divBdr>
                                                  <w:divsChild>
                                                    <w:div w:id="1712421251">
                                                      <w:marLeft w:val="0"/>
                                                      <w:marRight w:val="0"/>
                                                      <w:marTop w:val="0"/>
                                                      <w:marBottom w:val="0"/>
                                                      <w:divBdr>
                                                        <w:top w:val="none" w:sz="0" w:space="0" w:color="auto"/>
                                                        <w:left w:val="none" w:sz="0" w:space="0" w:color="auto"/>
                                                        <w:bottom w:val="none" w:sz="0" w:space="0" w:color="auto"/>
                                                        <w:right w:val="none" w:sz="0" w:space="0" w:color="auto"/>
                                                      </w:divBdr>
                                                      <w:divsChild>
                                                        <w:div w:id="221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334640">
      <w:bodyDiv w:val="1"/>
      <w:marLeft w:val="0"/>
      <w:marRight w:val="0"/>
      <w:marTop w:val="0"/>
      <w:marBottom w:val="0"/>
      <w:divBdr>
        <w:top w:val="none" w:sz="0" w:space="0" w:color="auto"/>
        <w:left w:val="none" w:sz="0" w:space="0" w:color="auto"/>
        <w:bottom w:val="none" w:sz="0" w:space="0" w:color="auto"/>
        <w:right w:val="none" w:sz="0" w:space="0" w:color="auto"/>
      </w:divBdr>
    </w:div>
    <w:div w:id="968973841">
      <w:bodyDiv w:val="1"/>
      <w:marLeft w:val="0"/>
      <w:marRight w:val="0"/>
      <w:marTop w:val="0"/>
      <w:marBottom w:val="0"/>
      <w:divBdr>
        <w:top w:val="none" w:sz="0" w:space="0" w:color="auto"/>
        <w:left w:val="none" w:sz="0" w:space="0" w:color="auto"/>
        <w:bottom w:val="none" w:sz="0" w:space="0" w:color="auto"/>
        <w:right w:val="none" w:sz="0" w:space="0" w:color="auto"/>
      </w:divBdr>
    </w:div>
    <w:div w:id="1386950233">
      <w:bodyDiv w:val="1"/>
      <w:marLeft w:val="0"/>
      <w:marRight w:val="0"/>
      <w:marTop w:val="0"/>
      <w:marBottom w:val="0"/>
      <w:divBdr>
        <w:top w:val="none" w:sz="0" w:space="0" w:color="auto"/>
        <w:left w:val="none" w:sz="0" w:space="0" w:color="auto"/>
        <w:bottom w:val="none" w:sz="0" w:space="0" w:color="auto"/>
        <w:right w:val="none" w:sz="0" w:space="0" w:color="auto"/>
      </w:divBdr>
    </w:div>
    <w:div w:id="1594437672">
      <w:bodyDiv w:val="1"/>
      <w:marLeft w:val="0"/>
      <w:marRight w:val="0"/>
      <w:marTop w:val="0"/>
      <w:marBottom w:val="0"/>
      <w:divBdr>
        <w:top w:val="none" w:sz="0" w:space="0" w:color="auto"/>
        <w:left w:val="none" w:sz="0" w:space="0" w:color="auto"/>
        <w:bottom w:val="none" w:sz="0" w:space="0" w:color="auto"/>
        <w:right w:val="none" w:sz="0" w:space="0" w:color="auto"/>
      </w:divBdr>
    </w:div>
    <w:div w:id="16468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Незаконно влизащи от Турция в Гърция на ден,  декември 2015 г.—януари 2016 г.</a:t>
            </a:r>
          </a:p>
        </c:rich>
      </c:tx>
      <c:overlay val="0"/>
    </c:title>
    <c:autoTitleDeleted val="0"/>
    <c:plotArea>
      <c:layout>
        <c:manualLayout>
          <c:layoutTarget val="inner"/>
          <c:xMode val="edge"/>
          <c:yMode val="edge"/>
          <c:x val="7.9488154258495466E-2"/>
          <c:y val="0.25229581596418099"/>
          <c:w val="0.9146592787012735"/>
          <c:h val="0.57721839005661479"/>
        </c:manualLayout>
      </c:layout>
      <c:lineChart>
        <c:grouping val="standard"/>
        <c:varyColors val="0"/>
        <c:ser>
          <c:idx val="0"/>
          <c:order val="0"/>
          <c:tx>
            <c:strRef>
              <c:f>Sheet1!$B$1</c:f>
              <c:strCache>
                <c:ptCount val="1"/>
                <c:pt idx="0">
                  <c:v>Daily irregular entries from Turkey into Greece</c:v>
                </c:pt>
              </c:strCache>
            </c:strRef>
          </c:tx>
          <c:marker>
            <c:symbol val="none"/>
          </c:marker>
          <c:cat>
            <c:strRef>
              <c:f>Sheet1!$A$2:$A$63</c:f>
              <c:strCache>
                <c:ptCount val="62"/>
                <c:pt idx="0">
                  <c:v>1 декември</c:v>
                </c:pt>
                <c:pt idx="1">
                  <c:v>2 декември</c:v>
                </c:pt>
                <c:pt idx="2">
                  <c:v>3 декември</c:v>
                </c:pt>
                <c:pt idx="3">
                  <c:v>4 декември</c:v>
                </c:pt>
                <c:pt idx="4">
                  <c:v>5 декември</c:v>
                </c:pt>
                <c:pt idx="5">
                  <c:v>6 декември</c:v>
                </c:pt>
                <c:pt idx="6">
                  <c:v>7 декември</c:v>
                </c:pt>
                <c:pt idx="7">
                  <c:v>8 декември</c:v>
                </c:pt>
                <c:pt idx="8">
                  <c:v>9 декември</c:v>
                </c:pt>
                <c:pt idx="9">
                  <c:v>10 декември</c:v>
                </c:pt>
                <c:pt idx="10">
                  <c:v>11 декември</c:v>
                </c:pt>
                <c:pt idx="11">
                  <c:v>12 декември</c:v>
                </c:pt>
                <c:pt idx="12">
                  <c:v>13 декември</c:v>
                </c:pt>
                <c:pt idx="13">
                  <c:v>14 декември</c:v>
                </c:pt>
                <c:pt idx="14">
                  <c:v>15 декември</c:v>
                </c:pt>
                <c:pt idx="15">
                  <c:v>16 декември</c:v>
                </c:pt>
                <c:pt idx="16">
                  <c:v>17 декември</c:v>
                </c:pt>
                <c:pt idx="17">
                  <c:v>18 декември</c:v>
                </c:pt>
                <c:pt idx="18">
                  <c:v>19 декември</c:v>
                </c:pt>
                <c:pt idx="19">
                  <c:v>20 декември</c:v>
                </c:pt>
                <c:pt idx="20">
                  <c:v>21 декември</c:v>
                </c:pt>
                <c:pt idx="21">
                  <c:v>22 декември</c:v>
                </c:pt>
                <c:pt idx="22">
                  <c:v>23 декември</c:v>
                </c:pt>
                <c:pt idx="23">
                  <c:v>24 декември</c:v>
                </c:pt>
                <c:pt idx="24">
                  <c:v>25 декември</c:v>
                </c:pt>
                <c:pt idx="25">
                  <c:v>26 декември</c:v>
                </c:pt>
                <c:pt idx="26">
                  <c:v>27 декември</c:v>
                </c:pt>
                <c:pt idx="27">
                  <c:v>28 декември</c:v>
                </c:pt>
                <c:pt idx="28">
                  <c:v>29 декември</c:v>
                </c:pt>
                <c:pt idx="29">
                  <c:v>30 декември</c:v>
                </c:pt>
                <c:pt idx="30">
                  <c:v>31 декември</c:v>
                </c:pt>
                <c:pt idx="31">
                  <c:v>1 януари</c:v>
                </c:pt>
                <c:pt idx="32">
                  <c:v>2 януари</c:v>
                </c:pt>
                <c:pt idx="33">
                  <c:v>3 януари</c:v>
                </c:pt>
                <c:pt idx="34">
                  <c:v>4 януари</c:v>
                </c:pt>
                <c:pt idx="35">
                  <c:v>5 януари</c:v>
                </c:pt>
                <c:pt idx="36">
                  <c:v>6 януари</c:v>
                </c:pt>
                <c:pt idx="37">
                  <c:v>7 януари</c:v>
                </c:pt>
                <c:pt idx="38">
                  <c:v>8 януари</c:v>
                </c:pt>
                <c:pt idx="39">
                  <c:v>9 януари</c:v>
                </c:pt>
                <c:pt idx="40">
                  <c:v>10 януари</c:v>
                </c:pt>
                <c:pt idx="41">
                  <c:v>11 януари</c:v>
                </c:pt>
                <c:pt idx="42">
                  <c:v>12 януари</c:v>
                </c:pt>
                <c:pt idx="43">
                  <c:v>13 януари</c:v>
                </c:pt>
                <c:pt idx="44">
                  <c:v>14 януари</c:v>
                </c:pt>
                <c:pt idx="45">
                  <c:v>15 януари</c:v>
                </c:pt>
                <c:pt idx="46">
                  <c:v>16 януари</c:v>
                </c:pt>
                <c:pt idx="47">
                  <c:v>17 януари</c:v>
                </c:pt>
                <c:pt idx="48">
                  <c:v>18 януари</c:v>
                </c:pt>
                <c:pt idx="49">
                  <c:v>19 януари</c:v>
                </c:pt>
                <c:pt idx="50">
                  <c:v>20 януари</c:v>
                </c:pt>
                <c:pt idx="51">
                  <c:v>21 януари</c:v>
                </c:pt>
                <c:pt idx="52">
                  <c:v>22 януари</c:v>
                </c:pt>
                <c:pt idx="53">
                  <c:v>23 януари</c:v>
                </c:pt>
                <c:pt idx="54">
                  <c:v>24 януари</c:v>
                </c:pt>
                <c:pt idx="55">
                  <c:v>25 януари</c:v>
                </c:pt>
                <c:pt idx="56">
                  <c:v>26 януари</c:v>
                </c:pt>
                <c:pt idx="57">
                  <c:v>27 януари</c:v>
                </c:pt>
                <c:pt idx="58">
                  <c:v>28 януари</c:v>
                </c:pt>
                <c:pt idx="59">
                  <c:v>29 януари</c:v>
                </c:pt>
                <c:pt idx="60">
                  <c:v>30 януари</c:v>
                </c:pt>
                <c:pt idx="61">
                  <c:v>31 януари</c:v>
                </c:pt>
              </c:strCache>
            </c:strRef>
          </c:cat>
          <c:val>
            <c:numRef>
              <c:f>Sheet1!$B$2:$B$63</c:f>
              <c:numCache>
                <c:formatCode>General</c:formatCode>
                <c:ptCount val="62"/>
                <c:pt idx="0">
                  <c:v>5061</c:v>
                </c:pt>
                <c:pt idx="1">
                  <c:v>4265</c:v>
                </c:pt>
                <c:pt idx="2">
                  <c:v>4423</c:v>
                </c:pt>
                <c:pt idx="3">
                  <c:v>3160</c:v>
                </c:pt>
                <c:pt idx="4">
                  <c:v>3252</c:v>
                </c:pt>
                <c:pt idx="5">
                  <c:v>3098</c:v>
                </c:pt>
                <c:pt idx="6">
                  <c:v>4858</c:v>
                </c:pt>
                <c:pt idx="7">
                  <c:v>5902</c:v>
                </c:pt>
                <c:pt idx="8">
                  <c:v>5102</c:v>
                </c:pt>
                <c:pt idx="9">
                  <c:v>3253</c:v>
                </c:pt>
                <c:pt idx="10">
                  <c:v>3790</c:v>
                </c:pt>
                <c:pt idx="11">
                  <c:v>2339</c:v>
                </c:pt>
                <c:pt idx="12">
                  <c:v>1825</c:v>
                </c:pt>
                <c:pt idx="13">
                  <c:v>1906</c:v>
                </c:pt>
                <c:pt idx="14">
                  <c:v>3913</c:v>
                </c:pt>
                <c:pt idx="15">
                  <c:v>3414</c:v>
                </c:pt>
                <c:pt idx="16">
                  <c:v>3240</c:v>
                </c:pt>
                <c:pt idx="17">
                  <c:v>2240</c:v>
                </c:pt>
                <c:pt idx="18">
                  <c:v>2889</c:v>
                </c:pt>
                <c:pt idx="19">
                  <c:v>2338</c:v>
                </c:pt>
                <c:pt idx="20">
                  <c:v>4492</c:v>
                </c:pt>
                <c:pt idx="21">
                  <c:v>4023</c:v>
                </c:pt>
                <c:pt idx="22">
                  <c:v>3914</c:v>
                </c:pt>
                <c:pt idx="23">
                  <c:v>4064</c:v>
                </c:pt>
                <c:pt idx="24">
                  <c:v>3721</c:v>
                </c:pt>
                <c:pt idx="25">
                  <c:v>2408</c:v>
                </c:pt>
                <c:pt idx="26">
                  <c:v>3467</c:v>
                </c:pt>
                <c:pt idx="27">
                  <c:v>2757</c:v>
                </c:pt>
                <c:pt idx="28">
                  <c:v>3001</c:v>
                </c:pt>
                <c:pt idx="29">
                  <c:v>3405</c:v>
                </c:pt>
                <c:pt idx="30">
                  <c:v>2901</c:v>
                </c:pt>
                <c:pt idx="31">
                  <c:v>1029</c:v>
                </c:pt>
                <c:pt idx="32">
                  <c:v>510</c:v>
                </c:pt>
                <c:pt idx="33">
                  <c:v>2209</c:v>
                </c:pt>
                <c:pt idx="34">
                  <c:v>2607</c:v>
                </c:pt>
                <c:pt idx="35">
                  <c:v>2620</c:v>
                </c:pt>
                <c:pt idx="36">
                  <c:v>1179</c:v>
                </c:pt>
                <c:pt idx="37">
                  <c:v>1200</c:v>
                </c:pt>
                <c:pt idx="38">
                  <c:v>122</c:v>
                </c:pt>
                <c:pt idx="39">
                  <c:v>1247</c:v>
                </c:pt>
                <c:pt idx="40">
                  <c:v>3517</c:v>
                </c:pt>
                <c:pt idx="41">
                  <c:v>3640</c:v>
                </c:pt>
                <c:pt idx="42">
                  <c:v>3756</c:v>
                </c:pt>
                <c:pt idx="43">
                  <c:v>573</c:v>
                </c:pt>
                <c:pt idx="44">
                  <c:v>408</c:v>
                </c:pt>
                <c:pt idx="45">
                  <c:v>1840</c:v>
                </c:pt>
                <c:pt idx="46">
                  <c:v>3830</c:v>
                </c:pt>
                <c:pt idx="47">
                  <c:v>1729</c:v>
                </c:pt>
                <c:pt idx="48">
                  <c:v>307</c:v>
                </c:pt>
                <c:pt idx="49">
                  <c:v>383</c:v>
                </c:pt>
                <c:pt idx="50">
                  <c:v>1096</c:v>
                </c:pt>
                <c:pt idx="51">
                  <c:v>1702</c:v>
                </c:pt>
                <c:pt idx="52">
                  <c:v>3642</c:v>
                </c:pt>
                <c:pt idx="53">
                  <c:v>4298</c:v>
                </c:pt>
                <c:pt idx="54">
                  <c:v>1639</c:v>
                </c:pt>
                <c:pt idx="55">
                  <c:v>615</c:v>
                </c:pt>
                <c:pt idx="56">
                  <c:v>1299</c:v>
                </c:pt>
                <c:pt idx="57">
                  <c:v>2277</c:v>
                </c:pt>
                <c:pt idx="58">
                  <c:v>3158</c:v>
                </c:pt>
                <c:pt idx="59">
                  <c:v>2955</c:v>
                </c:pt>
                <c:pt idx="60">
                  <c:v>2445</c:v>
                </c:pt>
                <c:pt idx="61">
                  <c:v>2634</c:v>
                </c:pt>
              </c:numCache>
            </c:numRef>
          </c:val>
          <c:smooth val="0"/>
        </c:ser>
        <c:dLbls>
          <c:showLegendKey val="0"/>
          <c:showVal val="0"/>
          <c:showCatName val="0"/>
          <c:showSerName val="0"/>
          <c:showPercent val="0"/>
          <c:showBubbleSize val="0"/>
        </c:dLbls>
        <c:marker val="1"/>
        <c:smooth val="0"/>
        <c:axId val="62634240"/>
        <c:axId val="69001216"/>
      </c:lineChart>
      <c:catAx>
        <c:axId val="62634240"/>
        <c:scaling>
          <c:orientation val="minMax"/>
        </c:scaling>
        <c:delete val="0"/>
        <c:axPos val="b"/>
        <c:numFmt formatCode="d\-mmm" sourceLinked="1"/>
        <c:majorTickMark val="out"/>
        <c:minorTickMark val="none"/>
        <c:tickLblPos val="nextTo"/>
        <c:txPr>
          <a:bodyPr/>
          <a:lstStyle/>
          <a:p>
            <a:pPr>
              <a:defRPr sz="800"/>
            </a:pPr>
            <a:endParaRPr lang="en-US"/>
          </a:p>
        </c:txPr>
        <c:crossAx val="69001216"/>
        <c:crosses val="autoZero"/>
        <c:auto val="1"/>
        <c:lblAlgn val="ctr"/>
        <c:lblOffset val="100"/>
        <c:tickLblSkip val="1"/>
        <c:noMultiLvlLbl val="1"/>
      </c:catAx>
      <c:valAx>
        <c:axId val="69001216"/>
        <c:scaling>
          <c:orientation val="minMax"/>
        </c:scaling>
        <c:delete val="0"/>
        <c:axPos val="l"/>
        <c:majorGridlines/>
        <c:numFmt formatCode="General" sourceLinked="1"/>
        <c:majorTickMark val="out"/>
        <c:minorTickMark val="none"/>
        <c:tickLblPos val="nextTo"/>
        <c:crossAx val="6263424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sz="1800" b="1" i="0" baseline="0">
                <a:effectLst/>
              </a:rPr>
              <a:t>Незаконно пристигащи от Турция в Гърция на седмица</a:t>
            </a:r>
          </a:p>
        </c:rich>
      </c:tx>
      <c:overlay val="0"/>
    </c:title>
    <c:autoTitleDeleted val="0"/>
    <c:plotArea>
      <c:layout/>
      <c:lineChart>
        <c:grouping val="standard"/>
        <c:varyColors val="0"/>
        <c:ser>
          <c:idx val="0"/>
          <c:order val="0"/>
          <c:tx>
            <c:strRef>
              <c:f>Sheet1!$B$6</c:f>
              <c:strCache>
                <c:ptCount val="1"/>
                <c:pt idx="0">
                  <c:v>Общо</c:v>
                </c:pt>
              </c:strCache>
            </c:strRef>
          </c:tx>
          <c:marker>
            <c:symbol val="none"/>
          </c:marker>
          <c:dLbls>
            <c:dLbl>
              <c:idx val="0"/>
              <c:layout>
                <c:manualLayout>
                  <c:x val="-5.2287581699346407E-2"/>
                  <c:y val="-3.0303030303030269E-2"/>
                </c:manualLayout>
              </c:layout>
              <c:showLegendKey val="0"/>
              <c:showVal val="1"/>
              <c:showCatName val="0"/>
              <c:showSerName val="0"/>
              <c:showPercent val="0"/>
              <c:showBubbleSize val="0"/>
            </c:dLbl>
            <c:dLbl>
              <c:idx val="4"/>
              <c:layout>
                <c:manualLayout>
                  <c:x val="0"/>
                  <c:y val="-3.4090909090909088E-2"/>
                </c:manualLayout>
              </c:layout>
              <c:showLegendKey val="0"/>
              <c:showVal val="1"/>
              <c:showCatName val="0"/>
              <c:showSerName val="0"/>
              <c:showPercent val="0"/>
              <c:showBubbleSize val="0"/>
            </c:dLbl>
            <c:dLbl>
              <c:idx val="5"/>
              <c:layout>
                <c:manualLayout>
                  <c:x val="-1.3071895424836682E-2"/>
                  <c:y val="4.5454545454545456E-2"/>
                </c:manualLayout>
              </c:layout>
              <c:showLegendKey val="0"/>
              <c:showVal val="1"/>
              <c:showCatName val="0"/>
              <c:showSerName val="0"/>
              <c:showPercent val="0"/>
              <c:showBubbleSize val="0"/>
            </c:dLbl>
            <c:dLbl>
              <c:idx val="6"/>
              <c:layout>
                <c:manualLayout>
                  <c:x val="-6.5359477124183806E-3"/>
                  <c:y val="-1.893939393939394E-2"/>
                </c:manualLayout>
              </c:layout>
              <c:showLegendKey val="0"/>
              <c:showVal val="1"/>
              <c:showCatName val="0"/>
              <c:showSerName val="0"/>
              <c:showPercent val="0"/>
              <c:showBubbleSize val="0"/>
            </c:dLbl>
            <c:dLbl>
              <c:idx val="7"/>
              <c:layout>
                <c:manualLayout>
                  <c:x val="-1.3071895424836602E-2"/>
                  <c:y val="4.545454545454552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Sheet1!$C$5:$K$5</c:f>
              <c:strCache>
                <c:ptCount val="9"/>
                <c:pt idx="0">
                  <c:v>30/11-6/12</c:v>
                </c:pt>
                <c:pt idx="1">
                  <c:v>7/12-13/12</c:v>
                </c:pt>
                <c:pt idx="2">
                  <c:v>14/12-20/12</c:v>
                </c:pt>
                <c:pt idx="3">
                  <c:v>21/12-27/12</c:v>
                </c:pt>
                <c:pt idx="4">
                  <c:v>28/12-3/01</c:v>
                </c:pt>
                <c:pt idx="5">
                  <c:v>4/01-10/01</c:v>
                </c:pt>
                <c:pt idx="6">
                  <c:v>11/01-17/01</c:v>
                </c:pt>
                <c:pt idx="7">
                  <c:v>18/01-24/01</c:v>
                </c:pt>
                <c:pt idx="8">
                  <c:v>25/01-31/01</c:v>
                </c:pt>
              </c:strCache>
            </c:strRef>
          </c:cat>
          <c:val>
            <c:numRef>
              <c:f>Sheet1!$C$6:$K$6</c:f>
              <c:numCache>
                <c:formatCode>0</c:formatCode>
                <c:ptCount val="9"/>
                <c:pt idx="0">
                  <c:v>27218</c:v>
                </c:pt>
                <c:pt idx="1">
                  <c:v>27069</c:v>
                </c:pt>
                <c:pt idx="2">
                  <c:v>19940</c:v>
                </c:pt>
                <c:pt idx="3">
                  <c:v>26089</c:v>
                </c:pt>
                <c:pt idx="4">
                  <c:v>15812</c:v>
                </c:pt>
                <c:pt idx="5">
                  <c:v>12492</c:v>
                </c:pt>
                <c:pt idx="6">
                  <c:v>15776</c:v>
                </c:pt>
                <c:pt idx="7">
                  <c:v>13067</c:v>
                </c:pt>
                <c:pt idx="8">
                  <c:v>15383</c:v>
                </c:pt>
              </c:numCache>
            </c:numRef>
          </c:val>
          <c:smooth val="0"/>
        </c:ser>
        <c:dLbls>
          <c:showLegendKey val="0"/>
          <c:showVal val="0"/>
          <c:showCatName val="0"/>
          <c:showSerName val="0"/>
          <c:showPercent val="0"/>
          <c:showBubbleSize val="0"/>
        </c:dLbls>
        <c:marker val="1"/>
        <c:smooth val="0"/>
        <c:axId val="72192000"/>
        <c:axId val="72193536"/>
      </c:lineChart>
      <c:catAx>
        <c:axId val="72192000"/>
        <c:scaling>
          <c:orientation val="minMax"/>
        </c:scaling>
        <c:delete val="0"/>
        <c:axPos val="b"/>
        <c:majorTickMark val="out"/>
        <c:minorTickMark val="none"/>
        <c:tickLblPos val="nextTo"/>
        <c:crossAx val="72193536"/>
        <c:crosses val="autoZero"/>
        <c:auto val="1"/>
        <c:lblAlgn val="ctr"/>
        <c:lblOffset val="100"/>
        <c:noMultiLvlLbl val="0"/>
      </c:catAx>
      <c:valAx>
        <c:axId val="72193536"/>
        <c:scaling>
          <c:orientation val="minMax"/>
        </c:scaling>
        <c:delete val="0"/>
        <c:axPos val="l"/>
        <c:majorGridlines/>
        <c:numFmt formatCode="0" sourceLinked="1"/>
        <c:majorTickMark val="out"/>
        <c:minorTickMark val="none"/>
        <c:tickLblPos val="nextTo"/>
        <c:crossAx val="7219200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Установяване на случаи на незаконно преминаване на гръцката морска граница с Турция </a:t>
            </a:r>
            <a:r>
              <a:rPr lang="bg-BG" sz="1800" b="1" i="0" u="none" strike="noStrike" baseline="0">
                <a:effectLst/>
              </a:rPr>
              <a:t>по националности </a:t>
            </a:r>
            <a:endParaRPr lang="bg-BG"/>
          </a:p>
        </c:rich>
      </c:tx>
      <c:overlay val="0"/>
    </c:title>
    <c:autoTitleDeleted val="0"/>
    <c:plotArea>
      <c:layout/>
      <c:lineChart>
        <c:grouping val="standard"/>
        <c:varyColors val="0"/>
        <c:ser>
          <c:idx val="0"/>
          <c:order val="0"/>
          <c:tx>
            <c:strRef>
              <c:f>'Graph 4'!$A$36</c:f>
              <c:strCache>
                <c:ptCount val="1"/>
                <c:pt idx="0">
                  <c:v>Общо на морската граница Турция-Гърция</c:v>
                </c:pt>
              </c:strCache>
            </c:strRef>
          </c:tx>
          <c:marker>
            <c:symbol val="none"/>
          </c:marker>
          <c:dLbls>
            <c:dLbl>
              <c:idx val="3"/>
              <c:layout>
                <c:manualLayout>
                  <c:x val="1.9521717911176184E-3"/>
                  <c:y val="-1.4367816091954023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strRef>
              <c:f>'Graph 4'!$B$35:$F$35</c:f>
              <c:strCache>
                <c:ptCount val="5"/>
                <c:pt idx="0">
                  <c:v>септември 2015 г.</c:v>
                </c:pt>
                <c:pt idx="1">
                  <c:v>октомври  2015 г.</c:v>
                </c:pt>
                <c:pt idx="2">
                  <c:v>ноември  2015 г.</c:v>
                </c:pt>
                <c:pt idx="3">
                  <c:v>декември  2015 г.</c:v>
                </c:pt>
                <c:pt idx="4">
                  <c:v>януари 2016 г.</c:v>
                </c:pt>
              </c:strCache>
            </c:strRef>
          </c:cat>
          <c:val>
            <c:numRef>
              <c:f>'Graph 4'!$B$36:$F$36</c:f>
              <c:numCache>
                <c:formatCode>0</c:formatCode>
                <c:ptCount val="5"/>
                <c:pt idx="0">
                  <c:v>147639</c:v>
                </c:pt>
                <c:pt idx="1">
                  <c:v>214792</c:v>
                </c:pt>
                <c:pt idx="2">
                  <c:v>154381</c:v>
                </c:pt>
                <c:pt idx="3">
                  <c:v>110835</c:v>
                </c:pt>
                <c:pt idx="4">
                  <c:v>67756</c:v>
                </c:pt>
              </c:numCache>
            </c:numRef>
          </c:val>
          <c:smooth val="0"/>
        </c:ser>
        <c:ser>
          <c:idx val="1"/>
          <c:order val="1"/>
          <c:tx>
            <c:strRef>
              <c:f>'Graph 4'!$A$37</c:f>
              <c:strCache>
                <c:ptCount val="1"/>
                <c:pt idx="0">
                  <c:v>Сирия</c:v>
                </c:pt>
              </c:strCache>
            </c:strRef>
          </c:tx>
          <c:marker>
            <c:symbol val="none"/>
          </c:marker>
          <c:dLbls>
            <c:dLbl>
              <c:idx val="0"/>
              <c:layout>
                <c:manualLayout>
                  <c:x val="0"/>
                  <c:y val="1.7241379310344827E-2"/>
                </c:manualLayout>
              </c:layout>
              <c:dLblPos val="r"/>
              <c:showLegendKey val="0"/>
              <c:showVal val="1"/>
              <c:showCatName val="0"/>
              <c:showSerName val="0"/>
              <c:showPercent val="0"/>
              <c:showBubbleSize val="0"/>
            </c:dLbl>
            <c:dLbl>
              <c:idx val="2"/>
              <c:layout>
                <c:manualLayout>
                  <c:x val="0"/>
                  <c:y val="-2.9411764705882353E-2"/>
                </c:manualLayout>
              </c:layout>
              <c:dLblPos val="r"/>
              <c:showLegendKey val="0"/>
              <c:showVal val="1"/>
              <c:showCatName val="0"/>
              <c:showSerName val="0"/>
              <c:showPercent val="0"/>
              <c:showBubbleSize val="0"/>
            </c:dLbl>
            <c:dLbl>
              <c:idx val="3"/>
              <c:layout>
                <c:manualLayout>
                  <c:x val="-1.9521717911176184E-2"/>
                  <c:y val="-2.9411711467101094E-2"/>
                </c:manualLayout>
              </c:layout>
              <c:dLblPos val="r"/>
              <c:showLegendKey val="0"/>
              <c:showVal val="1"/>
              <c:showCatName val="0"/>
              <c:showSerName val="0"/>
              <c:showPercent val="0"/>
              <c:showBubbleSize val="0"/>
            </c:dLbl>
            <c:dLbl>
              <c:idx val="4"/>
              <c:layout>
                <c:manualLayout>
                  <c:x val="-1.3665202537823329E-2"/>
                  <c:y val="-1.7241605575165173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strRef>
              <c:f>'Graph 4'!$B$35:$F$35</c:f>
              <c:strCache>
                <c:ptCount val="5"/>
                <c:pt idx="0">
                  <c:v>септември 2015 г.</c:v>
                </c:pt>
                <c:pt idx="1">
                  <c:v>октомври  2015 г.</c:v>
                </c:pt>
                <c:pt idx="2">
                  <c:v>ноември  2015 г.</c:v>
                </c:pt>
                <c:pt idx="3">
                  <c:v>декември  2015 г.</c:v>
                </c:pt>
                <c:pt idx="4">
                  <c:v>януари 2016 г.</c:v>
                </c:pt>
              </c:strCache>
            </c:strRef>
          </c:cat>
          <c:val>
            <c:numRef>
              <c:f>'Graph 4'!$B$37:$F$37</c:f>
              <c:numCache>
                <c:formatCode>0</c:formatCode>
                <c:ptCount val="5"/>
                <c:pt idx="0">
                  <c:v>101584</c:v>
                </c:pt>
                <c:pt idx="1">
                  <c:v>109669</c:v>
                </c:pt>
                <c:pt idx="2">
                  <c:v>66463</c:v>
                </c:pt>
                <c:pt idx="3">
                  <c:v>43110</c:v>
                </c:pt>
                <c:pt idx="4">
                  <c:v>25539</c:v>
                </c:pt>
              </c:numCache>
            </c:numRef>
          </c:val>
          <c:smooth val="0"/>
        </c:ser>
        <c:ser>
          <c:idx val="2"/>
          <c:order val="2"/>
          <c:tx>
            <c:strRef>
              <c:f>'Graph 4'!$A$38</c:f>
              <c:strCache>
                <c:ptCount val="1"/>
                <c:pt idx="0">
                  <c:v>Афганистан</c:v>
                </c:pt>
              </c:strCache>
            </c:strRef>
          </c:tx>
          <c:marker>
            <c:symbol val="none"/>
          </c:marker>
          <c:dLbls>
            <c:dLbl>
              <c:idx val="1"/>
              <c:layout>
                <c:manualLayout>
                  <c:x val="-4.0995607613469986E-2"/>
                  <c:y val="-2.0114942528735632E-2"/>
                </c:manualLayout>
              </c:layout>
              <c:dLblPos val="r"/>
              <c:showLegendKey val="0"/>
              <c:showVal val="1"/>
              <c:showCatName val="0"/>
              <c:showSerName val="0"/>
              <c:showPercent val="0"/>
              <c:showBubbleSize val="0"/>
            </c:dLbl>
            <c:dLbl>
              <c:idx val="2"/>
              <c:layout>
                <c:manualLayout>
                  <c:x val="-8.8154269972451783E-3"/>
                  <c:y val="-1.9607843137254902E-2"/>
                </c:manualLayout>
              </c:layout>
              <c:dLblPos val="r"/>
              <c:showLegendKey val="0"/>
              <c:showVal val="1"/>
              <c:showCatName val="0"/>
              <c:showSerName val="0"/>
              <c:showPercent val="0"/>
              <c:showBubbleSize val="0"/>
            </c:dLbl>
            <c:dLbl>
              <c:idx val="3"/>
              <c:layout>
                <c:manualLayout>
                  <c:x val="-3.3186920448999513E-2"/>
                  <c:y val="-2.5862068965517137E-2"/>
                </c:manualLayout>
              </c:layout>
              <c:dLblPos val="r"/>
              <c:showLegendKey val="0"/>
              <c:showVal val="1"/>
              <c:showCatName val="0"/>
              <c:showSerName val="0"/>
              <c:showPercent val="0"/>
              <c:showBubbleSize val="0"/>
            </c:dLbl>
            <c:dLbl>
              <c:idx val="4"/>
              <c:layout>
                <c:manualLayout>
                  <c:x val="-1.3665202537823329E-2"/>
                  <c:y val="-1.1494479138383563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strRef>
              <c:f>'Graph 4'!$B$35:$F$35</c:f>
              <c:strCache>
                <c:ptCount val="5"/>
                <c:pt idx="0">
                  <c:v>септември 2015 г.</c:v>
                </c:pt>
                <c:pt idx="1">
                  <c:v>октомври  2015 г.</c:v>
                </c:pt>
                <c:pt idx="2">
                  <c:v>ноември  2015 г.</c:v>
                </c:pt>
                <c:pt idx="3">
                  <c:v>декември  2015 г.</c:v>
                </c:pt>
                <c:pt idx="4">
                  <c:v>януари 2016 г.</c:v>
                </c:pt>
              </c:strCache>
            </c:strRef>
          </c:cat>
          <c:val>
            <c:numRef>
              <c:f>'Graph 4'!$B$38:$F$38</c:f>
              <c:numCache>
                <c:formatCode>0</c:formatCode>
                <c:ptCount val="5"/>
                <c:pt idx="0">
                  <c:v>26404</c:v>
                </c:pt>
                <c:pt idx="1">
                  <c:v>65642</c:v>
                </c:pt>
                <c:pt idx="2">
                  <c:v>44174</c:v>
                </c:pt>
                <c:pt idx="3">
                  <c:v>26700</c:v>
                </c:pt>
                <c:pt idx="4">
                  <c:v>15975</c:v>
                </c:pt>
              </c:numCache>
            </c:numRef>
          </c:val>
          <c:smooth val="0"/>
        </c:ser>
        <c:ser>
          <c:idx val="3"/>
          <c:order val="3"/>
          <c:tx>
            <c:strRef>
              <c:f>'Graph 4'!$A$39</c:f>
              <c:strCache>
                <c:ptCount val="1"/>
                <c:pt idx="0">
                  <c:v>Ирак</c:v>
                </c:pt>
              </c:strCache>
            </c:strRef>
          </c:tx>
          <c:marker>
            <c:symbol val="none"/>
          </c:marker>
          <c:dLbls>
            <c:dLbl>
              <c:idx val="0"/>
              <c:layout>
                <c:manualLayout>
                  <c:x val="-7.4182528062469499E-2"/>
                  <c:y val="-2.2626482034573265E-7"/>
                </c:manualLayout>
              </c:layout>
              <c:dLblPos val="r"/>
              <c:showLegendKey val="0"/>
              <c:showVal val="1"/>
              <c:showCatName val="0"/>
              <c:showSerName val="0"/>
              <c:showPercent val="0"/>
              <c:showBubbleSize val="0"/>
            </c:dLbl>
            <c:dLbl>
              <c:idx val="1"/>
              <c:layout>
                <c:manualLayout>
                  <c:x val="-3.709126403123475E-2"/>
                  <c:y val="-1.7241379310344827E-2"/>
                </c:manualLayout>
              </c:layout>
              <c:dLblPos val="r"/>
              <c:showLegendKey val="0"/>
              <c:showVal val="1"/>
              <c:showCatName val="0"/>
              <c:showSerName val="0"/>
              <c:showPercent val="0"/>
              <c:showBubbleSize val="0"/>
            </c:dLbl>
            <c:dLbl>
              <c:idx val="2"/>
              <c:layout>
                <c:manualLayout>
                  <c:x val="-3.3186920448999513E-2"/>
                  <c:y val="2.5861842700696896E-2"/>
                </c:manualLayout>
              </c:layout>
              <c:dLblPos val="r"/>
              <c:showLegendKey val="0"/>
              <c:showVal val="1"/>
              <c:showCatName val="0"/>
              <c:showSerName val="0"/>
              <c:showPercent val="0"/>
              <c:showBubbleSize val="0"/>
            </c:dLbl>
            <c:dLbl>
              <c:idx val="3"/>
              <c:layout>
                <c:manualLayout>
                  <c:x val="-4.2947779404587605E-2"/>
                  <c:y val="2.0114716263915287E-2"/>
                </c:manualLayout>
              </c:layout>
              <c:dLblPos val="r"/>
              <c:showLegendKey val="0"/>
              <c:showVal val="1"/>
              <c:showCatName val="0"/>
              <c:showSerName val="0"/>
              <c:showPercent val="0"/>
              <c:showBubbleSize val="0"/>
            </c:dLbl>
            <c:dLbl>
              <c:idx val="4"/>
              <c:layout>
                <c:manualLayout>
                  <c:x val="-1.3665202537823329E-2"/>
                  <c:y val="2.873563218390815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strRef>
              <c:f>'Graph 4'!$B$35:$F$35</c:f>
              <c:strCache>
                <c:ptCount val="5"/>
                <c:pt idx="0">
                  <c:v>септември 2015 г.</c:v>
                </c:pt>
                <c:pt idx="1">
                  <c:v>октомври  2015 г.</c:v>
                </c:pt>
                <c:pt idx="2">
                  <c:v>ноември  2015 г.</c:v>
                </c:pt>
                <c:pt idx="3">
                  <c:v>декември  2015 г.</c:v>
                </c:pt>
                <c:pt idx="4">
                  <c:v>януари 2016 г.</c:v>
                </c:pt>
              </c:strCache>
            </c:strRef>
          </c:cat>
          <c:val>
            <c:numRef>
              <c:f>'Graph 4'!$B$39:$F$39</c:f>
              <c:numCache>
                <c:formatCode>0</c:formatCode>
                <c:ptCount val="5"/>
                <c:pt idx="0">
                  <c:v>12357</c:v>
                </c:pt>
                <c:pt idx="1">
                  <c:v>22670</c:v>
                </c:pt>
                <c:pt idx="2">
                  <c:v>18962</c:v>
                </c:pt>
                <c:pt idx="3">
                  <c:v>27726</c:v>
                </c:pt>
                <c:pt idx="4">
                  <c:v>10151</c:v>
                </c:pt>
              </c:numCache>
            </c:numRef>
          </c:val>
          <c:smooth val="0"/>
        </c:ser>
        <c:ser>
          <c:idx val="4"/>
          <c:order val="4"/>
          <c:tx>
            <c:strRef>
              <c:f>'Graph 4'!$A$40</c:f>
              <c:strCache>
                <c:ptCount val="1"/>
                <c:pt idx="0">
                  <c:v>Всички други националности</c:v>
                </c:pt>
              </c:strCache>
            </c:strRef>
          </c:tx>
          <c:marker>
            <c:symbol val="none"/>
          </c:marker>
          <c:dLbls>
            <c:dLbl>
              <c:idx val="0"/>
              <c:layout>
                <c:manualLayout>
                  <c:x val="-6.4421669106881407E-2"/>
                  <c:y val="1.1494252873563218E-2"/>
                </c:manualLayout>
              </c:layout>
              <c:dLblPos val="r"/>
              <c:showLegendKey val="0"/>
              <c:showVal val="1"/>
              <c:showCatName val="0"/>
              <c:showSerName val="0"/>
              <c:showPercent val="0"/>
              <c:showBubbleSize val="0"/>
            </c:dLbl>
            <c:dLbl>
              <c:idx val="1"/>
              <c:layout>
                <c:manualLayout>
                  <c:x val="-3.9043435822352368E-2"/>
                  <c:y val="2.5862068965517241E-2"/>
                </c:manualLayout>
              </c:layout>
              <c:dLblPos val="r"/>
              <c:showLegendKey val="0"/>
              <c:showVal val="1"/>
              <c:showCatName val="0"/>
              <c:showSerName val="0"/>
              <c:showPercent val="0"/>
              <c:showBubbleSize val="0"/>
            </c:dLbl>
            <c:dLbl>
              <c:idx val="2"/>
              <c:layout>
                <c:manualLayout>
                  <c:x val="-3.1234748657881894E-2"/>
                  <c:y val="-2.6012082541406356E-2"/>
                </c:manualLayout>
              </c:layout>
              <c:dLblPos val="r"/>
              <c:showLegendKey val="0"/>
              <c:showVal val="1"/>
              <c:showCatName val="0"/>
              <c:showSerName val="0"/>
              <c:showPercent val="0"/>
              <c:showBubbleSize val="0"/>
            </c:dLbl>
            <c:dLbl>
              <c:idx val="3"/>
              <c:layout>
                <c:manualLayout>
                  <c:x val="-4.0995607613469986E-2"/>
                  <c:y val="2.0114942528735632E-2"/>
                </c:manualLayout>
              </c:layout>
              <c:dLblPos val="r"/>
              <c:showLegendKey val="0"/>
              <c:showVal val="1"/>
              <c:showCatName val="0"/>
              <c:showSerName val="0"/>
              <c:showPercent val="0"/>
              <c:showBubbleSize val="0"/>
            </c:dLbl>
            <c:dLbl>
              <c:idx val="4"/>
              <c:layout>
                <c:manualLayout>
                  <c:x val="-1.4168616917028856E-2"/>
                  <c:y val="1.5890352068060457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strRef>
              <c:f>'Graph 4'!$B$35:$F$35</c:f>
              <c:strCache>
                <c:ptCount val="5"/>
                <c:pt idx="0">
                  <c:v>септември 2015 г.</c:v>
                </c:pt>
                <c:pt idx="1">
                  <c:v>октомври  2015 г.</c:v>
                </c:pt>
                <c:pt idx="2">
                  <c:v>ноември  2015 г.</c:v>
                </c:pt>
                <c:pt idx="3">
                  <c:v>декември  2015 г.</c:v>
                </c:pt>
                <c:pt idx="4">
                  <c:v>януари 2016 г.</c:v>
                </c:pt>
              </c:strCache>
            </c:strRef>
          </c:cat>
          <c:val>
            <c:numRef>
              <c:f>'Graph 4'!$B$40:$F$40</c:f>
              <c:numCache>
                <c:formatCode>0</c:formatCode>
                <c:ptCount val="5"/>
                <c:pt idx="0">
                  <c:v>7294</c:v>
                </c:pt>
                <c:pt idx="1">
                  <c:v>16811</c:v>
                </c:pt>
                <c:pt idx="2">
                  <c:v>24782</c:v>
                </c:pt>
                <c:pt idx="3">
                  <c:v>13299</c:v>
                </c:pt>
                <c:pt idx="4">
                  <c:v>16091</c:v>
                </c:pt>
              </c:numCache>
            </c:numRef>
          </c:val>
          <c:smooth val="0"/>
        </c:ser>
        <c:dLbls>
          <c:dLblPos val="r"/>
          <c:showLegendKey val="0"/>
          <c:showVal val="1"/>
          <c:showCatName val="0"/>
          <c:showSerName val="0"/>
          <c:showPercent val="0"/>
          <c:showBubbleSize val="0"/>
        </c:dLbls>
        <c:marker val="1"/>
        <c:smooth val="0"/>
        <c:axId val="79453184"/>
        <c:axId val="79491840"/>
      </c:lineChart>
      <c:catAx>
        <c:axId val="79453184"/>
        <c:scaling>
          <c:orientation val="minMax"/>
        </c:scaling>
        <c:delete val="0"/>
        <c:axPos val="b"/>
        <c:numFmt formatCode="mmm\-yy" sourceLinked="1"/>
        <c:majorTickMark val="out"/>
        <c:minorTickMark val="none"/>
        <c:tickLblPos val="nextTo"/>
        <c:crossAx val="79491840"/>
        <c:crosses val="autoZero"/>
        <c:auto val="1"/>
        <c:lblAlgn val="ctr"/>
        <c:lblOffset val="100"/>
        <c:noMultiLvlLbl val="1"/>
      </c:catAx>
      <c:valAx>
        <c:axId val="79491840"/>
        <c:scaling>
          <c:orientation val="minMax"/>
        </c:scaling>
        <c:delete val="0"/>
        <c:axPos val="l"/>
        <c:majorGridlines/>
        <c:numFmt formatCode="0" sourceLinked="1"/>
        <c:majorTickMark val="out"/>
        <c:minorTickMark val="none"/>
        <c:tickLblPos val="nextTo"/>
        <c:crossAx val="7945318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A13B-D116-4B0F-BBF3-600FC4AC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4848</Words>
  <Characters>27300</Characters>
  <Application>Microsoft Office Word</Application>
  <DocSecurity>0</DocSecurity>
  <Lines>487</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31989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ECONOMIDES Miltiades (ELARG)</dc:creator>
  <cp:lastModifiedBy>DIGIT/A3</cp:lastModifiedBy>
  <cp:revision>35</cp:revision>
  <cp:lastPrinted>2016-02-16T09:41:00Z</cp:lastPrinted>
  <dcterms:created xsi:type="dcterms:W3CDTF">2016-02-09T17:18:00Z</dcterms:created>
  <dcterms:modified xsi:type="dcterms:W3CDTF">2016-02-17T11:26:00Z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