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814681DEE5840C1A608FA81A9A17140" style="width:450.75pt;height:435.75pt">
            <v:imagedata r:id="rId11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Обобщение на оценката на въздействието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rPr>
                <w:noProof/>
              </w:rPr>
            </w:pPr>
            <w:r>
              <w:rPr>
                <w:noProof/>
              </w:rPr>
              <w:t>Оценка на въздействието на предложението за ревизиране на Решението относно механизма за обмен на информация във връзка с междуправителствените споразумения между държавите членки и трети държави в областта на енергетиката</w:t>
            </w:r>
          </w:p>
          <w:p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noProof/>
              </w:rPr>
              <w:t>(Решение № 994/2012/ЕС относно междуправителствените споразумения)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А. Необходимост от предприемане на действие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Защо? Какъв е разглежданият проблем?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11 реда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С Решение № 994/2012/ЕС от 25 октомври 2012 г. бе създаден механизъм за обмен на информация между държавите членки и Комисията във връзка с междуправителствените споразумения в областта на енергетиката. </w:t>
            </w:r>
            <w:r>
              <w:rPr>
                <w:rFonts w:ascii="Tahoma" w:hAnsi="Tahoma"/>
                <w:noProof/>
                <w:color w:val="000000"/>
                <w:sz w:val="20"/>
              </w:rPr>
              <w:t xml:space="preserve">Както личи от анализа в доклада за оценка, приложен към настоящата оценка на въздействието, опитът показва, че досегашното решение не постига една от основните си цели, а именно да се гарантира съответствието на междуправителствените споразумения с правото на ЕС. По-конкретно, то се оказа неефикасно, що се отнася до насърчаването на трансформирането на междуправителствените споразумения, чието несъответствие с правото на ЕС е установено </w:t>
            </w:r>
            <w:r>
              <w:rPr>
                <w:rFonts w:ascii="Tahoma" w:hAnsi="Tahoma"/>
                <w:i/>
                <w:noProof/>
                <w:color w:val="000000"/>
                <w:sz w:val="20"/>
              </w:rPr>
              <w:t>a posteriori</w:t>
            </w:r>
            <w:r>
              <w:rPr>
                <w:rFonts w:ascii="Tahoma" w:hAnsi="Tahoma"/>
                <w:noProof/>
                <w:color w:val="000000"/>
                <w:sz w:val="20"/>
              </w:rPr>
              <w:t xml:space="preserve">, в такива, които са в съответствие с това право. Установени бяха три основни фактора, стоящи в основата на този проблем: 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t>липсата на каквото и да било предварително уведомяване на Комисията относно междуправителствените споразумения, което води до риск да бъдат изготвени междуправителствени споразумения, които не са в съответствие с правото на ЕС;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липсата на адекватни правни механизми в някои междуправителствени споразумения, които да позволяват тяхното изменение или прекратяване;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липсата на прозрачност при текущите преговори по междуправителствени споразумения/ефект на заместването.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Какво се очаква да бъде постигнато с настоящата инициатива?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8 реда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noProof/>
              </w:rPr>
              <w:t>Преразглеждането на решението се извършва в контекста на Стратегията за енергийния съюз, чиято цел е да осигури на потребителите в Европейския съюз — битовите потребители и предприятията — сигурно, устойчиво, конкурентоспособно и достъпно енергоснабдяване.</w:t>
            </w:r>
            <w:r>
              <w:rPr>
                <w:rFonts w:ascii="Tahoma" w:hAnsi="Tahoma"/>
                <w:noProof/>
                <w:color w:val="000000"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</w:rPr>
              <w:t>Преразглеждането има две основни цели:</w:t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</w:rPr>
            </w:pPr>
            <w:bookmarkStart w:id="2" w:name="_Toc329098783"/>
            <w:bookmarkStart w:id="3" w:name="_Toc329099292"/>
            <w:bookmarkStart w:id="4" w:name="_Toc329099373"/>
            <w:bookmarkStart w:id="5" w:name="_Toc330278380"/>
            <w:bookmarkStart w:id="6" w:name="_Toc330973395"/>
            <w:r>
              <w:rPr>
                <w:rFonts w:ascii="Tahoma" w:hAnsi="Tahoma"/>
                <w:noProof/>
                <w:color w:val="000000"/>
                <w:sz w:val="20"/>
              </w:rPr>
              <w:t>осигуряване на по-голямо съответствие на междуправителствените споразумения с правото на ЕС, като по този начин се гарантира правилното функциониране на вътрешния енергиен пазар и се засилва конкуренцията;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повишаване на прозрачността на междуправителствените споразумения с цел увеличаване на разходната ефективност на енергийните доставки в ЕС и на солидарността между държавите членки.</w:t>
            </w:r>
            <w:bookmarkEnd w:id="2"/>
            <w:bookmarkEnd w:id="3"/>
            <w:bookmarkEnd w:id="4"/>
            <w:bookmarkEnd w:id="5"/>
            <w:bookmarkEnd w:id="6"/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Какво предимство има предприемането на действие на равнището на ЕС?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7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На първо място, по силата на правото на ЕС държавите членки са длъжни да избягват или отстраняват всякаква несъвместимост между правото на Европейския съюз и междуправителствените споразумения, които те сключват с трети държави. Една от целите на ЕС (съгласно член 194 от ДФЕС) е да осигури правилното функциониране на вътрешния енергиен пазар, което изисква вносът на енергия в Европейския съюз да се осъществява изцяло в съответствие с правилата на вътрешния енергиен пазар. На второ място, нараства необходимостта от координация на наднационално равнище поради все по-голямото интегриране на енергийната инфраструктура и пазари на равнището на ЕС, общата зависимост от външни доставчици и амбицията на ЕС и на неговите държави членки за създаване на енергиен съюз.</w:t>
            </w:r>
          </w:p>
          <w:p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Кои законодателни и незаконодателни варианти на политиката бяха разгледани? Има ли предпочитан вариант или няма такъв? Защо?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14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color w:val="000000"/>
                <w:sz w:val="20"/>
                <w:u w:val="single"/>
              </w:rPr>
              <w:t>Вариант 1: Базов сценарий:</w:t>
            </w:r>
            <w:r>
              <w:rPr>
                <w:rFonts w:ascii="Tahoma" w:hAnsi="Tahoma"/>
                <w:noProof/>
                <w:color w:val="000000"/>
                <w:sz w:val="20"/>
              </w:rPr>
              <w:t xml:space="preserve"> </w:t>
            </w:r>
            <w:r>
              <w:rPr>
                <w:noProof/>
              </w:rPr>
              <w:t>Решението относно междуправителствените споразумения остава непроменено, но се укрепва политиката спрямо нарушенията.</w:t>
            </w:r>
          </w:p>
          <w:p>
            <w:pPr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noProof/>
                <w:color w:val="000000"/>
                <w:sz w:val="20"/>
                <w:u w:val="single"/>
              </w:rPr>
              <w:t xml:space="preserve">Вариант 2: Образци на разпоредби, които не нарушават правото/насоките на ЕС, за </w:t>
            </w:r>
            <w:r>
              <w:rPr>
                <w:rFonts w:ascii="Tahoma" w:hAnsi="Tahoma"/>
                <w:b/>
                <w:noProof/>
                <w:color w:val="000000"/>
                <w:sz w:val="20"/>
                <w:u w:val="single"/>
              </w:rPr>
              <w:lastRenderedPageBreak/>
              <w:t>включване в междуправителствените споразумения:</w:t>
            </w:r>
          </w:p>
          <w:p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/>
                <w:noProof/>
                <w:sz w:val="20"/>
              </w:rPr>
              <w:t>Предвижда се евентуалното разработване на образци на разпоредби и уточняване на последствията от включването им в междуправителствените споразумения за процеса на оценяване от страна на Комисията.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noProof/>
                <w:sz w:val="20"/>
                <w:u w:val="single"/>
              </w:rPr>
              <w:t>Вариант 3: Предварителната оценка на междуправителствените споразумения от страна на Комисията би могла да стане задължителна: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Държавите членки евентуално могат да бъдат задължени да информират Комисията на ранен етап за всякакви текущи преговори по междуправителствени споразумения и да представят своите проекти на междуправителствени споразумения на Комисията за предварителна оценка.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noProof/>
                <w:sz w:val="20"/>
                <w:u w:val="single"/>
              </w:rPr>
              <w:t>Вариант 4: Комисията би могла да получи правото да участва в качеството на наблюдател в преговорите по междуправителствени споразумения: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По силата на досегашното решение относно междуправителствените споразумения дадена държава членка „може да поиска съдействие от Комисията“. Държавите членки обаче биха могли да бъдат задължени да канят Комисията да участва в преговорите в качеството на наблюдател.</w:t>
            </w:r>
          </w:p>
          <w:p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/>
                <w:b/>
                <w:noProof/>
                <w:sz w:val="20"/>
                <w:u w:val="single"/>
              </w:rPr>
              <w:t>Вариант 5: Комисията евентуално да договори споразумения на ЕС в областта на енергетиката: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Задължителната предварителна нотификация ще даде възможност за предварителна проверка и обсъждане на въпроса дали споразумение на равнището на ЕС (било то изключително или смесено) би било по-подходящо средство за постигането на дадена цел.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Заключението от настоящата оценка на въздействието е, че икономически най-ефективен, ефикасен и съразмерен е вариант 3.</w:t>
            </w:r>
          </w:p>
          <w:p>
            <w:pPr>
              <w:spacing w:before="6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shd w:val="clear" w:color="auto" w:fill="CCCCCC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>Кой подкрепя отделните варианти?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7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От 28 юли до 22 октомври 2015 г. беше проведена обществена консултация във връзка с тази инициатива, основните резултати от която са, както следва: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noProof/>
                <w:u w:val="single"/>
              </w:rPr>
              <w:t>Органи на публичната власт</w:t>
            </w:r>
            <w:r>
              <w:rPr>
                <w:noProof/>
              </w:rPr>
              <w:t>:</w:t>
            </w:r>
            <w:r>
              <w:rPr>
                <w:rFonts w:ascii="Tahoma" w:hAnsi="Tahoma"/>
                <w:noProof/>
                <w:sz w:val="20"/>
              </w:rPr>
              <w:t xml:space="preserve"> Шест държави членки считат, че сегашната система трябва да бъде укрепена. Пет държави членки бяха на мнение, че ревизиране на сегашната система не е необходимо.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noProof/>
                <w:sz w:val="20"/>
                <w:szCs w:val="20"/>
                <w:u w:val="single"/>
              </w:rPr>
            </w:pPr>
            <w:r>
              <w:rPr>
                <w:rFonts w:ascii="Tahoma" w:hAnsi="Tahoma"/>
                <w:noProof/>
                <w:sz w:val="20"/>
                <w:u w:val="single"/>
              </w:rPr>
              <w:t xml:space="preserve">Предприятия: </w:t>
            </w:r>
            <w:r>
              <w:rPr>
                <w:rFonts w:ascii="Tahoma" w:hAnsi="Tahoma"/>
                <w:noProof/>
                <w:sz w:val="20"/>
              </w:rPr>
              <w:t>Голямото мнозинство от отговорите, получени от заинтересовани страни от средите на бизнеса, подчертаха колко важно е търговските договори да останат извън обхвата на Решението относно междуправителствените споразумения.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Застъпилите се за подсилване на разпоредбите на Решението относно междуправителствените споразумения в общия случай считат, че основното средство за постигането на тази цел следва да бъде въвеждането на механизъм за задължителна предварителна проверка.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Въздействие на предпочетения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Кои са ползите от предпочетения вариант (ако има такъв; в противен случай — от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12 реда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Настоящата оценка на въздействието се основава на качествена оценка на предложените варианти. Това се дължи на факта, че не е възможно да се измери количествено в пълното му многообразие прякото и непрякото макроикономическо въздействие на промените в Решението относно междуправителствените споразумения. Икономическите ползи от вариант 3 (задължителни предварителни проверки за съвместимост) ще произтекат от по-високата степен на съответствие на междуправителствените споразумения с правото на ЕС и основно са свързани с: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по-голямата правна сигурност, която благоприятства инвестициите. Това се отнася най-вече за свързаните с инфраструктурата междуправителствени споразумения, които имат за цел да осигурят правна сигурност за проектите с високи равнища на инвестиции;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добре функциониращ вътрешен енергиен пазар, без сегментиране и със засилена конкуренция;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повишената прозрачност по отношение на положението със сигурността на доставките във всички държави членки, което на свой ред би могло да намали риска от дублиране на инвестициите и/или от инфраструктурни несъответствия.</w:t>
            </w:r>
          </w:p>
          <w:p>
            <w:pPr>
              <w:pStyle w:val="ListParagraph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Въздействието на ревизираното Решение относно междуправителствените споразумения в екологичната и социалната сфера би било косвено. Доколкото подобно ревизиране ще увеличи степента на съответствие на междуправителствените споразумения с правото на ЕС и по този начин ще създаде по-добра бизнес среда като цяло, това въздействие се очаква да бъде положително.</w:t>
            </w: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>
      <w:pPr>
        <w:widowControl w:val="0"/>
        <w:rPr>
          <w:noProof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предпочетения вариант (ако има такъв; в противен случай — за основните варианти)?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12 реда</w:t>
            </w:r>
            <w:r>
              <w:rPr>
                <w:rFonts w:ascii="Tahoma" w:hAnsi="Tahoma"/>
                <w:noProof/>
                <w:sz w:val="20"/>
              </w:rPr>
              <w:t xml:space="preserve">                                     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Предпочетеният вариант, а именно вариант 3, би могъл да доведе до административни разходи както за Комисията, така и за държавите членки.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noProof/>
                <w:u w:val="single"/>
              </w:rPr>
              <w:t>На равнището на ЕС</w:t>
            </w:r>
            <w:r>
              <w:rPr>
                <w:noProof/>
              </w:rPr>
              <w:t xml:space="preserve"> първото ниво на предварителна оценка за всяко ново или подновено междуправителствено споразумение, представено на Комисията, вероятно ще изисква заетост от страна на две длъжностни лица от ГД „Енергетика“ в продължение на до два пълни работни дни.</w:t>
            </w:r>
            <w:r>
              <w:rPr>
                <w:rFonts w:ascii="Tahoma" w:hAnsi="Tahoma"/>
                <w:noProof/>
                <w:sz w:val="20"/>
              </w:rPr>
              <w:t xml:space="preserve"> Евентуално ще са необходими консултации и с Правната служба на Комисията и с другите компетентни генерални дирекции, както и да се ангажират усилията на един или двама юристи в продължение на около един до два дни.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u w:val="single"/>
              </w:rPr>
              <w:t>На национално равнище</w:t>
            </w:r>
            <w:r>
              <w:rPr>
                <w:noProof/>
              </w:rPr>
              <w:t xml:space="preserve"> основната част от работата по правната оценка и изготвянето на проекта, необходима за сключването на междуправителствено споразумение с трета държава, ще се върши независимо дали се предвижда задължителна предварителна нотификация или  не.</w:t>
            </w:r>
            <w:r>
              <w:rPr>
                <w:rFonts w:ascii="Tahoma" w:hAnsi="Tahoma"/>
                <w:noProof/>
                <w:sz w:val="20"/>
              </w:rPr>
              <w:t xml:space="preserve"> Поради това допълнителните разходи при този вариант на национално равнище евентуално ще бъдат свързани с представянето на документи на Комисията за целите на предварителната оценка. Ако бъдат установени случаи на несъответствие с правото на ЕС, ще трябва да бъдат направени консултации с повече юристи. В зависимост от сложността на междуправителственото споразумение може да се наложи провеждането на няколко кръга от консултации с националните органи, което също така би означавало, че повече длъжностни лица, заемащи съответните йерархични нива в националната администрация, ще трябва да отделят допълнително време на този въпрос по време на фазата, предшестваща подписването на споразумението.</w:t>
            </w:r>
          </w:p>
          <w:p>
            <w:pPr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 w:after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Какви ще са последиците за съответните предприятия, МСП и микропредприятия?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8 реда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Предвид обстоятелството, че се предвижда търговските договори да останат извън обхвата на ревизираното Решение относно междуправителствените споразумения, предложеният вариант, т.е. вариант 3, </w:t>
            </w:r>
            <w:r>
              <w:rPr>
                <w:rFonts w:ascii="Tahoma" w:hAnsi="Tahoma"/>
                <w:noProof/>
                <w:sz w:val="20"/>
                <w:u w:val="single"/>
              </w:rPr>
              <w:t>няма да има допълнително пряко отражение</w:t>
            </w:r>
            <w:r>
              <w:rPr>
                <w:rFonts w:ascii="Tahoma" w:hAnsi="Tahoma"/>
                <w:noProof/>
                <w:sz w:val="20"/>
              </w:rPr>
              <w:t xml:space="preserve"> върху предприятията в сравнение с досегашната система. Задължителната предварителна оценка на проектите на междуправителствени споразумения от Комисията обаче би могла да забави подписването на междуправителственото споразумение и по този начин </w:t>
            </w:r>
            <w:r>
              <w:rPr>
                <w:rFonts w:ascii="Tahoma" w:hAnsi="Tahoma"/>
                <w:noProof/>
                <w:sz w:val="20"/>
                <w:u w:val="single"/>
              </w:rPr>
              <w:t>косвено да повлияе</w:t>
            </w:r>
            <w:r>
              <w:rPr>
                <w:rFonts w:ascii="Tahoma" w:hAnsi="Tahoma"/>
                <w:noProof/>
                <w:sz w:val="20"/>
              </w:rPr>
              <w:t xml:space="preserve"> на решенията, отнасящи се до планирането и инвестициите на търговските субекти, участващи в енергийните доставки или свързаната с тях инфраструктура. За сметка на това вариант 3 също така ще подобри цялостната среда за стопанска дейност чрез постигането на по-голяма правна сигурност и произтичащата от това икономия на средства за дружествата, участващи в инвестициите и свързаните с тях подизпълнителски дейности, включително за МСП.</w:t>
            </w:r>
          </w:p>
          <w:p>
            <w:pPr>
              <w:spacing w:before="60"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Ще има ли значимо отражение върху националните бюджети и администрации?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4 реда</w:t>
            </w:r>
          </w:p>
        </w:tc>
      </w:tr>
      <w:t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Освен споменатите по-горе административни разходи, не се очаква предложеният вариант да окаже допълнително въздействие върху националните бюджети.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други значими последствия?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noProof/>
                <w:sz w:val="20"/>
                <w:u w:val="single"/>
              </w:rPr>
              <w:t xml:space="preserve">Максимум 6 реда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w:t>Въвеждането на задължителна предварителна оценка от Комисията би могло да има като последица предвидено междуправителствено споразумение с трета държава в крайна сметка да не бъде подписано или да бъде съставено или изменено по такъв начин, че да е в съответствие с правото на ЕС. Това на свой ред би могло да засегне отношенията със съответната трета държава. Подобна предварителна оценка обаче ще осигури правна сигурност и стабилност в договорните отношения между държавите членки и третите държави. Отделен въпрос е, че членовете на ЕИП или договарящите страни от Енергийната общност могат също да решат да прилагат ревизираното решение относно междуправителствените споразумения.</w:t>
            </w:r>
          </w:p>
          <w:p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spacing w:before="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Кога ще бъде следващото преразглеждане на политиката? </w:t>
            </w:r>
            <w:r>
              <w:rPr>
                <w:rFonts w:ascii="Tahoma" w:hAnsi="Tahoma"/>
                <w:noProof/>
                <w:sz w:val="20"/>
                <w:u w:val="single"/>
              </w:rPr>
              <w:t>Максимум 4 реда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В член 8 от Решението относно междуправителствените споразумения се съдържа клауза за преразглеждане, изискваща от Комисията да изготви доклад до 1 януари 2016 г. и на всеки три години след това. Поради това, в допълнение към доклада за оценка, приложен към настоящата оценка на въздействието, предложението за преразглеждане на Решението относно междуправителствените споразумения ще бъде придружено от един първи доклад до Европейския парламент и до Съвета. Комисията възнамерява да изготви следващ доклад не по-късно от 1</w:t>
            </w:r>
            <w:r>
              <w:rPr>
                <w:rFonts w:ascii="Tahoma" w:hAnsi="Tahoma"/>
                <w:noProof/>
                <w:color w:val="000000"/>
                <w:sz w:val="20"/>
              </w:rPr>
              <w:t xml:space="preserve"> януари 2020 г.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77599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D9D"/>
    <w:multiLevelType w:val="hybridMultilevel"/>
    <w:tmpl w:val="991E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C080C"/>
    <w:multiLevelType w:val="hybridMultilevel"/>
    <w:tmpl w:val="C2AA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C2F"/>
    <w:multiLevelType w:val="hybridMultilevel"/>
    <w:tmpl w:val="F6E6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B6E53"/>
    <w:multiLevelType w:val="hybridMultilevel"/>
    <w:tmpl w:val="8906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"/>
    <w:docVar w:name="LW_CORRIGENDUM" w:val="&lt;UNUSED&gt;"/>
    <w:docVar w:name="LW_COVERPAGE_GUID" w:val="B814681DEE5840C1A608FA81A9A17140"/>
    <w:docVar w:name="LW_CROSSREFERENCE" w:val="{COM(2016) 53 final}_x000b_{SWD(2016) 27 final}"/>
    <w:docVar w:name="LW_DocType" w:val="NORMAL"/>
    <w:docVar w:name="LW_EMISSION" w:val="16.2.2016"/>
    <w:docVar w:name="LW_EMISSION_ISODATE" w:val="2016-02-16"/>
    <w:docVar w:name="LW_EMISSION_LOCATION" w:val="BRX"/>
    <w:docVar w:name="LW_EMISSION_PREFIX" w:val="Брюксел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98?\u1079?\u1076?\u1072?\u1074?\u1072?\u1085?\u1077? \u1085?\u1072? \u1084?\u1077?\u1093?\u1072?\u1085?\u1080?\u1079?\u1098?\u1084? \u1079?\u1072? \u1086?\u1073?\u1084?\u1077?\u1085? \u1085?\u1072? \u1080?\u1085?\u1092?\u1086?\u1088?\u1084?\u1072?\u1094?\u1080?\u1103? \u1074?\u1098?\u1074? \u1074?\u1088?\u1098?\u1079?\u1082?\u1072? \u1089? \u1084?\u1077?\u1078?\u1076?\u1091?\u1087?\u1088?\u1072?\u1074?\u1080?\u1090?\u1077?\u1083?\u1089?\u1090?\u1074?\u1077?\u1085?\u1080? \u1089?\u1087?\u1086?\u1088?\u1072?\u1079?\u1091?\u1084?\u1077?\u1085?\u1080?\u1103? \u1080? \u1085?\u1077?\u1086?\u1073?\u1074?\u1098?\u1088?\u1079?\u1074?\u1072?\u1097?\u1080? \u1080?\u1085?\u1089?\u1090?\u1088?\u1091?\u1084?\u1077?\u1085?\u1090?\u1080? \u1084?\u1077?\u1078?\u1076?\u1091? \u1076?\u1098?\u1088?\u1078?\u1072?\u1074?\u1080?\u1090?\u1077? \u1095?\u1083?\u1077?\u1085?\u1082?\u1080? \u1080? \u1090?\u1088?\u1077?\u1090?\u1080? \u1076?\u1098?\u1088?\u1078?\u1072?\u1074?\u1080? \u1074? \u1086?\u1073?\u1083?\u1072?\u1089?\u1090?\u1090?\u1072? \u1085?\u1072? \u1077?\u1085?\u1077?\u1088?\u1075?\u1077?\u1090?\u1080?\u1082?\u1072?\u1090?\u1072?_x000b_\u1080? \u1079?\u1072? \u1086?\u1090?\u1084?\u1103?\u1085?\u1072? \u1085?\u1072? \u1056?\u1077?\u1096?\u1077?\u1085?\u1080?\u1077? \u8470? 994/2012/\u1045?\u1057?"/>
    <w:docVar w:name="LW_PART_NBR" w:val="1"/>
    <w:docVar w:name="LW_PART_NBR_TOTAL" w:val="1"/>
    <w:docVar w:name="LW_REF.INST.NEW" w:val="SWD"/>
    <w:docVar w:name="LW_REF.INST.NEW_ADOPTED" w:val="final"/>
    <w:docVar w:name="LW_REF.INST.NEW_TEXT" w:val="(2016) 28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87?\u1088?\u1077?\u1076?\u1083?\u1086?\u1078?\u1077?\u1085?\u1080?\u1077? \u1079?\u1072? \u1056?\u1077?\u1096?\u1077?\u1085?\u1080?\u1077? \u1085?\u1072? \u1045?\u1074?\u1088?\u1086?\u1087?\u1077?\u1081?\u1089?\u1082?\u1080?\u1103? \u1087?\u1072?\u1088?\u1083?\u1072?\u1084?\u1077?\u1085?\u1090? \u1080? \u1085?\u1072? \u1057?\u1098?\u1074?\u1077?\u109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DCF41F10D214DBDDF7E1F5EB8F7C1" ma:contentTypeVersion="1" ma:contentTypeDescription="Create a new document." ma:contentTypeScope="" ma:versionID="4d11a2104eb79e191fab213970d36f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CCE80E-734A-4297-8D0E-984F7E32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88CBB-D78F-412D-9B35-4671E1A44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228E3-FEEC-429F-8C93-CFCC37DE56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1667</Words>
  <Characters>10419</Characters>
  <Application>Microsoft Office Word</Application>
  <DocSecurity>0</DocSecurity>
  <Lines>176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21</cp:revision>
  <dcterms:created xsi:type="dcterms:W3CDTF">2015-12-16T11:10:00Z</dcterms:created>
  <dcterms:modified xsi:type="dcterms:W3CDTF">2016-02-23T08:48:00Z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NewReviewCycle">
    <vt:lpwstr/>
  </property>
  <property fmtid="{D5CDD505-2E9C-101B-9397-08002B2CF9AE}" pid="10" name="ContentTypeId">
    <vt:lpwstr>0x010100AB6DCF41F10D214DBDDF7E1F5EB8F7C1</vt:lpwstr>
  </property>
  <property fmtid="{D5CDD505-2E9C-101B-9397-08002B2CF9AE}" pid="11" name="TemplateUrl">
    <vt:lpwstr/>
  </property>
</Properties>
</file>