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36B5" w:rsidRDefault="00064F4C" w:rsidP="00064F4C">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B204A56B6A3346BD9B1CF97DCAEBA6E6" style="width:450.75pt;height:348pt">
            <v:imagedata r:id="rId9" o:title=""/>
          </v:shape>
        </w:pict>
      </w:r>
    </w:p>
    <w:bookmarkEnd w:id="0"/>
    <w:p w:rsidR="00ED36B5" w:rsidRDefault="00ED36B5">
      <w:pPr>
        <w:rPr>
          <w:noProof/>
        </w:rPr>
        <w:sectPr w:rsidR="00ED36B5" w:rsidSect="00064F4C">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rsidR="00ED36B5" w:rsidRDefault="00064F4C">
      <w:pPr>
        <w:pStyle w:val="Heading1"/>
        <w:rPr>
          <w:noProof/>
          <w:szCs w:val="24"/>
        </w:rPr>
      </w:pPr>
      <w:bookmarkStart w:id="1" w:name="_GoBack"/>
      <w:bookmarkEnd w:id="1"/>
      <w:r>
        <w:rPr>
          <w:noProof/>
        </w:rPr>
        <w:lastRenderedPageBreak/>
        <w:t>Introduction</w:t>
      </w:r>
    </w:p>
    <w:p w:rsidR="00ED36B5" w:rsidRDefault="00064F4C">
      <w:pPr>
        <w:autoSpaceDE w:val="0"/>
        <w:autoSpaceDN w:val="0"/>
        <w:adjustRightInd w:val="0"/>
        <w:jc w:val="both"/>
        <w:rPr>
          <w:rFonts w:ascii="Times New Roman" w:hAnsi="Times New Roman"/>
          <w:noProof/>
          <w:sz w:val="24"/>
          <w:szCs w:val="24"/>
        </w:rPr>
      </w:pPr>
      <w:r>
        <w:rPr>
          <w:rFonts w:ascii="Times New Roman" w:hAnsi="Times New Roman"/>
          <w:noProof/>
          <w:sz w:val="24"/>
        </w:rPr>
        <w:t>Depuis 2011, la Commission élabore des rapports semestriels pour le Parlement européen</w:t>
      </w:r>
      <w:r>
        <w:rPr>
          <w:rFonts w:ascii="Times New Roman" w:hAnsi="Times New Roman"/>
          <w:noProof/>
          <w:sz w:val="24"/>
        </w:rPr>
        <w:t xml:space="preserve"> et le Conseil sur le fonctionnement de l’espace Schengen. Ce système de notification a été mis en place pour renforcer la coopération dans l’espace Schengen et fournir une base aux discussions et à la prise de décision. Il a été proposé dans la communicat</w:t>
      </w:r>
      <w:r>
        <w:rPr>
          <w:rFonts w:ascii="Times New Roman" w:hAnsi="Times New Roman"/>
          <w:noProof/>
          <w:sz w:val="24"/>
        </w:rPr>
        <w:t>ion de la Commission de septembre 2011 sur la gouvernance de Schengen</w:t>
      </w:r>
      <w:r>
        <w:rPr>
          <w:rStyle w:val="FootnoteReference"/>
          <w:rFonts w:ascii="Times New Roman" w:hAnsi="Times New Roman"/>
          <w:noProof/>
          <w:sz w:val="24"/>
        </w:rPr>
        <w:footnoteReference w:id="2"/>
      </w:r>
      <w:r>
        <w:rPr>
          <w:rFonts w:ascii="Times New Roman" w:hAnsi="Times New Roman"/>
          <w:noProof/>
        </w:rPr>
        <w:t xml:space="preserve"> </w:t>
      </w:r>
      <w:r>
        <w:rPr>
          <w:rFonts w:ascii="Times New Roman" w:hAnsi="Times New Roman"/>
          <w:noProof/>
          <w:sz w:val="24"/>
        </w:rPr>
        <w:t>et a reçu l'approbation du Conseil le 8 mars 2012. Afin que les événements tragiques survenus à Paris le 13 novembre ainsi que d’autres événements importants puissent être pris en compt</w:t>
      </w:r>
      <w:r>
        <w:rPr>
          <w:rFonts w:ascii="Times New Roman" w:hAnsi="Times New Roman"/>
          <w:noProof/>
          <w:sz w:val="24"/>
        </w:rPr>
        <w:t xml:space="preserve">e, la période de référence de ce huitième rapport a été prolongée jusqu’au 10 décembre 2015. </w:t>
      </w:r>
    </w:p>
    <w:p w:rsidR="00ED36B5" w:rsidRDefault="00064F4C">
      <w:pPr>
        <w:autoSpaceDE w:val="0"/>
        <w:autoSpaceDN w:val="0"/>
        <w:adjustRightInd w:val="0"/>
        <w:jc w:val="both"/>
        <w:rPr>
          <w:rStyle w:val="Corpsdutexte"/>
          <w:rFonts w:ascii="Times New Roman" w:hAnsi="Times New Roman" w:cs="Times New Roman"/>
          <w:noProof/>
          <w:sz w:val="24"/>
          <w:szCs w:val="24"/>
        </w:rPr>
      </w:pPr>
      <w:r>
        <w:rPr>
          <w:rFonts w:ascii="Times New Roman" w:hAnsi="Times New Roman"/>
          <w:noProof/>
          <w:sz w:val="24"/>
        </w:rPr>
        <w:t>Les rapports semestriels publiés jusqu’à présent donnaient une vue d'ensemble la plus large possible de la situation dans l’espace Schengen, couvrant tous les asp</w:t>
      </w:r>
      <w:r>
        <w:rPr>
          <w:rFonts w:ascii="Times New Roman" w:hAnsi="Times New Roman"/>
          <w:noProof/>
          <w:sz w:val="24"/>
        </w:rPr>
        <w:t>ects de son fonctionnement. Toutefois, dans le contexte actuel de crise migratoire, la Commission souhaite mettre l’accent sur les événements qui ont eu les effets les plus notables sur le fonctionnement de l’espace Schengen. Comme indiqué dans les conclus</w:t>
      </w:r>
      <w:r>
        <w:rPr>
          <w:rFonts w:ascii="Times New Roman" w:hAnsi="Times New Roman"/>
          <w:noProof/>
          <w:sz w:val="24"/>
        </w:rPr>
        <w:t>ions du Conseil du 9 novembre 2015, ce rapport devrait servir de base à un débat approfondi sur cette question et sur les enseignements tirés du rétablissement temporaire des contrôles aux frontières intérieures. Il doit également examiner les incidences d</w:t>
      </w:r>
      <w:r>
        <w:rPr>
          <w:rFonts w:ascii="Times New Roman" w:hAnsi="Times New Roman"/>
          <w:noProof/>
          <w:sz w:val="24"/>
        </w:rPr>
        <w:t xml:space="preserve">es faits signalés sur l’espace Schengen et sur son fonctionnement, et, le cas échéant, les moyens de répondre à la situation qui en découle. </w:t>
      </w:r>
    </w:p>
    <w:p w:rsidR="00ED36B5" w:rsidRDefault="00064F4C">
      <w:pPr>
        <w:autoSpaceDE w:val="0"/>
        <w:autoSpaceDN w:val="0"/>
        <w:adjustRightInd w:val="0"/>
        <w:jc w:val="both"/>
        <w:rPr>
          <w:rStyle w:val="Corpsdutexte"/>
          <w:rFonts w:ascii="Times New Roman" w:hAnsi="Times New Roman" w:cs="Times New Roman"/>
          <w:noProof/>
          <w:sz w:val="24"/>
          <w:szCs w:val="24"/>
        </w:rPr>
      </w:pPr>
      <w:r>
        <w:rPr>
          <w:rStyle w:val="Corpsdutexte"/>
          <w:rFonts w:ascii="Times New Roman" w:hAnsi="Times New Roman"/>
          <w:noProof/>
          <w:sz w:val="24"/>
        </w:rPr>
        <w:t>Les principaux points à analyser pour la période couverte par le rapport sont les suivants: les mesures prises par</w:t>
      </w:r>
      <w:r>
        <w:rPr>
          <w:rStyle w:val="Corpsdutexte"/>
          <w:rFonts w:ascii="Times New Roman" w:hAnsi="Times New Roman"/>
          <w:noProof/>
          <w:sz w:val="24"/>
        </w:rPr>
        <w:t xml:space="preserve"> les États membres à leurs frontières intérieures et extérieures, à la lumière des événements suivants: 1) le nombre sans précédent de migrants pénétrant dans l’espace Schengen, ainsi que leurs mouvements secondaires; 2) les attentats terroristes multiples</w:t>
      </w:r>
      <w:r>
        <w:rPr>
          <w:rStyle w:val="Corpsdutexte"/>
          <w:rFonts w:ascii="Times New Roman" w:hAnsi="Times New Roman"/>
          <w:noProof/>
          <w:sz w:val="24"/>
        </w:rPr>
        <w:t xml:space="preserve"> perpétrés à Paris le 13 novembre 2015 et la tentative d'attentat survenue dans un train Thalys reliant Amsterdam à Paris le 21</w:t>
      </w:r>
      <w:r>
        <w:rPr>
          <w:rFonts w:ascii="Times New Roman" w:hAnsi="Times New Roman"/>
          <w:noProof/>
          <w:sz w:val="24"/>
        </w:rPr>
        <w:t> </w:t>
      </w:r>
      <w:r>
        <w:rPr>
          <w:rStyle w:val="Corpsdutexte"/>
          <w:rFonts w:ascii="Times New Roman" w:hAnsi="Times New Roman"/>
          <w:noProof/>
          <w:sz w:val="24"/>
        </w:rPr>
        <w:t>août 2015. Les paragraphes ci-après analysent en détail ces deux points. En outre, le rapport rend compte des résultats du nouve</w:t>
      </w:r>
      <w:r>
        <w:rPr>
          <w:rStyle w:val="Corpsdutexte"/>
          <w:rFonts w:ascii="Times New Roman" w:hAnsi="Times New Roman"/>
          <w:noProof/>
          <w:sz w:val="24"/>
        </w:rPr>
        <w:t>au mécanisme d’évaluation de Schengen.</w:t>
      </w:r>
    </w:p>
    <w:p w:rsidR="00ED36B5" w:rsidRDefault="00064F4C">
      <w:pPr>
        <w:pStyle w:val="Heading1"/>
        <w:rPr>
          <w:noProof/>
          <w:szCs w:val="24"/>
        </w:rPr>
      </w:pPr>
      <w:r>
        <w:rPr>
          <w:noProof/>
        </w:rPr>
        <w:t>Une pression migratoire sans précédent</w:t>
      </w:r>
    </w:p>
    <w:p w:rsidR="00ED36B5" w:rsidRDefault="00064F4C">
      <w:pPr>
        <w:pStyle w:val="Heading2"/>
        <w:tabs>
          <w:tab w:val="left" w:pos="567"/>
          <w:tab w:val="left" w:pos="6521"/>
        </w:tabs>
        <w:ind w:left="0" w:firstLine="0"/>
        <w:jc w:val="left"/>
        <w:rPr>
          <w:rStyle w:val="Corpsdutexte"/>
          <w:rFonts w:ascii="Times New Roman" w:hAnsi="Times New Roman" w:cs="Times New Roman"/>
          <w:i/>
          <w:noProof/>
          <w:sz w:val="24"/>
          <w:szCs w:val="24"/>
        </w:rPr>
      </w:pPr>
      <w:r>
        <w:rPr>
          <w:rStyle w:val="Corpsdutexte"/>
          <w:rFonts w:ascii="Times New Roman" w:hAnsi="Times New Roman"/>
          <w:i/>
          <w:noProof/>
          <w:sz w:val="24"/>
        </w:rPr>
        <w:t>Flux migratoires aux frontières extérieures</w:t>
      </w:r>
    </w:p>
    <w:p w:rsidR="00ED36B5" w:rsidRDefault="00064F4C">
      <w:pPr>
        <w:jc w:val="both"/>
        <w:rPr>
          <w:rFonts w:ascii="Times New Roman" w:hAnsi="Times New Roman"/>
          <w:noProof/>
          <w:sz w:val="24"/>
          <w:szCs w:val="24"/>
        </w:rPr>
      </w:pPr>
      <w:r>
        <w:rPr>
          <w:rStyle w:val="Corpsdutexte"/>
          <w:rFonts w:ascii="Times New Roman" w:hAnsi="Times New Roman"/>
          <w:noProof/>
          <w:sz w:val="24"/>
        </w:rPr>
        <w:t>Le nombre de migrants en situation irrégulière et de demandeurs d'une protection internationale arrivant dans l’UE a augmenté de façon</w:t>
      </w:r>
      <w:r>
        <w:rPr>
          <w:rStyle w:val="Corpsdutexte"/>
          <w:rFonts w:ascii="Times New Roman" w:hAnsi="Times New Roman"/>
          <w:noProof/>
          <w:sz w:val="24"/>
        </w:rPr>
        <w:t xml:space="preserve"> spectaculaire. Le nombre d'entrées illégales observé en 2015 (1 553 614)</w:t>
      </w:r>
      <w:r>
        <w:rPr>
          <w:rStyle w:val="FootnoteReference"/>
          <w:rFonts w:ascii="Times New Roman" w:hAnsi="Times New Roman"/>
          <w:noProof/>
          <w:sz w:val="24"/>
        </w:rPr>
        <w:footnoteReference w:id="3"/>
      </w:r>
      <w:r>
        <w:rPr>
          <w:rStyle w:val="Corpsdutexte"/>
          <w:rFonts w:ascii="Times New Roman" w:hAnsi="Times New Roman"/>
          <w:noProof/>
          <w:sz w:val="24"/>
        </w:rPr>
        <w:t xml:space="preserve"> dépasse considérablement celui enregistré durant la période 2009-2014 (813 044). Les migrants ont emprunté les trois principales routes où a été observée l'immense majorité des fran</w:t>
      </w:r>
      <w:r>
        <w:rPr>
          <w:rStyle w:val="Corpsdutexte"/>
          <w:rFonts w:ascii="Times New Roman" w:hAnsi="Times New Roman"/>
          <w:noProof/>
          <w:sz w:val="24"/>
        </w:rPr>
        <w:t xml:space="preserve">chissements irréguliers des frontières de l’UE entre </w:t>
      </w:r>
      <w:r>
        <w:rPr>
          <w:rStyle w:val="Corpsdutexte"/>
          <w:rFonts w:ascii="Times New Roman" w:hAnsi="Times New Roman"/>
          <w:noProof/>
          <w:sz w:val="24"/>
        </w:rPr>
        <w:lastRenderedPageBreak/>
        <w:t>janvier et novembre 2015: la Méditerranée orientale (716 202 entrées détectées), les Balkans occidentaux (667 147) et la Méditerranée centrale (144 300)</w:t>
      </w:r>
      <w:r>
        <w:rPr>
          <w:rStyle w:val="Corpsdutexte"/>
          <w:rFonts w:ascii="Times New Roman" w:hAnsi="Times New Roman"/>
          <w:i/>
          <w:noProof/>
          <w:sz w:val="24"/>
        </w:rPr>
        <w:t>.</w:t>
      </w:r>
      <w:r>
        <w:rPr>
          <w:rStyle w:val="Corpsdutexte"/>
          <w:rFonts w:ascii="Times New Roman" w:hAnsi="Times New Roman"/>
          <w:noProof/>
          <w:sz w:val="24"/>
        </w:rPr>
        <w:t xml:space="preserve"> Il faut noter toutefois qu’une partie des migrant</w:t>
      </w:r>
      <w:r>
        <w:rPr>
          <w:rStyle w:val="Corpsdutexte"/>
          <w:rFonts w:ascii="Times New Roman" w:hAnsi="Times New Roman"/>
          <w:noProof/>
          <w:sz w:val="24"/>
        </w:rPr>
        <w:t>s en situation irrégulière détectés sur la route des Balkans occidentaux ont déjà été comptabilisés une première fois dans les estimations relatives à la route de la Méditerranée orientale passant par la Grèce.</w:t>
      </w:r>
    </w:p>
    <w:p w:rsidR="00ED36B5" w:rsidRDefault="00064F4C">
      <w:pPr>
        <w:autoSpaceDE w:val="0"/>
        <w:autoSpaceDN w:val="0"/>
        <w:adjustRightInd w:val="0"/>
        <w:jc w:val="both"/>
        <w:rPr>
          <w:rStyle w:val="Corpsdutexte"/>
          <w:rFonts w:ascii="Times New Roman" w:hAnsi="Times New Roman" w:cs="Times New Roman"/>
          <w:noProof/>
          <w:sz w:val="24"/>
          <w:szCs w:val="24"/>
        </w:rPr>
      </w:pPr>
      <w:r>
        <w:rPr>
          <w:rStyle w:val="Corpsdutexte"/>
          <w:rFonts w:ascii="Times New Roman" w:hAnsi="Times New Roman"/>
          <w:noProof/>
          <w:sz w:val="24"/>
        </w:rPr>
        <w:t>Un grand nombre de migrants entrant dans l’UE</w:t>
      </w:r>
      <w:r>
        <w:rPr>
          <w:rStyle w:val="Corpsdutexte"/>
          <w:rFonts w:ascii="Times New Roman" w:hAnsi="Times New Roman"/>
          <w:noProof/>
          <w:sz w:val="24"/>
        </w:rPr>
        <w:t xml:space="preserve"> fuient les conflits dans leur région et demandent donc une protection internationale. Bien que la législation en matière d’asile ne fasse pas partie de l’acquis de Schengen, il est évident que la crise des réfugiés a d’importantes conséquences sur la situ</w:t>
      </w:r>
      <w:r>
        <w:rPr>
          <w:rStyle w:val="Corpsdutexte"/>
          <w:rFonts w:ascii="Times New Roman" w:hAnsi="Times New Roman"/>
          <w:noProof/>
          <w:sz w:val="24"/>
        </w:rPr>
        <w:t>ation aux frontières extérieures de l’UE et au sein de l’espace Schengen.</w:t>
      </w:r>
    </w:p>
    <w:p w:rsidR="00ED36B5" w:rsidRDefault="00064F4C">
      <w:pPr>
        <w:autoSpaceDE w:val="0"/>
        <w:autoSpaceDN w:val="0"/>
        <w:adjustRightInd w:val="0"/>
        <w:jc w:val="both"/>
        <w:rPr>
          <w:rFonts w:ascii="Times New Roman" w:hAnsi="Times New Roman"/>
          <w:noProof/>
          <w:sz w:val="24"/>
          <w:szCs w:val="24"/>
        </w:rPr>
      </w:pPr>
      <w:r>
        <w:rPr>
          <w:rStyle w:val="Corpsdutexte"/>
          <w:rFonts w:ascii="Times New Roman" w:hAnsi="Times New Roman"/>
          <w:noProof/>
          <w:sz w:val="24"/>
        </w:rPr>
        <w:t xml:space="preserve">La forte augmentation du nombre d’arrivées a mis les systèmes de contrôle aux frontières et les régimes d’asile des pays concernés sous une pression extrême. Face à cette situation, </w:t>
      </w:r>
      <w:r>
        <w:rPr>
          <w:rStyle w:val="Corpsdutexte"/>
          <w:rFonts w:ascii="Times New Roman" w:hAnsi="Times New Roman"/>
          <w:noProof/>
          <w:sz w:val="24"/>
        </w:rPr>
        <w:t xml:space="preserve">la Commission a </w:t>
      </w:r>
      <w:r>
        <w:rPr>
          <w:rFonts w:ascii="Times New Roman" w:hAnsi="Times New Roman"/>
          <w:noProof/>
          <w:sz w:val="24"/>
        </w:rPr>
        <w:t>instauré l'</w:t>
      </w:r>
      <w:r>
        <w:rPr>
          <w:rFonts w:ascii="Times New Roman" w:hAnsi="Times New Roman"/>
          <w:b/>
          <w:noProof/>
          <w:sz w:val="24"/>
        </w:rPr>
        <w:t xml:space="preserve">approche des «hotspots» </w:t>
      </w:r>
      <w:r>
        <w:rPr>
          <w:rFonts w:ascii="Times New Roman" w:hAnsi="Times New Roman"/>
          <w:noProof/>
          <w:sz w:val="24"/>
        </w:rPr>
        <w:t xml:space="preserve"> (centres de crise), qui fournit une plateforme permettant aux agences de l'UE d'assister les États membres se trouvant en première ligne à enregistrer, filtrer et interroger les migrants rapidement, à men</w:t>
      </w:r>
      <w:r>
        <w:rPr>
          <w:rFonts w:ascii="Times New Roman" w:hAnsi="Times New Roman"/>
          <w:noProof/>
          <w:sz w:val="24"/>
        </w:rPr>
        <w:t>er à bien les procédures d'asile et à coordonner les opérations de retour. L’Italie et la Grèce sont les deux premiers États membres dans lesquels cette approche est mise en œuvre</w:t>
      </w:r>
      <w:r>
        <w:rPr>
          <w:rStyle w:val="FootnoteReference"/>
          <w:rFonts w:ascii="Times New Roman" w:hAnsi="Times New Roman"/>
          <w:noProof/>
          <w:sz w:val="24"/>
        </w:rPr>
        <w:footnoteReference w:id="4"/>
      </w:r>
      <w:r>
        <w:rPr>
          <w:rFonts w:ascii="Times New Roman" w:hAnsi="Times New Roman"/>
          <w:noProof/>
          <w:sz w:val="24"/>
        </w:rPr>
        <w:t>. La Commission a également envoyé des membres de son personnel dans ses deu</w:t>
      </w:r>
      <w:r>
        <w:rPr>
          <w:rFonts w:ascii="Times New Roman" w:hAnsi="Times New Roman"/>
          <w:noProof/>
          <w:sz w:val="24"/>
        </w:rPr>
        <w:t>x États membres afin de fournir une coordination et un soutien pratiques. Les équipes d’appui à la gestion des flux migratoires actives dans les centres de crise utilisent les contributions des États membres répondant aux demandes d'experts et d'équipement</w:t>
      </w:r>
      <w:r>
        <w:rPr>
          <w:rFonts w:ascii="Times New Roman" w:hAnsi="Times New Roman"/>
          <w:noProof/>
          <w:sz w:val="24"/>
        </w:rPr>
        <w:t xml:space="preserve"> de Frontex et de l'EASO.</w:t>
      </w:r>
    </w:p>
    <w:p w:rsidR="00ED36B5" w:rsidRDefault="00064F4C">
      <w:pPr>
        <w:autoSpaceDE w:val="0"/>
        <w:autoSpaceDN w:val="0"/>
        <w:adjustRightInd w:val="0"/>
        <w:jc w:val="both"/>
        <w:rPr>
          <w:rStyle w:val="Corpsdutexte"/>
          <w:rFonts w:ascii="Times New Roman" w:hAnsi="Times New Roman" w:cs="Times New Roman"/>
          <w:noProof/>
          <w:sz w:val="24"/>
          <w:szCs w:val="24"/>
        </w:rPr>
      </w:pPr>
      <w:r>
        <w:rPr>
          <w:rFonts w:ascii="Times New Roman" w:hAnsi="Times New Roman"/>
          <w:noProof/>
          <w:sz w:val="24"/>
        </w:rPr>
        <w:t>En réponse aux propositions présentées par la Commission, le Conseil</w:t>
      </w:r>
      <w:r>
        <w:rPr>
          <w:rFonts w:ascii="Times New Roman" w:hAnsi="Times New Roman"/>
          <w:noProof/>
        </w:rPr>
        <w:t xml:space="preserve"> </w:t>
      </w:r>
      <w:r>
        <w:rPr>
          <w:rFonts w:ascii="Times New Roman" w:hAnsi="Times New Roman"/>
          <w:noProof/>
          <w:sz w:val="24"/>
        </w:rPr>
        <w:t xml:space="preserve">a approuvé, en septembre, la </w:t>
      </w:r>
      <w:r>
        <w:rPr>
          <w:rFonts w:ascii="Times New Roman" w:hAnsi="Times New Roman"/>
          <w:b/>
          <w:noProof/>
          <w:sz w:val="24"/>
        </w:rPr>
        <w:t>relocalisation</w:t>
      </w:r>
      <w:r>
        <w:rPr>
          <w:rFonts w:ascii="Times New Roman" w:hAnsi="Times New Roman"/>
          <w:noProof/>
          <w:sz w:val="24"/>
        </w:rPr>
        <w:t>, depuis l'Italie, la Grèce et éventuellement d'autres États membres directement touchés par la crise des réfugiés, de</w:t>
      </w:r>
      <w:r>
        <w:rPr>
          <w:rFonts w:ascii="Times New Roman" w:hAnsi="Times New Roman"/>
          <w:noProof/>
          <w:sz w:val="24"/>
        </w:rPr>
        <w:t xml:space="preserve"> 160 000 demandeurs d'asile ayant manifestement besoin d'une protection internationale</w:t>
      </w:r>
      <w:r>
        <w:rPr>
          <w:rStyle w:val="FootnoteReference"/>
          <w:rFonts w:ascii="Times New Roman" w:hAnsi="Times New Roman"/>
          <w:noProof/>
          <w:sz w:val="24"/>
        </w:rPr>
        <w:footnoteReference w:id="5"/>
      </w:r>
      <w:r>
        <w:rPr>
          <w:noProof/>
        </w:rPr>
        <w:t>.</w:t>
      </w:r>
      <w:r>
        <w:rPr>
          <w:rFonts w:ascii="Times New Roman" w:hAnsi="Times New Roman"/>
          <w:noProof/>
          <w:sz w:val="24"/>
        </w:rPr>
        <w:t xml:space="preserve"> La mise en œuvre pleine et entière du mécanisme de relocalisation, parallèlement à la mise en place de centres de crise, devrait réduire la pression qui s’exerce sur c</w:t>
      </w:r>
      <w:r>
        <w:rPr>
          <w:rFonts w:ascii="Times New Roman" w:hAnsi="Times New Roman"/>
          <w:noProof/>
          <w:sz w:val="24"/>
        </w:rPr>
        <w:t xml:space="preserve">es pays. </w:t>
      </w:r>
    </w:p>
    <w:p w:rsidR="00ED36B5" w:rsidRDefault="00064F4C">
      <w:pPr>
        <w:autoSpaceDE w:val="0"/>
        <w:autoSpaceDN w:val="0"/>
        <w:adjustRightInd w:val="0"/>
        <w:jc w:val="both"/>
        <w:rPr>
          <w:rFonts w:ascii="Times New Roman" w:hAnsi="Times New Roman"/>
          <w:noProof/>
          <w:sz w:val="24"/>
          <w:szCs w:val="24"/>
        </w:rPr>
      </w:pPr>
      <w:r>
        <w:rPr>
          <w:rStyle w:val="Corpsdutexte"/>
          <w:rFonts w:ascii="Times New Roman" w:hAnsi="Times New Roman"/>
          <w:noProof/>
          <w:sz w:val="24"/>
        </w:rPr>
        <w:t xml:space="preserve">Outre les </w:t>
      </w:r>
      <w:r>
        <w:rPr>
          <w:rStyle w:val="Corpsdutexte"/>
          <w:rFonts w:ascii="Times New Roman" w:hAnsi="Times New Roman"/>
          <w:b/>
          <w:noProof/>
          <w:sz w:val="24"/>
        </w:rPr>
        <w:t>opérations conjointes</w:t>
      </w:r>
      <w:r>
        <w:rPr>
          <w:rStyle w:val="Corpsdutexte"/>
          <w:rFonts w:ascii="Times New Roman" w:hAnsi="Times New Roman"/>
          <w:noProof/>
          <w:sz w:val="24"/>
        </w:rPr>
        <w:t xml:space="preserve"> de Frontex en cours — Triton (en Italie) et Poseidon Sea (en Grèce), dont le budget a été multiplié par trois afin de renforcer leurs capacités de surveillance et de sauvetage — l'UE a lancé, le </w:t>
      </w:r>
      <w:r>
        <w:rPr>
          <w:rFonts w:ascii="Times New Roman" w:hAnsi="Times New Roman"/>
          <w:noProof/>
          <w:sz w:val="24"/>
        </w:rPr>
        <w:t>22 juin</w:t>
      </w:r>
      <w:r>
        <w:rPr>
          <w:noProof/>
        </w:rPr>
        <w:t>, une opérat</w:t>
      </w:r>
      <w:r>
        <w:rPr>
          <w:noProof/>
        </w:rPr>
        <w:t>ion relevant de la politique de sécurité et de défense commune dans la partie sud de la Méditerranée centrale.</w:t>
      </w:r>
      <w:r>
        <w:rPr>
          <w:rFonts w:ascii="Times New Roman" w:hAnsi="Times New Roman"/>
          <w:noProof/>
          <w:sz w:val="24"/>
        </w:rPr>
        <w:t xml:space="preserve"> Cette opération vise spécifiquement à déstabiliser le modèle économique des réseaux de trafic et de traite des êtres humains.</w:t>
      </w:r>
    </w:p>
    <w:p w:rsidR="00ED36B5" w:rsidRDefault="00064F4C">
      <w:pPr>
        <w:autoSpaceDE w:val="0"/>
        <w:autoSpaceDN w:val="0"/>
        <w:adjustRightInd w:val="0"/>
        <w:jc w:val="both"/>
        <w:rPr>
          <w:rFonts w:ascii="Times New Roman" w:hAnsi="Times New Roman"/>
          <w:noProof/>
          <w:sz w:val="24"/>
          <w:szCs w:val="24"/>
        </w:rPr>
      </w:pPr>
      <w:r>
        <w:rPr>
          <w:rFonts w:ascii="Times New Roman" w:hAnsi="Times New Roman"/>
          <w:noProof/>
          <w:sz w:val="24"/>
        </w:rPr>
        <w:t>En outre, les États</w:t>
      </w:r>
      <w:r>
        <w:rPr>
          <w:rFonts w:ascii="Times New Roman" w:hAnsi="Times New Roman"/>
          <w:noProof/>
          <w:sz w:val="24"/>
        </w:rPr>
        <w:t xml:space="preserve"> membres confrontés à une pression exceptionnelle et urgente peuvent demander l’assistance d’équipes d’intervention rapide aux frontières (</w:t>
      </w:r>
      <w:r>
        <w:rPr>
          <w:rFonts w:ascii="Times New Roman" w:hAnsi="Times New Roman"/>
          <w:b/>
          <w:noProof/>
          <w:sz w:val="24"/>
        </w:rPr>
        <w:t>RABIT</w:t>
      </w:r>
      <w:r>
        <w:rPr>
          <w:rFonts w:ascii="Times New Roman" w:hAnsi="Times New Roman"/>
          <w:noProof/>
          <w:sz w:val="24"/>
        </w:rPr>
        <w:t>), prévue par le règlement Frontex. Le 3 décembre, la Grèce a présenté à Frontex une demande formelle de déploie</w:t>
      </w:r>
      <w:r>
        <w:rPr>
          <w:rFonts w:ascii="Times New Roman" w:hAnsi="Times New Roman"/>
          <w:noProof/>
          <w:sz w:val="24"/>
        </w:rPr>
        <w:t xml:space="preserve">ment d’une équipe d’intervention rapide aux frontières, afin d'obtenir l'assistance immédiate de gardes-frontières à sa frontière extérieure dans les îles de la mer Égée. Le 10 décembre, Frontex a pris les décisions nécessaires pour lancer cette opération </w:t>
      </w:r>
      <w:r>
        <w:rPr>
          <w:rFonts w:ascii="Times New Roman" w:hAnsi="Times New Roman"/>
          <w:noProof/>
          <w:sz w:val="24"/>
        </w:rPr>
        <w:t xml:space="preserve">et convenir immédiatement d'un plan d'action avec les autorités grecques dans la même zone opérationnelle que Poseidon Sea. </w:t>
      </w:r>
    </w:p>
    <w:p w:rsidR="00ED36B5" w:rsidRDefault="00064F4C">
      <w:pPr>
        <w:jc w:val="both"/>
        <w:rPr>
          <w:rFonts w:ascii="Times New Roman" w:hAnsi="Times New Roman"/>
          <w:noProof/>
          <w:sz w:val="24"/>
          <w:szCs w:val="24"/>
        </w:rPr>
      </w:pPr>
      <w:r>
        <w:rPr>
          <w:rFonts w:ascii="Times New Roman" w:hAnsi="Times New Roman"/>
          <w:noProof/>
          <w:sz w:val="24"/>
        </w:rPr>
        <w:t>La Hongrie a construit une clôture le long de sa frontière extérieure avec la Serbie. L’</w:t>
      </w:r>
      <w:r>
        <w:rPr>
          <w:rFonts w:ascii="Times New Roman" w:hAnsi="Times New Roman"/>
          <w:b/>
          <w:noProof/>
          <w:sz w:val="24"/>
        </w:rPr>
        <w:t>installation de clôtures</w:t>
      </w:r>
      <w:r>
        <w:rPr>
          <w:rFonts w:ascii="Times New Roman" w:hAnsi="Times New Roman"/>
          <w:noProof/>
          <w:sz w:val="24"/>
        </w:rPr>
        <w:t xml:space="preserve"> à des fins de cont</w:t>
      </w:r>
      <w:r>
        <w:rPr>
          <w:rFonts w:ascii="Times New Roman" w:hAnsi="Times New Roman"/>
          <w:noProof/>
          <w:sz w:val="24"/>
        </w:rPr>
        <w:t>rôle aux frontières n'est pas, en soi, contraire au droit de l’Union européenne. Toutefois, les mesures appliquées doivent être proportionnées et respecter les droits fondamentaux et ceux découlant de l’acquis de l'UE en matière d’asile, notamment le princ</w:t>
      </w:r>
      <w:r>
        <w:rPr>
          <w:rFonts w:ascii="Times New Roman" w:hAnsi="Times New Roman"/>
          <w:noProof/>
          <w:sz w:val="24"/>
        </w:rPr>
        <w:t>ipe de non-refoulement. La Commission continue de veiller à ce que l’installation de la clôture ne porte pas atteinte à ces droits, en particulier au droit à un accès effectif à la procédure d’asile aux points de passage frontaliers.</w:t>
      </w:r>
    </w:p>
    <w:p w:rsidR="00ED36B5" w:rsidRDefault="00064F4C">
      <w:pPr>
        <w:jc w:val="both"/>
        <w:rPr>
          <w:rFonts w:ascii="Times New Roman" w:hAnsi="Times New Roman"/>
          <w:noProof/>
          <w:sz w:val="24"/>
          <w:szCs w:val="24"/>
        </w:rPr>
      </w:pPr>
      <w:r>
        <w:rPr>
          <w:rFonts w:ascii="Times New Roman" w:hAnsi="Times New Roman"/>
          <w:noProof/>
          <w:sz w:val="24"/>
        </w:rPr>
        <w:t>La Hongrie a également</w:t>
      </w:r>
      <w:r>
        <w:rPr>
          <w:rFonts w:ascii="Times New Roman" w:hAnsi="Times New Roman"/>
          <w:noProof/>
          <w:sz w:val="24"/>
        </w:rPr>
        <w:t xml:space="preserve"> érigé une clôture le long de sa frontière avec un autre État membre de l’UE devant adhérer à l’espace Schengen, la Croatie. Une installation comparable est en cours d'aménagement sur certaines parties de la frontière entre la Slovénie et la Croatie. Si la</w:t>
      </w:r>
      <w:r>
        <w:rPr>
          <w:rFonts w:ascii="Times New Roman" w:hAnsi="Times New Roman"/>
          <w:noProof/>
          <w:sz w:val="24"/>
        </w:rPr>
        <w:t xml:space="preserve"> législation de l'UE n'interdit pas explicitement de construire une clôture sur une frontière qui, pour l'instant, demeure une frontière extérieure de l’espace Schengen, la Commission note que cette installation est en contradiction avec l’objectif d’adhés</w:t>
      </w:r>
      <w:r>
        <w:rPr>
          <w:rFonts w:ascii="Times New Roman" w:hAnsi="Times New Roman"/>
          <w:noProof/>
          <w:sz w:val="24"/>
        </w:rPr>
        <w:t>ion de la Croatie à cet espace. La Commission maintient également son soutien sans réserve à l’adhésion de la Bulgarie et de la Roumanie, comme indiqué dans le 7</w:t>
      </w:r>
      <w:r>
        <w:rPr>
          <w:rFonts w:ascii="Times New Roman" w:hAnsi="Times New Roman"/>
          <w:noProof/>
          <w:sz w:val="24"/>
          <w:vertAlign w:val="superscript"/>
        </w:rPr>
        <w:t>e</w:t>
      </w:r>
      <w:r>
        <w:rPr>
          <w:rFonts w:ascii="Times New Roman" w:hAnsi="Times New Roman"/>
          <w:noProof/>
          <w:sz w:val="24"/>
        </w:rPr>
        <w:t xml:space="preserve"> rapport semestriel</w:t>
      </w:r>
      <w:r>
        <w:rPr>
          <w:rStyle w:val="FootnoteReference"/>
          <w:rFonts w:ascii="Times New Roman" w:hAnsi="Times New Roman"/>
          <w:noProof/>
          <w:sz w:val="24"/>
        </w:rPr>
        <w:footnoteReference w:id="6"/>
      </w:r>
      <w:r>
        <w:rPr>
          <w:rFonts w:ascii="Times New Roman" w:hAnsi="Times New Roman"/>
          <w:noProof/>
          <w:sz w:val="24"/>
        </w:rPr>
        <w:t>.</w:t>
      </w:r>
    </w:p>
    <w:p w:rsidR="00ED36B5" w:rsidRDefault="00064F4C">
      <w:pPr>
        <w:jc w:val="both"/>
        <w:rPr>
          <w:rStyle w:val="Corpsdutexte"/>
          <w:rFonts w:ascii="Times New Roman" w:hAnsi="Times New Roman" w:cs="Times New Roman"/>
          <w:noProof/>
          <w:sz w:val="24"/>
          <w:szCs w:val="24"/>
        </w:rPr>
      </w:pPr>
      <w:r>
        <w:rPr>
          <w:rStyle w:val="Corpsdutexte"/>
          <w:rFonts w:ascii="Times New Roman" w:hAnsi="Times New Roman"/>
          <w:noProof/>
          <w:sz w:val="24"/>
        </w:rPr>
        <w:t>Il est de la plus haute importance que toutes les personnes franchissant</w:t>
      </w:r>
      <w:r>
        <w:rPr>
          <w:rStyle w:val="Corpsdutexte"/>
          <w:rFonts w:ascii="Times New Roman" w:hAnsi="Times New Roman"/>
          <w:noProof/>
          <w:sz w:val="24"/>
        </w:rPr>
        <w:t xml:space="preserve"> les frontières extérieures soient contrôlées conformément à la législation en vigueur. Les personnes qui franchissent illégalement une frontière doivent être </w:t>
      </w:r>
      <w:r>
        <w:rPr>
          <w:rStyle w:val="Corpsdutexte"/>
          <w:rFonts w:ascii="Times New Roman" w:hAnsi="Times New Roman"/>
          <w:b/>
          <w:noProof/>
          <w:sz w:val="24"/>
        </w:rPr>
        <w:t>dûment enregistrées</w:t>
      </w:r>
      <w:r>
        <w:rPr>
          <w:rStyle w:val="Corpsdutexte"/>
          <w:rFonts w:ascii="Times New Roman" w:hAnsi="Times New Roman"/>
          <w:noProof/>
          <w:sz w:val="24"/>
        </w:rPr>
        <w:t xml:space="preserve"> et orientées vers une procédure d’asile ou de retour, selon le cas. À l’heure</w:t>
      </w:r>
      <w:r>
        <w:rPr>
          <w:rStyle w:val="Corpsdutexte"/>
          <w:rFonts w:ascii="Times New Roman" w:hAnsi="Times New Roman"/>
          <w:noProof/>
          <w:sz w:val="24"/>
        </w:rPr>
        <w:t xml:space="preserve"> actuelle, l'obligation de relever les empreintes digitales imposées par le règlement Eurodac</w:t>
      </w:r>
      <w:r>
        <w:rPr>
          <w:rStyle w:val="FootnoteReference"/>
          <w:rFonts w:ascii="Times New Roman" w:hAnsi="Times New Roman"/>
          <w:noProof/>
          <w:sz w:val="24"/>
        </w:rPr>
        <w:footnoteReference w:id="7"/>
      </w:r>
      <w:r>
        <w:rPr>
          <w:rStyle w:val="Corpsdutexte"/>
          <w:rFonts w:ascii="Times New Roman" w:hAnsi="Times New Roman"/>
          <w:noProof/>
          <w:sz w:val="24"/>
        </w:rPr>
        <w:t xml:space="preserve"> n’est pas toujours respectée. On estime à environ 23 % la part des prélèvements d'empreintes digitales en cas de franchissement irrégulier d’une frontière (confo</w:t>
      </w:r>
      <w:r>
        <w:rPr>
          <w:rStyle w:val="Corpsdutexte"/>
          <w:rFonts w:ascii="Times New Roman" w:hAnsi="Times New Roman"/>
          <w:noProof/>
          <w:sz w:val="24"/>
        </w:rPr>
        <w:t>rmément à l’article</w:t>
      </w:r>
      <w:r>
        <w:rPr>
          <w:rFonts w:ascii="Times New Roman" w:hAnsi="Times New Roman"/>
          <w:noProof/>
          <w:sz w:val="24"/>
        </w:rPr>
        <w:t> </w:t>
      </w:r>
      <w:r>
        <w:rPr>
          <w:rStyle w:val="Corpsdutexte"/>
          <w:rFonts w:ascii="Times New Roman" w:hAnsi="Times New Roman"/>
          <w:noProof/>
          <w:sz w:val="24"/>
        </w:rPr>
        <w:t>14 du règlement Eurodac)</w:t>
      </w:r>
      <w:r>
        <w:rPr>
          <w:rStyle w:val="FootnoteReference"/>
          <w:rFonts w:ascii="Times New Roman" w:hAnsi="Times New Roman"/>
          <w:noProof/>
          <w:sz w:val="24"/>
        </w:rPr>
        <w:footnoteReference w:id="8"/>
      </w:r>
      <w:r>
        <w:rPr>
          <w:rStyle w:val="Corpsdutexte"/>
          <w:rFonts w:ascii="Times New Roman" w:hAnsi="Times New Roman"/>
          <w:noProof/>
          <w:sz w:val="24"/>
        </w:rPr>
        <w:t>. En outre, cette proportion varie considérablement entre les États membres. La Commission prend des mesures pour assurer la pleine conformité avec le droit de l’Union dans ce domaine</w:t>
      </w:r>
      <w:r>
        <w:rPr>
          <w:rStyle w:val="FootnoteReference"/>
          <w:rFonts w:ascii="Times New Roman" w:hAnsi="Times New Roman"/>
          <w:noProof/>
          <w:sz w:val="24"/>
        </w:rPr>
        <w:footnoteReference w:id="9"/>
      </w:r>
      <w:r>
        <w:rPr>
          <w:rStyle w:val="Corpsdutexte"/>
          <w:rFonts w:ascii="Times New Roman" w:hAnsi="Times New Roman"/>
          <w:noProof/>
          <w:sz w:val="24"/>
        </w:rPr>
        <w:t xml:space="preserve">. Ces mesures, de même que </w:t>
      </w:r>
      <w:r>
        <w:rPr>
          <w:rStyle w:val="Corpsdutexte"/>
          <w:rFonts w:ascii="Times New Roman" w:hAnsi="Times New Roman"/>
          <w:noProof/>
          <w:sz w:val="24"/>
        </w:rPr>
        <w:t>les procédures de filtrage intégrées dans les centres de crise et le mécanisme de reslocalisation, sont essentielles pour limiter les risques que le nombre élevé d'entrées illégales aux frontières extérieures de l’UE fait peser sur la sécurité.</w:t>
      </w:r>
    </w:p>
    <w:p w:rsidR="00ED36B5" w:rsidRDefault="00064F4C">
      <w:pPr>
        <w:jc w:val="both"/>
        <w:rPr>
          <w:rFonts w:ascii="Times New Roman" w:hAnsi="Times New Roman"/>
          <w:noProof/>
          <w:sz w:val="24"/>
          <w:szCs w:val="24"/>
        </w:rPr>
      </w:pPr>
      <w:r>
        <w:rPr>
          <w:rFonts w:ascii="Times New Roman" w:hAnsi="Times New Roman"/>
          <w:noProof/>
          <w:sz w:val="24"/>
        </w:rPr>
        <w:t>Les personn</w:t>
      </w:r>
      <w:r>
        <w:rPr>
          <w:rFonts w:ascii="Times New Roman" w:hAnsi="Times New Roman"/>
          <w:noProof/>
          <w:sz w:val="24"/>
        </w:rPr>
        <w:t xml:space="preserve">es qui ne remplissent pas les conditions pour bénéficier d'une protection internationale devraient être </w:t>
      </w:r>
      <w:r>
        <w:rPr>
          <w:rFonts w:ascii="Times New Roman" w:hAnsi="Times New Roman"/>
          <w:b/>
          <w:noProof/>
          <w:sz w:val="24"/>
        </w:rPr>
        <w:t>renvoyées rapidement</w:t>
      </w:r>
      <w:r>
        <w:rPr>
          <w:rFonts w:ascii="Times New Roman" w:hAnsi="Times New Roman"/>
          <w:noProof/>
          <w:sz w:val="24"/>
        </w:rPr>
        <w:t>, au lieu d’être autorisées à poursuivre leur voyage. En 2014, moins de 40 % des migrants en situation irrégulière ayant reçu l'ordr</w:t>
      </w:r>
      <w:r>
        <w:rPr>
          <w:rFonts w:ascii="Times New Roman" w:hAnsi="Times New Roman"/>
          <w:noProof/>
          <w:sz w:val="24"/>
        </w:rPr>
        <w:t>e de quitter le territoire de l’UE s'y sont effectivement conformés. Si le retour volontaire est la solution privilégiée dans la mesure du possible, sa réussite dépend de la crédibilité des perspectives de retour forcé. En septembre 2015, la Commission a p</w:t>
      </w:r>
      <w:r>
        <w:rPr>
          <w:rFonts w:ascii="Times New Roman" w:hAnsi="Times New Roman"/>
          <w:noProof/>
          <w:sz w:val="24"/>
        </w:rPr>
        <w:t>résenté un plan d’action de l’UE en matière de retour</w:t>
      </w:r>
      <w:r>
        <w:rPr>
          <w:rStyle w:val="FootnoteReference"/>
          <w:rFonts w:ascii="Times New Roman" w:hAnsi="Times New Roman"/>
          <w:noProof/>
          <w:sz w:val="24"/>
        </w:rPr>
        <w:footnoteReference w:id="10"/>
      </w:r>
      <w:r>
        <w:rPr>
          <w:rFonts w:ascii="Times New Roman" w:hAnsi="Times New Roman"/>
          <w:noProof/>
          <w:sz w:val="24"/>
        </w:rPr>
        <w:t xml:space="preserve"> et un manuel sur le retour</w:t>
      </w:r>
      <w:r>
        <w:rPr>
          <w:rStyle w:val="FootnoteReference"/>
          <w:rFonts w:ascii="Times New Roman" w:hAnsi="Times New Roman"/>
          <w:noProof/>
          <w:sz w:val="24"/>
        </w:rPr>
        <w:footnoteReference w:id="11"/>
      </w:r>
      <w:r>
        <w:rPr>
          <w:rFonts w:ascii="Times New Roman" w:hAnsi="Times New Roman"/>
          <w:noProof/>
          <w:sz w:val="24"/>
        </w:rPr>
        <w:t xml:space="preserve"> qui proposent des mesures pour améliorer l’efficacité du système de l’UE dans ce domaine. En outre, la Commission a adressé des lettres demandant des éclaircissements sur l’</w:t>
      </w:r>
      <w:r>
        <w:rPr>
          <w:rFonts w:ascii="Times New Roman" w:hAnsi="Times New Roman"/>
          <w:noProof/>
          <w:sz w:val="24"/>
        </w:rPr>
        <w:t>application de la directive sur le retour à dix États membres, notamment en ce qui concerne l’adoption de décisions de retour et l’exécution de celles-ci.</w:t>
      </w:r>
    </w:p>
    <w:p w:rsidR="00ED36B5" w:rsidRDefault="00064F4C">
      <w:pPr>
        <w:jc w:val="both"/>
        <w:rPr>
          <w:rStyle w:val="Corpsdutexte"/>
          <w:rFonts w:ascii="Times New Roman" w:hAnsi="Times New Roman" w:cs="Times New Roman"/>
          <w:noProof/>
          <w:sz w:val="24"/>
          <w:szCs w:val="24"/>
        </w:rPr>
      </w:pPr>
      <w:r>
        <w:rPr>
          <w:rFonts w:ascii="Times New Roman" w:hAnsi="Times New Roman"/>
          <w:noProof/>
          <w:sz w:val="24"/>
        </w:rPr>
        <w:t>Il importe de souligner que la crise actuelle a également des incidences sur d’autres autorités répre</w:t>
      </w:r>
      <w:r>
        <w:rPr>
          <w:rFonts w:ascii="Times New Roman" w:hAnsi="Times New Roman"/>
          <w:noProof/>
          <w:sz w:val="24"/>
        </w:rPr>
        <w:t>ssives qui participent à la gestion des frontières extérieures. Les douaniers ont plus de difficulté à assurer un niveau approprié de contrôles sur les marchandises du fait qu'ils aident les autres autorités à gérer la crise (en fonction des structures org</w:t>
      </w:r>
      <w:r>
        <w:rPr>
          <w:rFonts w:ascii="Times New Roman" w:hAnsi="Times New Roman"/>
          <w:noProof/>
          <w:sz w:val="24"/>
        </w:rPr>
        <w:t>anisationnelles nationales et de l’intensité du problème dans chaque pays).</w:t>
      </w:r>
    </w:p>
    <w:p w:rsidR="00ED36B5" w:rsidRDefault="00064F4C">
      <w:pPr>
        <w:pStyle w:val="Heading2"/>
        <w:tabs>
          <w:tab w:val="left" w:pos="567"/>
          <w:tab w:val="left" w:pos="6521"/>
        </w:tabs>
        <w:ind w:left="0" w:firstLine="0"/>
        <w:jc w:val="left"/>
        <w:rPr>
          <w:rStyle w:val="Corpsdutexte"/>
          <w:rFonts w:ascii="Times New Roman" w:hAnsi="Times New Roman" w:cs="Times New Roman"/>
          <w:i/>
          <w:noProof/>
          <w:sz w:val="24"/>
          <w:szCs w:val="24"/>
        </w:rPr>
      </w:pPr>
      <w:r>
        <w:rPr>
          <w:rStyle w:val="Corpsdutexte"/>
          <w:rFonts w:ascii="Times New Roman" w:hAnsi="Times New Roman"/>
          <w:i/>
          <w:noProof/>
          <w:sz w:val="24"/>
        </w:rPr>
        <w:t>Situation aux frontières intérieures</w:t>
      </w:r>
    </w:p>
    <w:p w:rsidR="00ED36B5" w:rsidRDefault="00064F4C">
      <w:pPr>
        <w:jc w:val="both"/>
        <w:rPr>
          <w:rFonts w:ascii="Times New Roman" w:hAnsi="Times New Roman"/>
          <w:noProof/>
          <w:sz w:val="24"/>
          <w:szCs w:val="24"/>
        </w:rPr>
      </w:pPr>
      <w:r>
        <w:rPr>
          <w:rFonts w:ascii="Times New Roman" w:hAnsi="Times New Roman"/>
          <w:noProof/>
          <w:sz w:val="24"/>
        </w:rPr>
        <w:t>La crise des réfugiés a non seulement conduit à des arrivées massives aux frontières extérieures, mais aussi à d’importants mouvements secondai</w:t>
      </w:r>
      <w:r>
        <w:rPr>
          <w:rFonts w:ascii="Times New Roman" w:hAnsi="Times New Roman"/>
          <w:noProof/>
          <w:sz w:val="24"/>
        </w:rPr>
        <w:t>res à l’intérieur de l’espace Schengen, car les demandeurs d'une protection internationale poursuivent leur voyage vers les États membres de leur choix, au lieu de faire examiner leur demande par l’État membre responsable, comme le requièrent les règles de</w:t>
      </w:r>
      <w:r>
        <w:rPr>
          <w:rFonts w:ascii="Times New Roman" w:hAnsi="Times New Roman"/>
          <w:noProof/>
          <w:sz w:val="24"/>
        </w:rPr>
        <w:t xml:space="preserve"> Dublin. Afin d’éviter cette situation, les demandeurs devraient être enregistrés correctement par l’État membre par lequel ils sont entrés dans l’UE et ce dernier devrait leur offrir des conditions d’accueil conformes au droit de l’Union et aux droits fon</w:t>
      </w:r>
      <w:r>
        <w:rPr>
          <w:rFonts w:ascii="Times New Roman" w:hAnsi="Times New Roman"/>
          <w:noProof/>
          <w:sz w:val="24"/>
        </w:rPr>
        <w:t>damentaux, afin que ces personnes puissent se conformer au système de Dublin</w:t>
      </w:r>
      <w:r>
        <w:rPr>
          <w:rStyle w:val="FootnoteReference"/>
          <w:rFonts w:ascii="Times New Roman" w:hAnsi="Times New Roman"/>
          <w:noProof/>
          <w:sz w:val="24"/>
        </w:rPr>
        <w:footnoteReference w:id="12"/>
      </w:r>
      <w:r>
        <w:rPr>
          <w:rFonts w:ascii="Times New Roman" w:hAnsi="Times New Roman"/>
          <w:noProof/>
          <w:sz w:val="24"/>
        </w:rPr>
        <w:t xml:space="preserve">. Les </w:t>
      </w:r>
      <w:r>
        <w:rPr>
          <w:rStyle w:val="Corpsdutexte"/>
          <w:rFonts w:ascii="Times New Roman" w:hAnsi="Times New Roman"/>
          <w:noProof/>
          <w:sz w:val="24"/>
        </w:rPr>
        <w:t>incitations à se rendre dans d’autres États membres au cours de l’examen de la demande d’asile devraient être limitées, ainsi que la délivrance de documents permettant ces d</w:t>
      </w:r>
      <w:r>
        <w:rPr>
          <w:rStyle w:val="Corpsdutexte"/>
          <w:rFonts w:ascii="Times New Roman" w:hAnsi="Times New Roman"/>
          <w:noProof/>
          <w:sz w:val="24"/>
        </w:rPr>
        <w:t>éplacements, sauf pour des motifs humanitaires graves</w:t>
      </w:r>
      <w:r>
        <w:rPr>
          <w:rFonts w:ascii="Times New Roman" w:hAnsi="Times New Roman"/>
          <w:noProof/>
          <w:sz w:val="24"/>
        </w:rPr>
        <w:t>.</w:t>
      </w:r>
      <w:r>
        <w:rPr>
          <w:rStyle w:val="Corpsdutexte"/>
          <w:rFonts w:ascii="Times New Roman" w:hAnsi="Times New Roman"/>
          <w:noProof/>
          <w:sz w:val="24"/>
        </w:rPr>
        <w:t xml:space="preserve"> </w:t>
      </w:r>
      <w:r>
        <w:rPr>
          <w:rFonts w:ascii="Times New Roman" w:hAnsi="Times New Roman"/>
          <w:noProof/>
          <w:sz w:val="24"/>
        </w:rPr>
        <w:t>La situation à Calais, où des personnes séjournent illégalement dans l’espace Schengen et tentent de rejoindre le Royaume-Uni par le tunnel sous la Manche, doit également être mentionnée dans ce contex</w:t>
      </w:r>
      <w:r>
        <w:rPr>
          <w:rFonts w:ascii="Times New Roman" w:hAnsi="Times New Roman"/>
          <w:noProof/>
          <w:sz w:val="24"/>
        </w:rPr>
        <w:t>te.</w:t>
      </w:r>
    </w:p>
    <w:p w:rsidR="00ED36B5" w:rsidRDefault="00064F4C">
      <w:pPr>
        <w:jc w:val="both"/>
        <w:rPr>
          <w:rFonts w:ascii="Times New Roman" w:hAnsi="Times New Roman"/>
          <w:noProof/>
          <w:sz w:val="24"/>
          <w:szCs w:val="24"/>
        </w:rPr>
      </w:pPr>
      <w:r>
        <w:rPr>
          <w:rFonts w:ascii="Times New Roman" w:hAnsi="Times New Roman"/>
          <w:noProof/>
          <w:sz w:val="24"/>
        </w:rPr>
        <w:t xml:space="preserve">Ces lacunes dans la mise en œuvre de l’acquis de l’UE ont conduit à la </w:t>
      </w:r>
      <w:r>
        <w:rPr>
          <w:rFonts w:ascii="Times New Roman" w:hAnsi="Times New Roman"/>
          <w:b/>
          <w:noProof/>
          <w:sz w:val="24"/>
        </w:rPr>
        <w:t>réintroduction temporaire des contrôles</w:t>
      </w:r>
      <w:r>
        <w:rPr>
          <w:rFonts w:ascii="Times New Roman" w:hAnsi="Times New Roman"/>
          <w:noProof/>
          <w:sz w:val="24"/>
        </w:rPr>
        <w:t xml:space="preserve"> aux frontières intérieures allemandes, autrichiennes, hongroises, norvégiennes, slovènes et suédoises. Il faut rappeler qu’il s’agit d’une me</w:t>
      </w:r>
      <w:r>
        <w:rPr>
          <w:rFonts w:ascii="Times New Roman" w:hAnsi="Times New Roman"/>
          <w:noProof/>
          <w:sz w:val="24"/>
        </w:rPr>
        <w:t>sure de dernier ressort explicitement prévue dans le code frontières Schengen (CFS) en cas de menace grave pour l’ordre public et la sécurité intérieure, tant dans les cas nécessitant une action immédiate que pour les événements prévisibles. Elle est limit</w:t>
      </w:r>
      <w:r>
        <w:rPr>
          <w:rFonts w:ascii="Times New Roman" w:hAnsi="Times New Roman"/>
          <w:noProof/>
          <w:sz w:val="24"/>
        </w:rPr>
        <w:t>ée dans le temps et doit rester proportionnée à la menace grave qu’elle tente d'écarter.</w:t>
      </w:r>
    </w:p>
    <w:p w:rsidR="00ED36B5" w:rsidRDefault="00064F4C">
      <w:pPr>
        <w:jc w:val="both"/>
        <w:rPr>
          <w:rFonts w:ascii="Times New Roman" w:hAnsi="Times New Roman"/>
          <w:noProof/>
          <w:sz w:val="24"/>
          <w:szCs w:val="24"/>
        </w:rPr>
      </w:pPr>
      <w:r>
        <w:rPr>
          <w:rFonts w:ascii="Times New Roman" w:hAnsi="Times New Roman"/>
          <w:noProof/>
          <w:sz w:val="24"/>
        </w:rPr>
        <w:t>La décision de réintroduire les contrôles aux frontières intérieures appartient aux États membres, qui sont tenus d’évaluer dans quelle mesure cette décision est susce</w:t>
      </w:r>
      <w:r>
        <w:rPr>
          <w:rFonts w:ascii="Times New Roman" w:hAnsi="Times New Roman"/>
          <w:noProof/>
          <w:sz w:val="24"/>
        </w:rPr>
        <w:t>ptible d'écarter efficacement la menace pesant sur l'ordre public ou la sécurité intérieure, ainsi que sa proportionnalité par rapport à cette menace. Pour évaluer la proportionnalité, l’incidence probable de toute menace pour l’ordre public ou la sécurité</w:t>
      </w:r>
      <w:r>
        <w:rPr>
          <w:rFonts w:ascii="Times New Roman" w:hAnsi="Times New Roman"/>
          <w:noProof/>
          <w:sz w:val="24"/>
        </w:rPr>
        <w:t xml:space="preserve"> intérieure et l’impact probable de cette mesure sur la libre circulation des personnes au sein de l’espace sans contrôle aux frontières intérieures doivent être pris en compte. La Commission peut émettre un avis sur la nécessité et la proportionnalité de </w:t>
      </w:r>
      <w:r>
        <w:rPr>
          <w:rFonts w:ascii="Times New Roman" w:hAnsi="Times New Roman"/>
          <w:noProof/>
          <w:sz w:val="24"/>
        </w:rPr>
        <w:t>ces mesures. C'est ce qu'elle a fait le 23 octobre 2015</w:t>
      </w:r>
      <w:r>
        <w:rPr>
          <w:rStyle w:val="FootnoteReference"/>
          <w:rFonts w:ascii="Times New Roman" w:hAnsi="Times New Roman"/>
          <w:noProof/>
          <w:sz w:val="24"/>
        </w:rPr>
        <w:footnoteReference w:id="13"/>
      </w:r>
      <w:r>
        <w:rPr>
          <w:rFonts w:ascii="Times New Roman" w:hAnsi="Times New Roman"/>
          <w:noProof/>
          <w:sz w:val="24"/>
        </w:rPr>
        <w:t xml:space="preserve"> pour l’Autriche et l’Allemagne</w:t>
      </w:r>
      <w:r>
        <w:rPr>
          <w:rStyle w:val="FootnoteReference"/>
          <w:rFonts w:ascii="Times New Roman" w:hAnsi="Times New Roman"/>
          <w:noProof/>
          <w:sz w:val="24"/>
        </w:rPr>
        <w:footnoteReference w:id="14"/>
      </w:r>
      <w:r>
        <w:rPr>
          <w:rFonts w:ascii="Times New Roman" w:hAnsi="Times New Roman"/>
          <w:noProof/>
          <w:sz w:val="24"/>
        </w:rPr>
        <w:t>, en concluant que la réintroduction initiale des contrôles, ainsi que leurs prorogations, étaient nécessaires et proportionnées aux menaces graves pesant sur la sécuri</w:t>
      </w:r>
      <w:r>
        <w:rPr>
          <w:rFonts w:ascii="Times New Roman" w:hAnsi="Times New Roman"/>
          <w:noProof/>
          <w:sz w:val="24"/>
        </w:rPr>
        <w:t>té intérieure et l’ordre public et, en tant que telles, étaient conformes au CFS.</w:t>
      </w:r>
    </w:p>
    <w:p w:rsidR="00ED36B5" w:rsidRDefault="00064F4C">
      <w:pPr>
        <w:jc w:val="both"/>
        <w:rPr>
          <w:rFonts w:ascii="Times New Roman" w:hAnsi="Times New Roman"/>
          <w:noProof/>
          <w:sz w:val="24"/>
          <w:szCs w:val="24"/>
        </w:rPr>
      </w:pPr>
      <w:r>
        <w:rPr>
          <w:rFonts w:ascii="Times New Roman" w:hAnsi="Times New Roman"/>
          <w:noProof/>
          <w:sz w:val="24"/>
        </w:rPr>
        <w:t xml:space="preserve">Même si, en 2013, les législateurs ont convenu que les flux migratoires ne peuvent en soi justifier le rétablissement des contrôles aux frontières intérieures, la Commission </w:t>
      </w:r>
      <w:r>
        <w:rPr>
          <w:rFonts w:ascii="Times New Roman" w:hAnsi="Times New Roman"/>
          <w:noProof/>
          <w:sz w:val="24"/>
        </w:rPr>
        <w:t>est d’avis que l’afflux incontrôlé d’un nombre élevé de personnes sans papiers ou dépourvues de documents appropriés, non enregistrées lors de leur première entrée dans l’UE, peut constituer une menace grave pour l’ordre public et la sécurité intérieure, e</w:t>
      </w:r>
      <w:r>
        <w:rPr>
          <w:rFonts w:ascii="Times New Roman" w:hAnsi="Times New Roman"/>
          <w:noProof/>
          <w:sz w:val="24"/>
        </w:rPr>
        <w:t>t donc justifier l’application de cette mesure d’exception prévue par le CFS.</w:t>
      </w:r>
    </w:p>
    <w:p w:rsidR="00ED36B5" w:rsidRDefault="00064F4C">
      <w:pPr>
        <w:jc w:val="both"/>
        <w:rPr>
          <w:rFonts w:ascii="Times New Roman" w:hAnsi="Times New Roman"/>
          <w:noProof/>
          <w:sz w:val="24"/>
          <w:szCs w:val="24"/>
        </w:rPr>
      </w:pPr>
      <w:r>
        <w:rPr>
          <w:rFonts w:ascii="Times New Roman" w:hAnsi="Times New Roman"/>
          <w:noProof/>
          <w:sz w:val="24"/>
        </w:rPr>
        <w:t>Dans tous les cas susmentionnés, les contrôles aux frontières ont été réintroduits (et, par la suite, prolongés) sur la base de l’article 25 du CFS (situations nécessitant une ac</w:t>
      </w:r>
      <w:r>
        <w:rPr>
          <w:rFonts w:ascii="Times New Roman" w:hAnsi="Times New Roman"/>
          <w:noProof/>
          <w:sz w:val="24"/>
        </w:rPr>
        <w:t>tion immédiate d’une durée maximale de deux mois). Toutefois, l’Allemagne et l’Autriche ont informé la Commission qu’elles maintiendraient les contrôles aux frontières pendant une période de trois mois sur la base de l’article 23 du CFS. La Suède a égaleme</w:t>
      </w:r>
      <w:r>
        <w:rPr>
          <w:rFonts w:ascii="Times New Roman" w:hAnsi="Times New Roman"/>
          <w:noProof/>
          <w:sz w:val="24"/>
        </w:rPr>
        <w:t>nt annoncé, dans sa récente notification de prorogation des mesures jusqu’au 20 décembre 2015 sur la base de l’article 25 du CFS, qu’elle prolongerait les contrôles aux frontières sur la base de l'article 23 du CFS si la situation ne s’améliore pas. Le rec</w:t>
      </w:r>
      <w:r>
        <w:rPr>
          <w:rFonts w:ascii="Times New Roman" w:hAnsi="Times New Roman"/>
          <w:noProof/>
          <w:sz w:val="24"/>
        </w:rPr>
        <w:t>ours successif aux articles 25 et 23 du CFS est possible à condition que l’État membre démontre que les contrôles mis en place ou prolongés sont nécessaires, appropriés et proportionnés pour écarter une menace grave pour l’ordre public ou la sécurité intér</w:t>
      </w:r>
      <w:r>
        <w:rPr>
          <w:rFonts w:ascii="Times New Roman" w:hAnsi="Times New Roman"/>
          <w:noProof/>
          <w:sz w:val="24"/>
        </w:rPr>
        <w:t>ieure.</w:t>
      </w:r>
    </w:p>
    <w:p w:rsidR="00ED36B5" w:rsidRDefault="00064F4C">
      <w:pPr>
        <w:jc w:val="both"/>
        <w:rPr>
          <w:rFonts w:ascii="Times New Roman" w:hAnsi="Times New Roman"/>
          <w:noProof/>
          <w:sz w:val="24"/>
          <w:szCs w:val="24"/>
        </w:rPr>
      </w:pPr>
      <w:r>
        <w:rPr>
          <w:rFonts w:ascii="Times New Roman" w:hAnsi="Times New Roman"/>
          <w:noProof/>
          <w:sz w:val="24"/>
        </w:rPr>
        <w:t>L’article 23 du CFS permet, en cas d'événements prévisibles, d'effectuer des contrôles pendant une période maximale de 30 jours, ou pour la durée prévisible de la menace grave, durant une période maximale de six mois au total. Cette disposition a ét</w:t>
      </w:r>
      <w:r>
        <w:rPr>
          <w:rFonts w:ascii="Times New Roman" w:hAnsi="Times New Roman"/>
          <w:noProof/>
          <w:sz w:val="24"/>
        </w:rPr>
        <w:t>é utilisée à plusieurs reprises au cours de la période de référence, par exemple en Allemagne (entre le 16 mai et le 15 juin 2015) en raison de la tenue du sommet du G7, à Malte (du 9 au 29 novembre 2015) en vue de la conférence de La Valette sur les migra</w:t>
      </w:r>
      <w:r>
        <w:rPr>
          <w:rFonts w:ascii="Times New Roman" w:hAnsi="Times New Roman"/>
          <w:noProof/>
          <w:sz w:val="24"/>
        </w:rPr>
        <w:t xml:space="preserve">tions et de la réunion des chefs de gouvernement du Commonwealth, et en France pour la COP21. </w:t>
      </w:r>
    </w:p>
    <w:p w:rsidR="00ED36B5" w:rsidRDefault="00064F4C">
      <w:pPr>
        <w:jc w:val="both"/>
        <w:rPr>
          <w:rFonts w:ascii="Times New Roman" w:hAnsi="Times New Roman"/>
          <w:noProof/>
          <w:sz w:val="24"/>
          <w:szCs w:val="24"/>
        </w:rPr>
      </w:pPr>
      <w:r>
        <w:rPr>
          <w:rFonts w:ascii="Times New Roman" w:hAnsi="Times New Roman"/>
          <w:noProof/>
          <w:sz w:val="24"/>
        </w:rPr>
        <w:t xml:space="preserve">Le 9 décembre 2015, la France a indiqué à la Commission que, dans le cadre de l’état d’urgence déclaré dans le pays et en raison de la gravité de la menace pour </w:t>
      </w:r>
      <w:r>
        <w:rPr>
          <w:rFonts w:ascii="Times New Roman" w:hAnsi="Times New Roman"/>
          <w:noProof/>
          <w:sz w:val="24"/>
        </w:rPr>
        <w:t xml:space="preserve">sa sécurité intérieure, les contrôles aux frontières intérieures seraient réintroduits du 14 décembre 2015 au 26 février 2016. </w:t>
      </w:r>
    </w:p>
    <w:p w:rsidR="00ED36B5" w:rsidRDefault="00064F4C">
      <w:pPr>
        <w:jc w:val="both"/>
        <w:rPr>
          <w:rFonts w:ascii="Times New Roman" w:hAnsi="Times New Roman"/>
          <w:noProof/>
          <w:sz w:val="24"/>
          <w:szCs w:val="24"/>
        </w:rPr>
      </w:pPr>
      <w:r>
        <w:rPr>
          <w:rFonts w:ascii="Times New Roman" w:hAnsi="Times New Roman"/>
          <w:noProof/>
          <w:sz w:val="24"/>
        </w:rPr>
        <w:t>Le 25 novembre, Malte a fait part de son intention de maintenir les contrôles à ses frontières intérieures, au vu de la menace t</w:t>
      </w:r>
      <w:r>
        <w:rPr>
          <w:rFonts w:ascii="Times New Roman" w:hAnsi="Times New Roman"/>
          <w:noProof/>
          <w:sz w:val="24"/>
        </w:rPr>
        <w:t>erroriste mondiale et du fait que le pays est en train de lutter contre un réseau de passeurs qui en a fait une destination pour les migrants en situation irrégulière en provenance d’autres territoires de Schengen. La Commission a demandé que Malte lui fou</w:t>
      </w:r>
      <w:r>
        <w:rPr>
          <w:rFonts w:ascii="Times New Roman" w:hAnsi="Times New Roman"/>
          <w:noProof/>
          <w:sz w:val="24"/>
        </w:rPr>
        <w:t>rnisse des faits et chiffres détaillés démontrant la nécessité et la proportionnalité de la décision.</w:t>
      </w:r>
    </w:p>
    <w:p w:rsidR="00ED36B5" w:rsidRDefault="00064F4C">
      <w:pPr>
        <w:jc w:val="both"/>
        <w:rPr>
          <w:rFonts w:ascii="Times New Roman" w:hAnsi="Times New Roman"/>
          <w:noProof/>
          <w:sz w:val="24"/>
          <w:szCs w:val="24"/>
        </w:rPr>
      </w:pPr>
      <w:r>
        <w:rPr>
          <w:rFonts w:ascii="Times New Roman" w:hAnsi="Times New Roman"/>
          <w:noProof/>
          <w:sz w:val="24"/>
        </w:rPr>
        <w:t>La Commission évaluera avec soin si les raisons de la réintroduction et de la prolongation des contrôles temporaires aux frontières au titre des dispositi</w:t>
      </w:r>
      <w:r>
        <w:rPr>
          <w:rFonts w:ascii="Times New Roman" w:hAnsi="Times New Roman"/>
          <w:noProof/>
          <w:sz w:val="24"/>
        </w:rPr>
        <w:t>ons du CFS sont et demeurent valables. Elle attend des États membres qu'ils évaluent régulièrement si les conditions pour la réintroduction continuent d’être remplies, et, dans la négative, qu'ils lèvent ces contrôles immédiatement. Au besoin, la Commissio</w:t>
      </w:r>
      <w:r>
        <w:rPr>
          <w:rFonts w:ascii="Times New Roman" w:hAnsi="Times New Roman"/>
          <w:noProof/>
          <w:sz w:val="24"/>
        </w:rPr>
        <w:t>n émettra un avis à cet égard.</w:t>
      </w:r>
    </w:p>
    <w:p w:rsidR="00ED36B5" w:rsidRDefault="00064F4C">
      <w:pPr>
        <w:jc w:val="both"/>
        <w:rPr>
          <w:rFonts w:ascii="Times New Roman" w:hAnsi="Times New Roman"/>
          <w:noProof/>
          <w:sz w:val="24"/>
          <w:szCs w:val="24"/>
        </w:rPr>
      </w:pPr>
      <w:r>
        <w:rPr>
          <w:rFonts w:ascii="Times New Roman" w:hAnsi="Times New Roman"/>
          <w:noProof/>
          <w:sz w:val="24"/>
        </w:rPr>
        <w:t xml:space="preserve">Depuis 2013, l’article 26 du CFS prévoit également la possibilité de réintroduire les contrôles aux frontières intérieures lorsque le fonctionnement global de l’espace Schengen est menacé. Une recommandation adressée à un ou </w:t>
      </w:r>
      <w:r>
        <w:rPr>
          <w:rFonts w:ascii="Times New Roman" w:hAnsi="Times New Roman"/>
          <w:noProof/>
          <w:sz w:val="24"/>
        </w:rPr>
        <w:t>plusieurs États membres est adoptée par le Conseil sur proposition de la Commission. Cette disposition ne peut être activée qu'en cas de manquements graves persistants liés aux contrôles aux frontières extérieures, constatés dans le cadre du mécanisme d’év</w:t>
      </w:r>
      <w:r>
        <w:rPr>
          <w:rFonts w:ascii="Times New Roman" w:hAnsi="Times New Roman"/>
          <w:noProof/>
          <w:sz w:val="24"/>
        </w:rPr>
        <w:t xml:space="preserve">aluation de Schengen. </w:t>
      </w:r>
    </w:p>
    <w:p w:rsidR="00ED36B5" w:rsidRDefault="00064F4C">
      <w:pPr>
        <w:autoSpaceDE w:val="0"/>
        <w:autoSpaceDN w:val="0"/>
        <w:adjustRightInd w:val="0"/>
        <w:jc w:val="both"/>
        <w:rPr>
          <w:rFonts w:ascii="Times New Roman" w:hAnsi="Times New Roman"/>
          <w:noProof/>
          <w:sz w:val="24"/>
          <w:szCs w:val="24"/>
        </w:rPr>
      </w:pPr>
      <w:r>
        <w:rPr>
          <w:rFonts w:ascii="Times New Roman" w:hAnsi="Times New Roman"/>
          <w:noProof/>
          <w:sz w:val="24"/>
        </w:rPr>
        <w:t xml:space="preserve">Les installations érigées par les autorités autrichiennes à la frontière avec la Slovénie n’ont pas été conçues pour empêcher le franchissement de la frontière, mais pour canaliser les arrivées de manière ordonnée, afin de permettre </w:t>
      </w:r>
      <w:r>
        <w:rPr>
          <w:rFonts w:ascii="Times New Roman" w:hAnsi="Times New Roman"/>
          <w:noProof/>
          <w:sz w:val="24"/>
        </w:rPr>
        <w:t>la fourniture de soins médicaux, de denrées alimentaires et de moyens de transport. Dans l’état actuel des choses, elles ne sont pas contraires aux dispositions du CFS. Toutefois, il est essentiel que toute installation de ce type conserve un caractère tem</w:t>
      </w:r>
      <w:r>
        <w:rPr>
          <w:rFonts w:ascii="Times New Roman" w:hAnsi="Times New Roman"/>
          <w:noProof/>
          <w:sz w:val="24"/>
        </w:rPr>
        <w:t>poraire, au même titre que les contrôles aux frontières. La Commission continuera de veiller à ce que toute nouvelle mesure mise en œuvre aux frontières intérieures soit conforme à l’acquis de Schengen.</w:t>
      </w:r>
    </w:p>
    <w:p w:rsidR="00ED36B5" w:rsidRDefault="00064F4C">
      <w:pPr>
        <w:pStyle w:val="Heading2"/>
        <w:tabs>
          <w:tab w:val="left" w:pos="567"/>
          <w:tab w:val="left" w:pos="6521"/>
        </w:tabs>
        <w:ind w:left="0" w:firstLine="0"/>
        <w:jc w:val="left"/>
        <w:rPr>
          <w:rStyle w:val="Corpsdutexte"/>
          <w:rFonts w:ascii="Times New Roman" w:hAnsi="Times New Roman" w:cs="Times New Roman"/>
          <w:i/>
          <w:noProof/>
          <w:sz w:val="24"/>
          <w:szCs w:val="24"/>
        </w:rPr>
      </w:pPr>
      <w:r>
        <w:rPr>
          <w:rStyle w:val="Corpsdutexte"/>
          <w:rFonts w:ascii="Times New Roman" w:hAnsi="Times New Roman"/>
          <w:i/>
          <w:noProof/>
          <w:sz w:val="24"/>
        </w:rPr>
        <w:t>Enseignements tirés</w:t>
      </w:r>
    </w:p>
    <w:p w:rsidR="00ED36B5" w:rsidRDefault="00064F4C">
      <w:pPr>
        <w:autoSpaceDE w:val="0"/>
        <w:autoSpaceDN w:val="0"/>
        <w:adjustRightInd w:val="0"/>
        <w:jc w:val="both"/>
        <w:rPr>
          <w:rFonts w:ascii="Times New Roman" w:hAnsi="Times New Roman"/>
          <w:noProof/>
          <w:sz w:val="24"/>
          <w:szCs w:val="24"/>
        </w:rPr>
      </w:pPr>
      <w:r>
        <w:rPr>
          <w:rFonts w:ascii="Times New Roman" w:hAnsi="Times New Roman"/>
          <w:noProof/>
          <w:sz w:val="24"/>
        </w:rPr>
        <w:t>Plusieurs conclusions peuvent êtr</w:t>
      </w:r>
      <w:r>
        <w:rPr>
          <w:rFonts w:ascii="Times New Roman" w:hAnsi="Times New Roman"/>
          <w:noProof/>
          <w:sz w:val="24"/>
        </w:rPr>
        <w:t>e tirées de la crise actuelle. En premier lieu, cette crise, ainsi que les menaces terroristes décrites dans la partie ci-après, démontrent qu'il est impératif que la gestion des frontières extérieures respecte pleinement la législation et les normes de l’</w:t>
      </w:r>
      <w:r>
        <w:rPr>
          <w:rFonts w:ascii="Times New Roman" w:hAnsi="Times New Roman"/>
          <w:noProof/>
          <w:sz w:val="24"/>
        </w:rPr>
        <w:t>UE, notamment en ce qui concerne l’enregistrement et le filtrage des personnes qui franchissent les frontières de manière irrégulière. Si un État membre est confronté, à ses frontières extérieures, à une pression élevée que son corps national de gardes-fro</w:t>
      </w:r>
      <w:r>
        <w:rPr>
          <w:rFonts w:ascii="Times New Roman" w:hAnsi="Times New Roman"/>
          <w:noProof/>
          <w:sz w:val="24"/>
        </w:rPr>
        <w:t>ntières ne peut supporter seul, il doit faire pleinement usage de tous les moyens disponibles, en demandant notamment aux agences compétentes de l’UE — en particulier Frontex — d'intervenir afin de remédier à la situation d’urgence. Afin de gérer ces deman</w:t>
      </w:r>
      <w:r>
        <w:rPr>
          <w:rFonts w:ascii="Times New Roman" w:hAnsi="Times New Roman"/>
          <w:noProof/>
          <w:sz w:val="24"/>
        </w:rPr>
        <w:t>des de manière plus rapide, efficace et adéquate, la Commission estime nécessaire d’établir un corps européen de gardes-frontières et de garde-côtes tel qu'il est présenté dans son «paquet frontières»</w:t>
      </w:r>
      <w:r>
        <w:rPr>
          <w:rStyle w:val="FootnoteReference"/>
          <w:rFonts w:ascii="Times New Roman" w:hAnsi="Times New Roman"/>
          <w:noProof/>
          <w:sz w:val="24"/>
        </w:rPr>
        <w:footnoteReference w:id="15"/>
      </w:r>
      <w:r>
        <w:rPr>
          <w:rFonts w:ascii="Times New Roman" w:hAnsi="Times New Roman"/>
          <w:noProof/>
          <w:sz w:val="24"/>
        </w:rPr>
        <w:t>.</w:t>
      </w:r>
    </w:p>
    <w:p w:rsidR="00ED36B5" w:rsidRDefault="00064F4C">
      <w:pPr>
        <w:autoSpaceDE w:val="0"/>
        <w:autoSpaceDN w:val="0"/>
        <w:adjustRightInd w:val="0"/>
        <w:jc w:val="both"/>
        <w:rPr>
          <w:rFonts w:ascii="Times New Roman" w:hAnsi="Times New Roman"/>
          <w:noProof/>
          <w:sz w:val="24"/>
          <w:szCs w:val="24"/>
        </w:rPr>
      </w:pPr>
      <w:r>
        <w:rPr>
          <w:rFonts w:ascii="Times New Roman" w:hAnsi="Times New Roman"/>
          <w:noProof/>
          <w:sz w:val="24"/>
        </w:rPr>
        <w:t xml:space="preserve">En second lieu, si </w:t>
      </w:r>
      <w:r>
        <w:rPr>
          <w:rStyle w:val="Corpsdutexte"/>
          <w:rFonts w:ascii="Times New Roman" w:hAnsi="Times New Roman"/>
          <w:noProof/>
          <w:sz w:val="24"/>
        </w:rPr>
        <w:t xml:space="preserve">le rétablissement temporaire des </w:t>
      </w:r>
      <w:r>
        <w:rPr>
          <w:rStyle w:val="Corpsdutexte"/>
          <w:rFonts w:ascii="Times New Roman" w:hAnsi="Times New Roman"/>
          <w:noProof/>
          <w:sz w:val="24"/>
        </w:rPr>
        <w:t>contrôles aux frontières intérieures n’a en soi aucune influence sur le nombre total de migrants ou de demandeurs d’asile arrivant dans l’espace Schengen, il permet néanmoins de gérer leurs mouvements secondaires de manière structurée et d'utiliser ainsi a</w:t>
      </w:r>
      <w:r>
        <w:rPr>
          <w:rStyle w:val="Corpsdutexte"/>
          <w:rFonts w:ascii="Times New Roman" w:hAnsi="Times New Roman"/>
          <w:noProof/>
          <w:sz w:val="24"/>
        </w:rPr>
        <w:t>u mieux les ressources disponibles pour l’enregistrement, l’accueil, la réinstallation et le retour (le cas échéant)</w:t>
      </w:r>
      <w:r>
        <w:rPr>
          <w:rFonts w:ascii="Times New Roman" w:hAnsi="Times New Roman"/>
          <w:noProof/>
          <w:sz w:val="24"/>
        </w:rPr>
        <w:t>.</w:t>
      </w:r>
      <w:r>
        <w:rPr>
          <w:rStyle w:val="Corpsdutexte"/>
          <w:rFonts w:ascii="Times New Roman" w:hAnsi="Times New Roman"/>
          <w:noProof/>
          <w:sz w:val="24"/>
        </w:rPr>
        <w:t xml:space="preserve"> Il s'agit donc</w:t>
      </w:r>
      <w:r>
        <w:rPr>
          <w:rFonts w:ascii="Times New Roman" w:hAnsi="Times New Roman"/>
          <w:noProof/>
          <w:sz w:val="24"/>
        </w:rPr>
        <w:t xml:space="preserve"> d'une mesure qui doit rester temporaire en vue de normaliser la situation.</w:t>
      </w:r>
    </w:p>
    <w:p w:rsidR="00ED36B5" w:rsidRDefault="00064F4C">
      <w:pPr>
        <w:jc w:val="both"/>
        <w:rPr>
          <w:rStyle w:val="Corpsdutexte"/>
          <w:rFonts w:ascii="Times New Roman" w:hAnsi="Times New Roman" w:cs="Times New Roman"/>
          <w:noProof/>
          <w:sz w:val="24"/>
          <w:szCs w:val="24"/>
        </w:rPr>
      </w:pPr>
      <w:r>
        <w:rPr>
          <w:rFonts w:ascii="Times New Roman" w:hAnsi="Times New Roman"/>
          <w:noProof/>
          <w:sz w:val="24"/>
        </w:rPr>
        <w:t>En troisième lieu, il est manifestement nécessai</w:t>
      </w:r>
      <w:r>
        <w:rPr>
          <w:rFonts w:ascii="Times New Roman" w:hAnsi="Times New Roman"/>
          <w:noProof/>
          <w:sz w:val="24"/>
        </w:rPr>
        <w:t xml:space="preserve">re de communiquer clairement sur tous les fronts et de faire comprendre que la législation européenne doit être respectée, que les demandeurs d’une protection internationale n’ont pas le droit de choisir l’État membre chargé d'examiner leur demande et que </w:t>
      </w:r>
      <w:r>
        <w:rPr>
          <w:rStyle w:val="Corpsdutexte"/>
          <w:rFonts w:ascii="Times New Roman" w:hAnsi="Times New Roman"/>
          <w:noProof/>
          <w:sz w:val="24"/>
        </w:rPr>
        <w:t>l’enregistrement et la prise d’empreintes digitales sont obligatoires</w:t>
      </w:r>
      <w:r>
        <w:rPr>
          <w:rFonts w:ascii="Times New Roman" w:hAnsi="Times New Roman"/>
          <w:noProof/>
          <w:sz w:val="24"/>
        </w:rPr>
        <w:t>.</w:t>
      </w:r>
      <w:r>
        <w:rPr>
          <w:rStyle w:val="Corpsdutexte"/>
          <w:rFonts w:ascii="Times New Roman" w:hAnsi="Times New Roman"/>
          <w:noProof/>
          <w:sz w:val="24"/>
        </w:rPr>
        <w:t xml:space="preserve"> </w:t>
      </w:r>
      <w:r>
        <w:rPr>
          <w:rFonts w:ascii="Times New Roman" w:hAnsi="Times New Roman"/>
          <w:noProof/>
          <w:sz w:val="24"/>
        </w:rPr>
        <w:t>Dans ce contexte, il faut également rappeler que les pays peuvent, pour autant qu'il y ait eu un contrôle préalable du respect des principes de non-refoulement et de proportionnalité, r</w:t>
      </w:r>
      <w:r>
        <w:rPr>
          <w:rFonts w:ascii="Times New Roman" w:hAnsi="Times New Roman"/>
          <w:noProof/>
          <w:sz w:val="24"/>
        </w:rPr>
        <w:t>efuser l'entrée aux personnes qui n'ont pas manifesté le souhait de demander une protection internationale. Cette approche est liée au principe «pas d'enregistrement, pas de droits»: l'enregistrement (quel que soit le statut) est une condition préalable es</w:t>
      </w:r>
      <w:r>
        <w:rPr>
          <w:rFonts w:ascii="Times New Roman" w:hAnsi="Times New Roman"/>
          <w:noProof/>
          <w:sz w:val="24"/>
        </w:rPr>
        <w:t xml:space="preserve">sentielle à une gestion appropriée des flux de migrants et à la définition de leurs droits et de leurs devoirs.  </w:t>
      </w:r>
    </w:p>
    <w:p w:rsidR="00ED36B5" w:rsidRDefault="00064F4C">
      <w:pPr>
        <w:jc w:val="both"/>
        <w:rPr>
          <w:rStyle w:val="Corpsdutexte"/>
          <w:rFonts w:ascii="Times New Roman" w:hAnsi="Times New Roman" w:cs="Times New Roman"/>
          <w:noProof/>
          <w:sz w:val="24"/>
          <w:szCs w:val="24"/>
        </w:rPr>
      </w:pPr>
      <w:r>
        <w:rPr>
          <w:rFonts w:ascii="Times New Roman" w:hAnsi="Times New Roman"/>
          <w:noProof/>
          <w:sz w:val="24"/>
        </w:rPr>
        <w:t xml:space="preserve">Enfin, avec des milliers de personnes qui arrivent chaque jour à certains tronçons de la frontière extérieure, il est clair que les </w:t>
      </w:r>
      <w:r>
        <w:rPr>
          <w:rStyle w:val="Corpsdutexte"/>
          <w:rFonts w:ascii="Times New Roman" w:hAnsi="Times New Roman"/>
          <w:noProof/>
          <w:sz w:val="24"/>
        </w:rPr>
        <w:t xml:space="preserve">États </w:t>
      </w:r>
      <w:r>
        <w:rPr>
          <w:rStyle w:val="Corpsdutexte"/>
          <w:rFonts w:ascii="Times New Roman" w:hAnsi="Times New Roman"/>
          <w:noProof/>
          <w:sz w:val="24"/>
        </w:rPr>
        <w:t>membres doivent être en mesure de contrôler l'évolution de la situation (connaissance de la situation) et de réagir de façon appropriée (capacité de réaction)</w:t>
      </w:r>
      <w:r>
        <w:rPr>
          <w:rFonts w:ascii="Times New Roman" w:hAnsi="Times New Roman"/>
          <w:noProof/>
          <w:sz w:val="24"/>
        </w:rPr>
        <w:t>.</w:t>
      </w:r>
      <w:r>
        <w:rPr>
          <w:rStyle w:val="Corpsdutexte"/>
          <w:rFonts w:ascii="Times New Roman" w:hAnsi="Times New Roman"/>
          <w:noProof/>
          <w:sz w:val="24"/>
        </w:rPr>
        <w:t xml:space="preserve"> Les centres nationaux de coordination (CNC) mis en place dans le cadre du règlement Eurosur</w:t>
      </w:r>
      <w:r>
        <w:rPr>
          <w:rStyle w:val="FootnoteReference"/>
          <w:rFonts w:ascii="Times New Roman" w:hAnsi="Times New Roman"/>
          <w:noProof/>
          <w:sz w:val="24"/>
        </w:rPr>
        <w:footnoteReference w:id="16"/>
      </w:r>
      <w:r>
        <w:rPr>
          <w:rStyle w:val="Corpsdutexte"/>
          <w:rFonts w:ascii="Times New Roman" w:hAnsi="Times New Roman"/>
          <w:noProof/>
          <w:sz w:val="24"/>
        </w:rPr>
        <w:t xml:space="preserve"> peu</w:t>
      </w:r>
      <w:r>
        <w:rPr>
          <w:rStyle w:val="Corpsdutexte"/>
          <w:rFonts w:ascii="Times New Roman" w:hAnsi="Times New Roman"/>
          <w:noProof/>
          <w:sz w:val="24"/>
        </w:rPr>
        <w:t>vent jouer un rôle important à cet égard, et les États membres doivent mieux les utiliser afin de renforcer leurs capacités de réaction.</w:t>
      </w:r>
    </w:p>
    <w:p w:rsidR="00ED36B5" w:rsidRDefault="00064F4C">
      <w:pPr>
        <w:autoSpaceDE w:val="0"/>
        <w:autoSpaceDN w:val="0"/>
        <w:adjustRightInd w:val="0"/>
        <w:jc w:val="both"/>
        <w:rPr>
          <w:rFonts w:ascii="Times New Roman" w:hAnsi="Times New Roman"/>
          <w:noProof/>
          <w:sz w:val="24"/>
          <w:szCs w:val="24"/>
        </w:rPr>
      </w:pPr>
      <w:r>
        <w:rPr>
          <w:rFonts w:ascii="Times New Roman" w:hAnsi="Times New Roman"/>
          <w:noProof/>
          <w:sz w:val="24"/>
        </w:rPr>
        <w:t>Il y a lieu de rappeler qu'en réponse à cette situation de crise, la Commission a élaboré deux trains de mesures d'appl</w:t>
      </w:r>
      <w:r>
        <w:rPr>
          <w:rFonts w:ascii="Times New Roman" w:hAnsi="Times New Roman"/>
          <w:noProof/>
          <w:sz w:val="24"/>
        </w:rPr>
        <w:t>ication au titre du programme européen en matière de migration (adoptés en mai et en septembre). Ils contiennent un certain nombre d'actions devant contribuer à alléger la charge qui pèse sur les États membres les plus gravement touchés et à permettre à l'</w:t>
      </w:r>
      <w:r>
        <w:rPr>
          <w:rFonts w:ascii="Times New Roman" w:hAnsi="Times New Roman"/>
          <w:noProof/>
          <w:sz w:val="24"/>
        </w:rPr>
        <w:t>Union dans son ensemble de mieux se préparer à faire face à des défis similaires.</w:t>
      </w:r>
    </w:p>
    <w:p w:rsidR="00ED36B5" w:rsidRDefault="00064F4C">
      <w:pPr>
        <w:pStyle w:val="Heading1"/>
        <w:rPr>
          <w:noProof/>
          <w:szCs w:val="24"/>
        </w:rPr>
      </w:pPr>
      <w:r>
        <w:rPr>
          <w:noProof/>
        </w:rPr>
        <w:t>Menaces terroristes dans l’espace Schengen</w:t>
      </w:r>
    </w:p>
    <w:p w:rsidR="00ED36B5" w:rsidRDefault="00064F4C">
      <w:pPr>
        <w:jc w:val="both"/>
        <w:rPr>
          <w:rFonts w:ascii="Times New Roman" w:hAnsi="Times New Roman"/>
          <w:noProof/>
          <w:sz w:val="24"/>
          <w:szCs w:val="24"/>
        </w:rPr>
      </w:pPr>
      <w:r>
        <w:rPr>
          <w:rFonts w:ascii="Times New Roman" w:hAnsi="Times New Roman"/>
          <w:noProof/>
          <w:sz w:val="24"/>
        </w:rPr>
        <w:t xml:space="preserve">Les </w:t>
      </w:r>
      <w:r>
        <w:rPr>
          <w:rFonts w:ascii="Times New Roman" w:hAnsi="Times New Roman"/>
          <w:b/>
          <w:noProof/>
          <w:sz w:val="24"/>
        </w:rPr>
        <w:t>attaques terroristes</w:t>
      </w:r>
      <w:r>
        <w:rPr>
          <w:rFonts w:ascii="Times New Roman" w:hAnsi="Times New Roman"/>
          <w:noProof/>
          <w:sz w:val="24"/>
        </w:rPr>
        <w:t xml:space="preserve"> </w:t>
      </w:r>
      <w:r>
        <w:rPr>
          <w:rFonts w:ascii="Times New Roman" w:hAnsi="Times New Roman"/>
          <w:b/>
          <w:noProof/>
          <w:sz w:val="24"/>
        </w:rPr>
        <w:t>perpétrées à Paris</w:t>
      </w:r>
      <w:r>
        <w:rPr>
          <w:rFonts w:ascii="Times New Roman" w:hAnsi="Times New Roman"/>
          <w:noProof/>
          <w:sz w:val="24"/>
        </w:rPr>
        <w:t xml:space="preserve"> le 13 novembre 2015, ainsi que l’attentat déjoué dans le train Thalys le 21 août 2015, </w:t>
      </w:r>
      <w:r>
        <w:rPr>
          <w:rFonts w:ascii="Times New Roman" w:hAnsi="Times New Roman"/>
          <w:noProof/>
          <w:sz w:val="24"/>
        </w:rPr>
        <w:t>ont confirmé la gravité de la menace terroriste qui pèse sur l’UE. Cette menace ne se limite pas à un seul État membre et nécessite des mesures multiples pour y faire face d'une manière globale et protéger l’espace Schengen.</w:t>
      </w:r>
    </w:p>
    <w:p w:rsidR="00ED36B5" w:rsidRDefault="00064F4C">
      <w:pPr>
        <w:jc w:val="both"/>
        <w:rPr>
          <w:rFonts w:ascii="Times New Roman" w:hAnsi="Times New Roman"/>
          <w:noProof/>
          <w:sz w:val="24"/>
          <w:szCs w:val="24"/>
        </w:rPr>
      </w:pPr>
      <w:r>
        <w:rPr>
          <w:rFonts w:ascii="Times New Roman" w:hAnsi="Times New Roman"/>
          <w:noProof/>
          <w:sz w:val="24"/>
        </w:rPr>
        <w:t>Ces attaques, comme les précéde</w:t>
      </w:r>
      <w:r>
        <w:rPr>
          <w:rFonts w:ascii="Times New Roman" w:hAnsi="Times New Roman"/>
          <w:noProof/>
          <w:sz w:val="24"/>
        </w:rPr>
        <w:t>ntes, mettent en évidence l’importance de détecter les documents frauduleux et d’exploiter pleinement les instruments disponibles, tels que les bases de données et la coopération interservices au niveau national, européen et international. Parallèlement, i</w:t>
      </w:r>
      <w:r>
        <w:rPr>
          <w:rFonts w:ascii="Times New Roman" w:hAnsi="Times New Roman"/>
          <w:noProof/>
          <w:sz w:val="24"/>
        </w:rPr>
        <w:t>l apparaît clairement qu'une personne peut se radicaliser sans quitter l’État membre dans lequel elle réside. Par conséquent, le problème du terrorisme est plus large et va au-delà des questions relevant de l’acquis de Schengen.</w:t>
      </w:r>
    </w:p>
    <w:p w:rsidR="00ED36B5" w:rsidRDefault="00064F4C">
      <w:pPr>
        <w:jc w:val="both"/>
        <w:rPr>
          <w:rFonts w:ascii="Times New Roman" w:hAnsi="Times New Roman"/>
          <w:noProof/>
          <w:sz w:val="24"/>
          <w:szCs w:val="24"/>
        </w:rPr>
      </w:pPr>
      <w:r>
        <w:rPr>
          <w:rFonts w:ascii="Times New Roman" w:hAnsi="Times New Roman"/>
          <w:noProof/>
          <w:sz w:val="24"/>
        </w:rPr>
        <w:t>Les États membres doivent v</w:t>
      </w:r>
      <w:r>
        <w:rPr>
          <w:rFonts w:ascii="Times New Roman" w:hAnsi="Times New Roman"/>
          <w:noProof/>
          <w:sz w:val="24"/>
        </w:rPr>
        <w:t xml:space="preserve">eiller à ce que les arrivées dans l’espace Schengen se déroulent de manière ordonnée et donnent lieu à une identification et un enregistrement. La mise en œuvre intégrale de l’approche des «hotspots» et du mécanisme de relocalisation contribuera également </w:t>
      </w:r>
      <w:r>
        <w:rPr>
          <w:rFonts w:ascii="Times New Roman" w:hAnsi="Times New Roman"/>
          <w:noProof/>
          <w:sz w:val="24"/>
        </w:rPr>
        <w:t>à renforcer la sécurité, comme expliqué à la section 2.</w:t>
      </w:r>
    </w:p>
    <w:p w:rsidR="00ED36B5" w:rsidRDefault="00064F4C">
      <w:pPr>
        <w:jc w:val="both"/>
        <w:rPr>
          <w:rFonts w:ascii="Times New Roman" w:hAnsi="Times New Roman"/>
          <w:noProof/>
        </w:rPr>
      </w:pPr>
      <w:r>
        <w:rPr>
          <w:rFonts w:ascii="Times New Roman" w:hAnsi="Times New Roman"/>
          <w:noProof/>
          <w:sz w:val="24"/>
        </w:rPr>
        <w:t xml:space="preserve">Le phénomène des </w:t>
      </w:r>
      <w:r>
        <w:rPr>
          <w:rFonts w:ascii="Times New Roman" w:hAnsi="Times New Roman"/>
          <w:b/>
          <w:noProof/>
          <w:sz w:val="24"/>
        </w:rPr>
        <w:t>combattants terroristes étrangers</w:t>
      </w:r>
      <w:r>
        <w:rPr>
          <w:rFonts w:ascii="Times New Roman" w:hAnsi="Times New Roman"/>
          <w:noProof/>
          <w:sz w:val="24"/>
        </w:rPr>
        <w:t xml:space="preserve"> reste une source de préoccupation majeure, d'autant que des citoyens de l’UE continuent de se rendre en Syrie et en Iraq pour soutenir des groupes te</w:t>
      </w:r>
      <w:r>
        <w:rPr>
          <w:rFonts w:ascii="Times New Roman" w:hAnsi="Times New Roman"/>
          <w:noProof/>
          <w:sz w:val="24"/>
        </w:rPr>
        <w:t>rroristes. Une des priorités consiste donc à détecter et à prévenir leur voyage à destination et en provenance des zones de conflit.</w:t>
      </w:r>
    </w:p>
    <w:p w:rsidR="00ED36B5" w:rsidRDefault="00064F4C">
      <w:pPr>
        <w:jc w:val="both"/>
        <w:rPr>
          <w:rFonts w:ascii="Times New Roman" w:hAnsi="Times New Roman"/>
          <w:noProof/>
          <w:sz w:val="24"/>
          <w:szCs w:val="24"/>
        </w:rPr>
      </w:pPr>
      <w:r>
        <w:rPr>
          <w:rFonts w:ascii="Times New Roman" w:hAnsi="Times New Roman"/>
          <w:noProof/>
          <w:sz w:val="24"/>
        </w:rPr>
        <w:t>La Commission européenne a toujours soutenu le renforcement du cadre Schengen à cet égard et la pleine application des mesu</w:t>
      </w:r>
      <w:r>
        <w:rPr>
          <w:rFonts w:ascii="Times New Roman" w:hAnsi="Times New Roman"/>
          <w:noProof/>
          <w:sz w:val="24"/>
        </w:rPr>
        <w:t>res pouvant être prises dans ce contexte. Comme annoncé dans le programme européen en matière de sécurité</w:t>
      </w:r>
      <w:r>
        <w:rPr>
          <w:rStyle w:val="FootnoteReference"/>
          <w:rFonts w:ascii="Times New Roman" w:hAnsi="Times New Roman"/>
          <w:noProof/>
          <w:sz w:val="24"/>
        </w:rPr>
        <w:footnoteReference w:id="17"/>
      </w:r>
      <w:r>
        <w:rPr>
          <w:rFonts w:ascii="Times New Roman" w:hAnsi="Times New Roman"/>
          <w:noProof/>
          <w:sz w:val="24"/>
        </w:rPr>
        <w:t>, elle a finalisé, en juin 2015, une première série d’</w:t>
      </w:r>
      <w:r>
        <w:rPr>
          <w:rFonts w:ascii="Times New Roman" w:hAnsi="Times New Roman"/>
          <w:b/>
          <w:noProof/>
          <w:sz w:val="24"/>
        </w:rPr>
        <w:t>indicateurs de risque communs</w:t>
      </w:r>
      <w:r>
        <w:rPr>
          <w:rFonts w:ascii="Times New Roman" w:hAnsi="Times New Roman"/>
          <w:noProof/>
          <w:sz w:val="24"/>
        </w:rPr>
        <w:t xml:space="preserve"> pour les combattants terroristes étrangers, afin d'aider les garde</w:t>
      </w:r>
      <w:r>
        <w:rPr>
          <w:rFonts w:ascii="Times New Roman" w:hAnsi="Times New Roman"/>
          <w:noProof/>
          <w:sz w:val="24"/>
        </w:rPr>
        <w:t>s-frontières à effectuer des contrôles. Cette liste, qui repose sur les modes et profils de déplacement et les caractéristiques spécifiques de ces personnes, a été établie sur la base des contributions des États membres, du Service européen pour l’action e</w:t>
      </w:r>
      <w:r>
        <w:rPr>
          <w:rFonts w:ascii="Times New Roman" w:hAnsi="Times New Roman"/>
          <w:noProof/>
          <w:sz w:val="24"/>
        </w:rPr>
        <w:t xml:space="preserve">xtérieure, d’Europol et de Frontex, en respectant pleinement les droits fondamentaux. </w:t>
      </w:r>
    </w:p>
    <w:p w:rsidR="00ED36B5" w:rsidRDefault="00064F4C">
      <w:pPr>
        <w:jc w:val="both"/>
        <w:rPr>
          <w:rFonts w:ascii="Times New Roman" w:hAnsi="Times New Roman"/>
          <w:noProof/>
          <w:sz w:val="24"/>
          <w:szCs w:val="24"/>
        </w:rPr>
      </w:pPr>
      <w:r>
        <w:rPr>
          <w:rFonts w:ascii="Times New Roman" w:hAnsi="Times New Roman"/>
          <w:noProof/>
          <w:sz w:val="24"/>
        </w:rPr>
        <w:t xml:space="preserve">Le partage des informations est un élément crucial d'un contrôle efficace et coordonné des frontières et de l’application de la législation. Le </w:t>
      </w:r>
      <w:r>
        <w:rPr>
          <w:rFonts w:ascii="Times New Roman" w:hAnsi="Times New Roman"/>
          <w:b/>
          <w:noProof/>
          <w:sz w:val="24"/>
        </w:rPr>
        <w:t>système d’information Sch</w:t>
      </w:r>
      <w:r>
        <w:rPr>
          <w:rFonts w:ascii="Times New Roman" w:hAnsi="Times New Roman"/>
          <w:b/>
          <w:noProof/>
          <w:sz w:val="24"/>
        </w:rPr>
        <w:t>engen</w:t>
      </w:r>
      <w:r>
        <w:rPr>
          <w:rFonts w:ascii="Times New Roman" w:hAnsi="Times New Roman"/>
          <w:noProof/>
          <w:sz w:val="24"/>
        </w:rPr>
        <w:t xml:space="preserve"> (SIS) constitue une plateforme d'échange d'informations qui permet de suivre les personnes soupçonnées de terrorisme et les moyens de transport utilisés à des fins de terrorisme et de formes graves de criminalité. Il peut être particulièrement utile </w:t>
      </w:r>
      <w:r>
        <w:rPr>
          <w:rFonts w:ascii="Times New Roman" w:hAnsi="Times New Roman"/>
          <w:noProof/>
          <w:sz w:val="24"/>
        </w:rPr>
        <w:t xml:space="preserve">dans ce contexte d'émettre des </w:t>
      </w:r>
      <w:r>
        <w:rPr>
          <w:rFonts w:ascii="Times New Roman" w:hAnsi="Times New Roman"/>
          <w:b/>
          <w:noProof/>
          <w:sz w:val="24"/>
        </w:rPr>
        <w:t>signalements pour contrôle discret ou spécifique</w:t>
      </w:r>
      <w:r>
        <w:rPr>
          <w:rFonts w:ascii="Times New Roman" w:hAnsi="Times New Roman"/>
          <w:noProof/>
          <w:sz w:val="24"/>
        </w:rPr>
        <w:t>, conformément à l’article 36 de la décision 2007/533/JAI</w:t>
      </w:r>
      <w:r>
        <w:rPr>
          <w:rStyle w:val="FootnoteReference"/>
          <w:rFonts w:ascii="Times New Roman" w:hAnsi="Times New Roman"/>
          <w:noProof/>
          <w:sz w:val="24"/>
        </w:rPr>
        <w:footnoteReference w:id="18"/>
      </w:r>
      <w:r>
        <w:rPr>
          <w:rFonts w:ascii="Times New Roman" w:hAnsi="Times New Roman"/>
          <w:noProof/>
          <w:sz w:val="24"/>
        </w:rPr>
        <w:t xml:space="preserve"> du Conseil. Il est important de souligner que si ces signalements sont précieux pour recueillir des informations contr</w:t>
      </w:r>
      <w:r>
        <w:rPr>
          <w:rFonts w:ascii="Times New Roman" w:hAnsi="Times New Roman"/>
          <w:noProof/>
          <w:sz w:val="24"/>
        </w:rPr>
        <w:t>ibuant à identifier les itinéraires des terroristes et d'autres criminels, ils ne constituent pas des mandats d’arrêt.</w:t>
      </w:r>
    </w:p>
    <w:p w:rsidR="00ED36B5" w:rsidRDefault="00064F4C">
      <w:pPr>
        <w:jc w:val="both"/>
        <w:rPr>
          <w:rFonts w:ascii="Times New Roman" w:hAnsi="Times New Roman"/>
          <w:noProof/>
          <w:sz w:val="24"/>
          <w:szCs w:val="24"/>
        </w:rPr>
      </w:pPr>
      <w:r>
        <w:rPr>
          <w:rFonts w:ascii="Times New Roman" w:hAnsi="Times New Roman"/>
          <w:noProof/>
          <w:sz w:val="24"/>
        </w:rPr>
        <w:t>L’augmentation constante du nombre de signalements pour contrôle discret ou spécifique, et de résultats fondés sur ces signalements, génè</w:t>
      </w:r>
      <w:r>
        <w:rPr>
          <w:rFonts w:ascii="Times New Roman" w:hAnsi="Times New Roman"/>
          <w:noProof/>
          <w:sz w:val="24"/>
        </w:rPr>
        <w:t>re un volume considérable d’informations supplémentaires, qui doivent être échangées entre les bureaux SIRENE</w:t>
      </w:r>
      <w:r>
        <w:rPr>
          <w:rStyle w:val="FootnoteReference"/>
          <w:rFonts w:ascii="Times New Roman" w:hAnsi="Times New Roman"/>
          <w:noProof/>
          <w:sz w:val="24"/>
        </w:rPr>
        <w:footnoteReference w:id="19"/>
      </w:r>
      <w:r>
        <w:rPr>
          <w:rFonts w:ascii="Times New Roman" w:hAnsi="Times New Roman"/>
          <w:noProof/>
          <w:sz w:val="24"/>
        </w:rPr>
        <w:t xml:space="preserve"> en priorité. En outre, les modifications apportées au manuel SIRENE</w:t>
      </w:r>
      <w:r>
        <w:rPr>
          <w:rStyle w:val="FootnoteReference"/>
          <w:rFonts w:ascii="Times New Roman" w:hAnsi="Times New Roman"/>
          <w:noProof/>
          <w:sz w:val="24"/>
        </w:rPr>
        <w:footnoteReference w:id="20"/>
      </w:r>
      <w:r>
        <w:rPr>
          <w:rFonts w:ascii="Times New Roman" w:hAnsi="Times New Roman"/>
          <w:noProof/>
          <w:sz w:val="24"/>
        </w:rPr>
        <w:t>, avec effet au 30 janvier 2015, requièrent de signaler immédiatement les inf</w:t>
      </w:r>
      <w:r>
        <w:rPr>
          <w:rFonts w:ascii="Times New Roman" w:hAnsi="Times New Roman"/>
          <w:noProof/>
          <w:sz w:val="24"/>
        </w:rPr>
        <w:t>ormations sur les activités liées au terrorisme au niveau national et européen. La majorité des États membres tirent parti des améliorations techniques et juridiques apportées au SIS</w:t>
      </w:r>
      <w:r>
        <w:rPr>
          <w:rStyle w:val="FootnoteReference"/>
          <w:rFonts w:ascii="Times New Roman" w:hAnsi="Times New Roman"/>
          <w:noProof/>
          <w:sz w:val="24"/>
        </w:rPr>
        <w:footnoteReference w:id="21"/>
      </w:r>
      <w:r>
        <w:rPr>
          <w:rFonts w:ascii="Times New Roman" w:hAnsi="Times New Roman"/>
          <w:noProof/>
          <w:sz w:val="24"/>
        </w:rPr>
        <w:t>, à savoir la possibilité d’échanger rapidement des informations et de co</w:t>
      </w:r>
      <w:r>
        <w:rPr>
          <w:rFonts w:ascii="Times New Roman" w:hAnsi="Times New Roman"/>
          <w:noProof/>
          <w:sz w:val="24"/>
        </w:rPr>
        <w:t>nstater qu'un document d’identification a été jugé non valable pour voyager, empêchant ainsi son titulaire de quitter l’espace Schengen ou d'y entrer. Il est essentiel que les États membres partagent les informations pertinentes par l’intermédiaire du Cana</w:t>
      </w:r>
      <w:r>
        <w:rPr>
          <w:rFonts w:ascii="Times New Roman" w:hAnsi="Times New Roman"/>
          <w:noProof/>
          <w:sz w:val="24"/>
        </w:rPr>
        <w:t>l SIRENE lorsqu'un signalement lié au terrorisme est créé et que les bureaux SIRENE soient dotés de moyens suffisants pour réaliser les tâches qui leur sont confiées. En outre, ils doivent pleinement mettre en œuvre les nouvelles fonctionnalités du SIS, en</w:t>
      </w:r>
      <w:r>
        <w:rPr>
          <w:rFonts w:ascii="Times New Roman" w:hAnsi="Times New Roman"/>
          <w:noProof/>
          <w:sz w:val="24"/>
        </w:rPr>
        <w:t xml:space="preserve"> accordant une attention particulière à la fonction de connexion et à l’affichage des photographies. Les connexions entre les signalements créés par les États membres doivent être visibles pour l'ensemble des utilisateurs finaux de tous les pays de l’espac</w:t>
      </w:r>
      <w:r>
        <w:rPr>
          <w:rFonts w:ascii="Times New Roman" w:hAnsi="Times New Roman"/>
          <w:noProof/>
          <w:sz w:val="24"/>
        </w:rPr>
        <w:t>e Schengen. L'existence de relevés d'empreintes digitales et de mandats d'arrêt européens doit également être signalée aux utilisateurs finaux afin qu'ils puissent effectuer des contrôles.</w:t>
      </w:r>
    </w:p>
    <w:p w:rsidR="00ED36B5" w:rsidRDefault="00064F4C">
      <w:pPr>
        <w:jc w:val="both"/>
        <w:rPr>
          <w:rFonts w:ascii="Times New Roman" w:hAnsi="Times New Roman"/>
          <w:noProof/>
          <w:sz w:val="24"/>
          <w:szCs w:val="24"/>
        </w:rPr>
      </w:pPr>
      <w:r>
        <w:rPr>
          <w:rFonts w:ascii="Times New Roman" w:hAnsi="Times New Roman"/>
          <w:noProof/>
          <w:sz w:val="24"/>
        </w:rPr>
        <w:t xml:space="preserve">Par ailleurs, d’autres améliorations peuvent être apportées pour </w:t>
      </w:r>
      <w:r>
        <w:rPr>
          <w:rFonts w:ascii="Times New Roman" w:hAnsi="Times New Roman"/>
          <w:noProof/>
          <w:sz w:val="24"/>
        </w:rPr>
        <w:t>contribuer à prévenir le terrorisme et les déplacements de combattants terroristes étrangers en provenance et vers les zones de conflit: la détection de documents faux, falsifiés ou invalidés (notamment par la consultation systématique de la base de donnée</w:t>
      </w:r>
      <w:r>
        <w:rPr>
          <w:rFonts w:ascii="Times New Roman" w:hAnsi="Times New Roman"/>
          <w:noProof/>
          <w:sz w:val="24"/>
        </w:rPr>
        <w:t>s d’Interpol sur les documents de voyage volés ou perdus et de la section «Documents» du SIS); la pleine application des dispositions du CFS en matière de contrôle des personnes (à l’aide des indicateurs de risque communs mentionnés ci-dessus); la vérifica</w:t>
      </w:r>
      <w:r>
        <w:rPr>
          <w:rFonts w:ascii="Times New Roman" w:hAnsi="Times New Roman"/>
          <w:noProof/>
          <w:sz w:val="24"/>
        </w:rPr>
        <w:t xml:space="preserve">tion exhaustive, dans le SIS, des personnes non couvertes par le droit à la libre circulation conféré par l'Union; le cas échéant, la vérification croisée des informations préalables sur les passagers (API) ou des données des dossiers passagers (PNR) avec </w:t>
      </w:r>
      <w:r>
        <w:rPr>
          <w:rFonts w:ascii="Times New Roman" w:hAnsi="Times New Roman"/>
          <w:noProof/>
          <w:sz w:val="24"/>
        </w:rPr>
        <w:t>celles figurant dans les bases de données pertinentes.</w:t>
      </w:r>
      <w:r>
        <w:rPr>
          <w:rFonts w:ascii="Times New Roman" w:hAnsi="Times New Roman"/>
          <w:noProof/>
        </w:rPr>
        <w:t xml:space="preserve"> </w:t>
      </w:r>
      <w:r>
        <w:rPr>
          <w:rFonts w:ascii="Times New Roman" w:hAnsi="Times New Roman"/>
          <w:noProof/>
          <w:sz w:val="24"/>
        </w:rPr>
        <w:t>Enfin, pour améliorer la sécurité, la Commission a proposé une modification ciblée du CFS</w:t>
      </w:r>
      <w:r>
        <w:rPr>
          <w:rStyle w:val="FootnoteReference"/>
          <w:rFonts w:ascii="Times New Roman" w:hAnsi="Times New Roman"/>
          <w:noProof/>
          <w:sz w:val="24"/>
        </w:rPr>
        <w:footnoteReference w:id="22"/>
      </w:r>
      <w:r>
        <w:rPr>
          <w:rFonts w:ascii="Times New Roman" w:hAnsi="Times New Roman"/>
          <w:noProof/>
          <w:sz w:val="24"/>
        </w:rPr>
        <w:t xml:space="preserve"> afin de rendre obligatoire le contrôle des personnes bénéficiant du droit de libre circulation aux frontières </w:t>
      </w:r>
      <w:r>
        <w:rPr>
          <w:rFonts w:ascii="Times New Roman" w:hAnsi="Times New Roman"/>
          <w:noProof/>
          <w:sz w:val="24"/>
        </w:rPr>
        <w:t>extérieures de l'UE au moyen de recherches dans les bases de données pertinentes de l'UE.</w:t>
      </w:r>
    </w:p>
    <w:p w:rsidR="00ED36B5" w:rsidRDefault="00064F4C">
      <w:pPr>
        <w:jc w:val="both"/>
        <w:rPr>
          <w:rFonts w:ascii="Times New Roman" w:hAnsi="Times New Roman"/>
          <w:noProof/>
          <w:sz w:val="24"/>
          <w:szCs w:val="24"/>
        </w:rPr>
      </w:pPr>
      <w:r>
        <w:rPr>
          <w:rFonts w:ascii="Times New Roman" w:hAnsi="Times New Roman"/>
          <w:noProof/>
          <w:sz w:val="24"/>
        </w:rPr>
        <w:t xml:space="preserve">Les récentes attaques terroristes ont attiré l'attention sur les moyens utilisés par les criminels pour se procurer des </w:t>
      </w:r>
      <w:r>
        <w:rPr>
          <w:rFonts w:ascii="Times New Roman" w:hAnsi="Times New Roman"/>
          <w:b/>
          <w:noProof/>
          <w:sz w:val="24"/>
        </w:rPr>
        <w:t>armes à feu</w:t>
      </w:r>
      <w:r>
        <w:rPr>
          <w:rFonts w:ascii="Times New Roman" w:hAnsi="Times New Roman"/>
          <w:noProof/>
          <w:sz w:val="24"/>
        </w:rPr>
        <w:t>, y compris des armes de qualité mi</w:t>
      </w:r>
      <w:r>
        <w:rPr>
          <w:rFonts w:ascii="Times New Roman" w:hAnsi="Times New Roman"/>
          <w:noProof/>
          <w:sz w:val="24"/>
        </w:rPr>
        <w:t>litaire, en Europe. Dans un espace sans contrôle aux frontières intérieures, des instruments adéquats doivent être en place pour trouver ces armes. Des mesures particulières ont donc été prises pour améliorer les signalements relatifs aux armes à feu qui d</w:t>
      </w:r>
      <w:r>
        <w:rPr>
          <w:rFonts w:ascii="Times New Roman" w:hAnsi="Times New Roman"/>
          <w:noProof/>
          <w:sz w:val="24"/>
        </w:rPr>
        <w:t>oivent être retrouvées et saisies. Deux projets ont été lancés pour aligner SIS et iArms, la base de données d'Interpol sur les armes à feu, afin qu'elles puissent être utilisées en parallèle. Cela permettrait d'optimiser l’utilisation du SIS et de garanti</w:t>
      </w:r>
      <w:r>
        <w:rPr>
          <w:rFonts w:ascii="Times New Roman" w:hAnsi="Times New Roman"/>
          <w:noProof/>
          <w:sz w:val="24"/>
        </w:rPr>
        <w:t>r la traçabilité des armes à feu dans le monde entier.</w:t>
      </w:r>
    </w:p>
    <w:p w:rsidR="00ED36B5" w:rsidRDefault="00064F4C">
      <w:pPr>
        <w:jc w:val="both"/>
        <w:rPr>
          <w:rFonts w:ascii="Times New Roman" w:hAnsi="Times New Roman"/>
          <w:noProof/>
          <w:sz w:val="24"/>
          <w:szCs w:val="24"/>
        </w:rPr>
      </w:pPr>
      <w:r>
        <w:rPr>
          <w:rFonts w:ascii="Times New Roman" w:hAnsi="Times New Roman"/>
          <w:noProof/>
          <w:color w:val="000000"/>
          <w:sz w:val="24"/>
        </w:rPr>
        <w:t xml:space="preserve">En outre, le 2 décembre 2015, la Commission a adopté un programme en matière de sécurité, qui comprend une </w:t>
      </w:r>
      <w:r>
        <w:rPr>
          <w:rFonts w:ascii="Times New Roman" w:hAnsi="Times New Roman"/>
          <w:noProof/>
          <w:sz w:val="24"/>
        </w:rPr>
        <w:t>communication sur un plan d'action destiné à lutter contre le trafic des armes à feu et des ex</w:t>
      </w:r>
      <w:r>
        <w:rPr>
          <w:rFonts w:ascii="Times New Roman" w:hAnsi="Times New Roman"/>
          <w:noProof/>
          <w:sz w:val="24"/>
        </w:rPr>
        <w:t>plosifs et une proposition de directive sur la lutte contre le terrorisme.</w:t>
      </w:r>
    </w:p>
    <w:p w:rsidR="00ED36B5" w:rsidRDefault="00064F4C">
      <w:pPr>
        <w:pStyle w:val="Heading1"/>
        <w:rPr>
          <w:noProof/>
          <w:szCs w:val="24"/>
        </w:rPr>
      </w:pPr>
      <w:r>
        <w:rPr>
          <w:noProof/>
        </w:rPr>
        <w:t>Mécanisme d’évaluation de Schengen</w:t>
      </w:r>
    </w:p>
    <w:p w:rsidR="00ED36B5" w:rsidRDefault="00064F4C">
      <w:pPr>
        <w:jc w:val="both"/>
        <w:rPr>
          <w:rFonts w:ascii="Times New Roman" w:hAnsi="Times New Roman"/>
          <w:noProof/>
          <w:sz w:val="24"/>
          <w:szCs w:val="24"/>
        </w:rPr>
      </w:pPr>
      <w:r>
        <w:rPr>
          <w:rFonts w:ascii="Times New Roman" w:hAnsi="Times New Roman"/>
          <w:noProof/>
          <w:sz w:val="24"/>
        </w:rPr>
        <w:t>Il est essentiel que tous les États membres respectent pleinement les normes Schengen, afin d'aider l’UE à faire face à l’actuelle crise migratoir</w:t>
      </w:r>
      <w:r>
        <w:rPr>
          <w:rFonts w:ascii="Times New Roman" w:hAnsi="Times New Roman"/>
          <w:noProof/>
          <w:sz w:val="24"/>
        </w:rPr>
        <w:t xml:space="preserve">e et à contenir la menace d’attentats terroristes dans l’espace Schengen. Le bon fonctionnement du </w:t>
      </w:r>
      <w:r>
        <w:rPr>
          <w:rFonts w:ascii="Times New Roman" w:hAnsi="Times New Roman"/>
          <w:b/>
          <w:noProof/>
          <w:sz w:val="24"/>
        </w:rPr>
        <w:t>mécanisme d’évaluation de Schengen demeure une priorité pour la Commission</w:t>
      </w:r>
      <w:r>
        <w:rPr>
          <w:rFonts w:ascii="Times New Roman" w:hAnsi="Times New Roman"/>
          <w:noProof/>
          <w:sz w:val="24"/>
        </w:rPr>
        <w:t>. L'organisation de visites annoncées et inopinées et le suivi de ces visites perme</w:t>
      </w:r>
      <w:r>
        <w:rPr>
          <w:rFonts w:ascii="Times New Roman" w:hAnsi="Times New Roman"/>
          <w:noProof/>
          <w:sz w:val="24"/>
        </w:rPr>
        <w:t>ttent de déceler les lacunes dans la mise en œuvre de Schengen et de définir rapidement des mesures correctives.</w:t>
      </w:r>
    </w:p>
    <w:p w:rsidR="00ED36B5" w:rsidRDefault="00064F4C">
      <w:pPr>
        <w:jc w:val="both"/>
        <w:rPr>
          <w:rFonts w:ascii="Times New Roman" w:hAnsi="Times New Roman"/>
          <w:noProof/>
          <w:sz w:val="24"/>
          <w:szCs w:val="24"/>
        </w:rPr>
      </w:pPr>
      <w:r>
        <w:rPr>
          <w:rFonts w:ascii="Times New Roman" w:hAnsi="Times New Roman"/>
          <w:noProof/>
          <w:sz w:val="24"/>
        </w:rPr>
        <w:t xml:space="preserve">Le nouveau mécanisme d’évaluation de Schengen a continué à bien fonctionner au cours de la période de référence. Sa mise en œuvre repose sur </w:t>
      </w:r>
      <w:r>
        <w:rPr>
          <w:rFonts w:ascii="Times New Roman" w:hAnsi="Times New Roman"/>
          <w:b/>
          <w:noProof/>
          <w:sz w:val="24"/>
        </w:rPr>
        <w:t>la</w:t>
      </w:r>
      <w:r>
        <w:rPr>
          <w:rFonts w:ascii="Times New Roman" w:hAnsi="Times New Roman"/>
          <w:b/>
          <w:noProof/>
          <w:sz w:val="24"/>
        </w:rPr>
        <w:t xml:space="preserve"> qualité et le caractère opportun des réponses fournies au questionnaire Schengen</w:t>
      </w:r>
      <w:r>
        <w:rPr>
          <w:rFonts w:ascii="Times New Roman" w:hAnsi="Times New Roman"/>
          <w:noProof/>
          <w:sz w:val="24"/>
        </w:rPr>
        <w:t xml:space="preserve"> par les États membres évalués. Les expériences à cet égard au cours de la période de référence ont été contrastées: la moitié des États membres devant être évalués en 2016 n’</w:t>
      </w:r>
      <w:r>
        <w:rPr>
          <w:rFonts w:ascii="Times New Roman" w:hAnsi="Times New Roman"/>
          <w:noProof/>
          <w:sz w:val="24"/>
        </w:rPr>
        <w:t>ont pas respecté le calendrier fixé pour les réponses (même après prolongation du délai), la qualité de certaines réponses s'est avérée peu satisfaisante ou des questions sont restées en suspens. Ces problèmes sont peut-être le signe de faiblesses inhérent</w:t>
      </w:r>
      <w:r>
        <w:rPr>
          <w:rFonts w:ascii="Times New Roman" w:hAnsi="Times New Roman"/>
          <w:noProof/>
          <w:sz w:val="24"/>
        </w:rPr>
        <w:t xml:space="preserve">es à certains des systèmes nationaux de gouvernance de Schengen. </w:t>
      </w:r>
    </w:p>
    <w:p w:rsidR="00ED36B5" w:rsidRDefault="00064F4C">
      <w:pPr>
        <w:jc w:val="both"/>
        <w:rPr>
          <w:rFonts w:ascii="Times New Roman" w:hAnsi="Times New Roman"/>
          <w:noProof/>
          <w:sz w:val="24"/>
          <w:szCs w:val="24"/>
        </w:rPr>
      </w:pPr>
      <w:r>
        <w:rPr>
          <w:rFonts w:ascii="Times New Roman" w:hAnsi="Times New Roman"/>
          <w:noProof/>
          <w:sz w:val="24"/>
        </w:rPr>
        <w:t>Afin d’assurer le bon fonctionnement du nouveau mécanisme, un guide d'évaluation de Schengen et des lignes directrices générales sur les modalités pratiques des visites inopinées aux frontiè</w:t>
      </w:r>
      <w:r>
        <w:rPr>
          <w:rFonts w:ascii="Times New Roman" w:hAnsi="Times New Roman"/>
          <w:noProof/>
          <w:sz w:val="24"/>
        </w:rPr>
        <w:t>res intérieures ont été élaborés.</w:t>
      </w:r>
    </w:p>
    <w:p w:rsidR="00ED36B5" w:rsidRDefault="00064F4C">
      <w:pPr>
        <w:jc w:val="both"/>
        <w:rPr>
          <w:rFonts w:ascii="Times New Roman" w:hAnsi="Times New Roman"/>
          <w:noProof/>
          <w:sz w:val="24"/>
          <w:szCs w:val="24"/>
        </w:rPr>
      </w:pPr>
      <w:r>
        <w:rPr>
          <w:rFonts w:ascii="Times New Roman" w:hAnsi="Times New Roman"/>
          <w:noProof/>
          <w:sz w:val="24"/>
        </w:rPr>
        <w:t xml:space="preserve">Au cours de la période de référence, des </w:t>
      </w:r>
      <w:r>
        <w:rPr>
          <w:rFonts w:ascii="Times New Roman" w:hAnsi="Times New Roman"/>
          <w:b/>
          <w:noProof/>
          <w:sz w:val="24"/>
        </w:rPr>
        <w:t>visites annoncées</w:t>
      </w:r>
      <w:r>
        <w:rPr>
          <w:rFonts w:ascii="Times New Roman" w:hAnsi="Times New Roman"/>
          <w:noProof/>
          <w:sz w:val="24"/>
        </w:rPr>
        <w:t xml:space="preserve"> ont été réalisées en Allemagne et aux Pays-Bas, couvrant tous les domaines d'action. Les recommandations résultant de ces visites ne sont pas encore disponibles. D</w:t>
      </w:r>
      <w:r>
        <w:rPr>
          <w:rFonts w:ascii="Times New Roman" w:hAnsi="Times New Roman"/>
          <w:noProof/>
          <w:sz w:val="24"/>
        </w:rPr>
        <w:t xml:space="preserve">ans l’intervalle, les </w:t>
      </w:r>
      <w:r>
        <w:rPr>
          <w:rFonts w:ascii="Times New Roman" w:hAnsi="Times New Roman"/>
          <w:b/>
          <w:noProof/>
          <w:sz w:val="24"/>
        </w:rPr>
        <w:t>résultats de visites antérieures</w:t>
      </w:r>
      <w:r>
        <w:rPr>
          <w:rFonts w:ascii="Times New Roman" w:hAnsi="Times New Roman"/>
          <w:noProof/>
          <w:sz w:val="24"/>
        </w:rPr>
        <w:t xml:space="preserve"> en Autriche et en Belgique ont été publiés.</w:t>
      </w:r>
    </w:p>
    <w:p w:rsidR="00ED36B5" w:rsidRDefault="00064F4C">
      <w:pPr>
        <w:jc w:val="both"/>
        <w:rPr>
          <w:rFonts w:ascii="Times New Roman" w:hAnsi="Times New Roman"/>
          <w:noProof/>
          <w:sz w:val="24"/>
          <w:szCs w:val="24"/>
        </w:rPr>
      </w:pPr>
      <w:r>
        <w:rPr>
          <w:rFonts w:ascii="Times New Roman" w:hAnsi="Times New Roman"/>
          <w:noProof/>
          <w:sz w:val="24"/>
        </w:rPr>
        <w:t>Pour ce qui est de l'</w:t>
      </w:r>
      <w:r>
        <w:rPr>
          <w:rFonts w:ascii="Times New Roman" w:hAnsi="Times New Roman"/>
          <w:b/>
          <w:noProof/>
          <w:sz w:val="24"/>
        </w:rPr>
        <w:t>Autriche</w:t>
      </w:r>
      <w:r>
        <w:rPr>
          <w:rFonts w:ascii="Times New Roman" w:hAnsi="Times New Roman"/>
          <w:noProof/>
          <w:sz w:val="24"/>
        </w:rPr>
        <w:t>, la Commission a adopté toutes les propositions de recommandations du Conseil, sauf celles concernant la protection des données</w:t>
      </w:r>
      <w:r>
        <w:rPr>
          <w:rFonts w:ascii="Times New Roman" w:hAnsi="Times New Roman"/>
          <w:noProof/>
          <w:sz w:val="24"/>
        </w:rPr>
        <w:t>. Parmi les points positifs figurent le bon développement de la gestion intégrée des frontières autrichiennes et de sa mise en œuvre, l'excellente infrastructure technique du N.SIS et du Bureau SIRENE et la durée moyenne limitée de la rétention avant éloig</w:t>
      </w:r>
      <w:r>
        <w:rPr>
          <w:rFonts w:ascii="Times New Roman" w:hAnsi="Times New Roman"/>
          <w:noProof/>
          <w:sz w:val="24"/>
        </w:rPr>
        <w:t xml:space="preserve">nement. Les principales recommandations portent sur l'application correcte de l'acquis de Schengen et sur l'amélioration de sa mise en œuvre (notamment, toutes les conditions d'entrée doivent être vérifiées lors des contrôles frontaliers effectués sur les </w:t>
      </w:r>
      <w:r>
        <w:rPr>
          <w:rFonts w:ascii="Times New Roman" w:hAnsi="Times New Roman"/>
          <w:noProof/>
          <w:sz w:val="24"/>
        </w:rPr>
        <w:t>ressortissants de pays tiers, les fonctions de recherche du N.SIS doivent être davantage développées et il faut renforcer la formation de la police des frontières concernant les groupes vulnérables). En ce qui concerne le retour, la pratique consistant à n</w:t>
      </w:r>
      <w:r>
        <w:rPr>
          <w:rFonts w:ascii="Times New Roman" w:hAnsi="Times New Roman"/>
          <w:noProof/>
          <w:sz w:val="24"/>
        </w:rPr>
        <w:t>e pas émettre d'interdictions d'entrée dans les cas obligatoires prévus par la directive «retour» a été mise en évidence. Dans deux domaines (frontières extérieures et visas), les recommandations ont déjà été adoptées par le Conseil.</w:t>
      </w:r>
    </w:p>
    <w:p w:rsidR="00ED36B5" w:rsidRDefault="00064F4C">
      <w:pPr>
        <w:jc w:val="both"/>
        <w:rPr>
          <w:rFonts w:ascii="Times New Roman" w:hAnsi="Times New Roman"/>
          <w:noProof/>
          <w:sz w:val="24"/>
          <w:szCs w:val="24"/>
        </w:rPr>
      </w:pPr>
      <w:r>
        <w:rPr>
          <w:rFonts w:ascii="Times New Roman" w:hAnsi="Times New Roman"/>
          <w:noProof/>
          <w:sz w:val="24"/>
        </w:rPr>
        <w:t>La principale difficul</w:t>
      </w:r>
      <w:r>
        <w:rPr>
          <w:rFonts w:ascii="Times New Roman" w:hAnsi="Times New Roman"/>
          <w:noProof/>
          <w:sz w:val="24"/>
        </w:rPr>
        <w:t xml:space="preserve">té rencontrée par la </w:t>
      </w:r>
      <w:r>
        <w:rPr>
          <w:rFonts w:ascii="Times New Roman" w:hAnsi="Times New Roman"/>
          <w:b/>
          <w:noProof/>
          <w:sz w:val="24"/>
        </w:rPr>
        <w:t>Belgique</w:t>
      </w:r>
      <w:r>
        <w:rPr>
          <w:rFonts w:ascii="Times New Roman" w:hAnsi="Times New Roman"/>
          <w:noProof/>
          <w:sz w:val="24"/>
        </w:rPr>
        <w:t xml:space="preserve"> en matière de gestion des frontières est la capacité à gérer la situation à ses frontières aériennes, les mouvements secondaires sur son territoire et les migrations irrégulières vers le Royaume-Uni via la mer du Nord. Les lac</w:t>
      </w:r>
      <w:r>
        <w:rPr>
          <w:rFonts w:ascii="Times New Roman" w:hAnsi="Times New Roman"/>
          <w:noProof/>
          <w:sz w:val="24"/>
        </w:rPr>
        <w:t>unes constatées concernent le manque de ressources et l'exécution incorrecte des contrôles aux frontières. Certains instruments importants tels que la stratégie nationale de gestion intégrée des frontières et le système API ne sont pas encore mis en œuvre.</w:t>
      </w:r>
      <w:r>
        <w:rPr>
          <w:rFonts w:ascii="Times New Roman" w:hAnsi="Times New Roman"/>
          <w:noProof/>
          <w:sz w:val="24"/>
        </w:rPr>
        <w:t xml:space="preserve"> En outre, la Belgique ne dispose pas d'une législation ni de procédures nationales lui permettant de traiter les signalements dans le SIS de deuxième génération et elle ne possède pas non plus de cadre de sécurité contraignant pour le système. Par ailleur</w:t>
      </w:r>
      <w:r>
        <w:rPr>
          <w:rFonts w:ascii="Times New Roman" w:hAnsi="Times New Roman"/>
          <w:noProof/>
          <w:sz w:val="24"/>
        </w:rPr>
        <w:t>s, de graves manquements ont été relevés en ce qui concerne la mise en œuvre du SIS pour les utilisateurs finaux. Les services de la Commission travaillent actuellement sur les propositions de recommandations du Conseil concernant les visites en Belgique.</w:t>
      </w:r>
    </w:p>
    <w:p w:rsidR="00ED36B5" w:rsidRDefault="00064F4C">
      <w:pPr>
        <w:jc w:val="both"/>
        <w:rPr>
          <w:rFonts w:ascii="Times New Roman" w:hAnsi="Times New Roman"/>
          <w:noProof/>
          <w:sz w:val="24"/>
          <w:szCs w:val="24"/>
        </w:rPr>
      </w:pPr>
      <w:r>
        <w:rPr>
          <w:rFonts w:ascii="Times New Roman" w:hAnsi="Times New Roman"/>
          <w:noProof/>
          <w:sz w:val="24"/>
        </w:rPr>
        <w:t xml:space="preserve">Dans le cadre du précédent mécanisme d’évaluation de Schengen, de graves problèmes techniques avaient été décelés s'agissant de la mise en œuvre du </w:t>
      </w:r>
      <w:r>
        <w:rPr>
          <w:rFonts w:ascii="Times New Roman" w:hAnsi="Times New Roman"/>
          <w:b/>
          <w:noProof/>
          <w:sz w:val="24"/>
        </w:rPr>
        <w:t>SIS en Pologne</w:t>
      </w:r>
      <w:r>
        <w:rPr>
          <w:rStyle w:val="FootnoteReference"/>
          <w:rFonts w:ascii="Times New Roman" w:hAnsi="Times New Roman"/>
          <w:noProof/>
          <w:sz w:val="24"/>
        </w:rPr>
        <w:footnoteReference w:id="23"/>
      </w:r>
      <w:r>
        <w:rPr>
          <w:rFonts w:ascii="Times New Roman" w:hAnsi="Times New Roman"/>
          <w:noProof/>
          <w:sz w:val="24"/>
        </w:rPr>
        <w:t>, en particulier aux frontières extérieures. Une nouvelle visite a montré que la Pologne avai</w:t>
      </w:r>
      <w:r>
        <w:rPr>
          <w:rFonts w:ascii="Times New Roman" w:hAnsi="Times New Roman"/>
          <w:noProof/>
          <w:sz w:val="24"/>
        </w:rPr>
        <w:t>t fait de grands progrès en introduisant un nouveau N.SIS stable, une nouvelle application SIRENE, ainsi qu'une nouvelle application pour les gardes-frontières. La Pologne a été invitée à garantir la disponibilité du SIS à 99,99 %, à assurer la corresponda</w:t>
      </w:r>
      <w:r>
        <w:rPr>
          <w:rFonts w:ascii="Times New Roman" w:hAnsi="Times New Roman"/>
          <w:noProof/>
          <w:sz w:val="24"/>
        </w:rPr>
        <w:t>nce entre les données du SIS national et du SIS central, à afficher les photographies liées aux signalements pour les utilisateurs finaux et à faire en sorte que la consultation du SIS sur les appareils mobiles de la police soit une option par défaut.</w:t>
      </w:r>
    </w:p>
    <w:p w:rsidR="00ED36B5" w:rsidRDefault="00064F4C">
      <w:pPr>
        <w:jc w:val="both"/>
        <w:rPr>
          <w:rFonts w:ascii="Times New Roman" w:hAnsi="Times New Roman"/>
          <w:noProof/>
          <w:sz w:val="24"/>
          <w:szCs w:val="24"/>
        </w:rPr>
      </w:pPr>
      <w:r>
        <w:rPr>
          <w:rFonts w:ascii="Times New Roman" w:hAnsi="Times New Roman"/>
          <w:noProof/>
          <w:sz w:val="24"/>
        </w:rPr>
        <w:t xml:space="preserve">Les </w:t>
      </w:r>
      <w:r>
        <w:rPr>
          <w:rFonts w:ascii="Times New Roman" w:hAnsi="Times New Roman"/>
          <w:noProof/>
          <w:sz w:val="24"/>
        </w:rPr>
        <w:t xml:space="preserve">résultats de la visite inopinée effectuée en </w:t>
      </w:r>
      <w:r>
        <w:rPr>
          <w:rFonts w:ascii="Times New Roman" w:hAnsi="Times New Roman"/>
          <w:b/>
          <w:noProof/>
          <w:sz w:val="24"/>
        </w:rPr>
        <w:t>Suède</w:t>
      </w:r>
      <w:r>
        <w:rPr>
          <w:rFonts w:ascii="Times New Roman" w:hAnsi="Times New Roman"/>
          <w:noProof/>
          <w:sz w:val="24"/>
        </w:rPr>
        <w:t xml:space="preserve"> (aéroport d'Arlanda) durant la période de référence précédente (mars 2015) sont désormais disponibles. La décision d'évaluer l'aéroport a été prise sur la base d'une analyse des risques réalisée par Fronte</w:t>
      </w:r>
      <w:r>
        <w:rPr>
          <w:rFonts w:ascii="Times New Roman" w:hAnsi="Times New Roman"/>
          <w:noProof/>
          <w:sz w:val="24"/>
        </w:rPr>
        <w:t xml:space="preserve">x, qui a mis en évidence des taux anormalement base de refus d'entrée et de détection de documents frauduleux. Durant la visite, certaines lacunes liées au manque de ressources et de formation ainsi qu'à la mauvaise exécution des contrôles frontaliers ont </w:t>
      </w:r>
      <w:r>
        <w:rPr>
          <w:rFonts w:ascii="Times New Roman" w:hAnsi="Times New Roman"/>
          <w:noProof/>
          <w:sz w:val="24"/>
        </w:rPr>
        <w:t>été constatées.</w:t>
      </w:r>
    </w:p>
    <w:p w:rsidR="00ED36B5" w:rsidRDefault="00064F4C">
      <w:pPr>
        <w:jc w:val="both"/>
        <w:rPr>
          <w:rFonts w:ascii="Times New Roman" w:hAnsi="Times New Roman"/>
          <w:noProof/>
          <w:sz w:val="24"/>
          <w:szCs w:val="24"/>
        </w:rPr>
      </w:pPr>
      <w:r>
        <w:rPr>
          <w:rFonts w:ascii="Times New Roman" w:hAnsi="Times New Roman"/>
          <w:noProof/>
          <w:sz w:val="24"/>
        </w:rPr>
        <w:t xml:space="preserve">Durant la période de référence, des </w:t>
      </w:r>
      <w:r>
        <w:rPr>
          <w:rFonts w:ascii="Times New Roman" w:hAnsi="Times New Roman"/>
          <w:b/>
          <w:noProof/>
          <w:sz w:val="24"/>
        </w:rPr>
        <w:t>visites inopinées</w:t>
      </w:r>
      <w:r>
        <w:rPr>
          <w:rFonts w:ascii="Times New Roman" w:hAnsi="Times New Roman"/>
          <w:noProof/>
          <w:sz w:val="24"/>
        </w:rPr>
        <w:t xml:space="preserve"> ont eu lieu en Espagne, en Hongrie et en Pologne en ce qui concerne la gestion des frontières extérieures. Les conclusions des visites aux frontières extérieures de la Hongrie et de la P</w:t>
      </w:r>
      <w:r>
        <w:rPr>
          <w:rFonts w:ascii="Times New Roman" w:hAnsi="Times New Roman"/>
          <w:noProof/>
          <w:sz w:val="24"/>
        </w:rPr>
        <w:t>ologne sont actuellement finalisées au niveau des experts et envoyées aux États membres concernés pour commentaires. Sans préjuger des résultats de l’évaluation, on peut constater, d'une manière générale, que les contrôles aux frontières sur les sites visi</w:t>
      </w:r>
      <w:r>
        <w:rPr>
          <w:rFonts w:ascii="Times New Roman" w:hAnsi="Times New Roman"/>
          <w:noProof/>
          <w:sz w:val="24"/>
        </w:rPr>
        <w:t>tés étaient effectués conformément à l'acquis de Schengen, avec le niveau de professionnalisme requis. Les résultats de la visite en Espagne sont également en cours de finalisation au niveau des experts. Certains éléments du système de gestion des frontièr</w:t>
      </w:r>
      <w:r>
        <w:rPr>
          <w:rFonts w:ascii="Times New Roman" w:hAnsi="Times New Roman"/>
          <w:noProof/>
          <w:sz w:val="24"/>
        </w:rPr>
        <w:t>es à Algeciras doivent encore être pleinement mis en œuvre et tous les outils devraient être totalement opérationnels.</w:t>
      </w:r>
    </w:p>
    <w:p w:rsidR="00ED36B5" w:rsidRDefault="00064F4C">
      <w:pPr>
        <w:jc w:val="both"/>
        <w:rPr>
          <w:rFonts w:ascii="Times New Roman" w:hAnsi="Times New Roman"/>
          <w:noProof/>
          <w:sz w:val="24"/>
          <w:szCs w:val="24"/>
        </w:rPr>
      </w:pPr>
      <w:r>
        <w:rPr>
          <w:rFonts w:ascii="Times New Roman" w:hAnsi="Times New Roman"/>
          <w:noProof/>
          <w:sz w:val="24"/>
        </w:rPr>
        <w:t>Une visite inopinée a été effectuée en novembre aux frontières terrestre et maritime (Chios et Samos) entre la Grèce et la Turquie. Des e</w:t>
      </w:r>
      <w:r>
        <w:rPr>
          <w:rFonts w:ascii="Times New Roman" w:hAnsi="Times New Roman"/>
          <w:noProof/>
          <w:sz w:val="24"/>
        </w:rPr>
        <w:t>fforts supplémentaires doivent être consentis en ce qui concerne le retour des migrants en situation irrégulière et la prévention des mouvements secondaires.</w:t>
      </w:r>
    </w:p>
    <w:p w:rsidR="00ED36B5" w:rsidRDefault="00064F4C">
      <w:pPr>
        <w:jc w:val="both"/>
        <w:rPr>
          <w:rFonts w:ascii="Times New Roman" w:hAnsi="Times New Roman"/>
          <w:noProof/>
        </w:rPr>
      </w:pPr>
      <w:r>
        <w:rPr>
          <w:rFonts w:ascii="Times New Roman" w:hAnsi="Times New Roman"/>
          <w:noProof/>
          <w:sz w:val="24"/>
        </w:rPr>
        <w:t>Les conclusions de ces deux visites sont actuellement finalisées au niveau des experts. La Commiss</w:t>
      </w:r>
      <w:r>
        <w:rPr>
          <w:rFonts w:ascii="Times New Roman" w:hAnsi="Times New Roman"/>
          <w:noProof/>
          <w:sz w:val="24"/>
        </w:rPr>
        <w:t>ion continuera à suivre la situation de près, notamment l'évolution de la situation à la frontière entre la Grèce et l'ancienne République yougoslave de Macédoine. La source de tension potentielle que représente cette frontière s'est accrue, notamment en r</w:t>
      </w:r>
      <w:r>
        <w:rPr>
          <w:rFonts w:ascii="Times New Roman" w:hAnsi="Times New Roman"/>
          <w:noProof/>
          <w:sz w:val="24"/>
        </w:rPr>
        <w:t>aison de l’installation de clôtures pour gérer les frontières, de la décision prise par l’ancienne République yougoslave de Macédoine d'emboîter le pas à d'autres pays et de limiter le passage sur la base de la nationalité, ainsi que de sa faible participa</w:t>
      </w:r>
      <w:r>
        <w:rPr>
          <w:rFonts w:ascii="Times New Roman" w:hAnsi="Times New Roman"/>
          <w:noProof/>
          <w:sz w:val="24"/>
        </w:rPr>
        <w:t>tion aux actions bilatérales visant à instaurer un climat de confiance, même si les contacts quotidiens entre les administrations chargées des frontières se sont améliorés. Il a été décidé le 3 décembre que Frontex aiderait la Grèce à identifier et à enreg</w:t>
      </w:r>
      <w:r>
        <w:rPr>
          <w:rFonts w:ascii="Times New Roman" w:hAnsi="Times New Roman"/>
          <w:noProof/>
          <w:sz w:val="24"/>
        </w:rPr>
        <w:t>istrer les migrants à la frontière avec l'ancienne République yougoslave de Macédoine.</w:t>
      </w:r>
    </w:p>
    <w:p w:rsidR="00ED36B5" w:rsidRDefault="00064F4C">
      <w:pPr>
        <w:jc w:val="both"/>
        <w:rPr>
          <w:rFonts w:ascii="Times New Roman" w:hAnsi="Times New Roman"/>
          <w:noProof/>
          <w:sz w:val="24"/>
          <w:szCs w:val="24"/>
        </w:rPr>
      </w:pPr>
      <w:r>
        <w:rPr>
          <w:rFonts w:ascii="Times New Roman" w:hAnsi="Times New Roman"/>
          <w:noProof/>
          <w:sz w:val="24"/>
        </w:rPr>
        <w:t xml:space="preserve">En fonction des résultats des évaluations Schengen susmentionnées, des mesures spécifiques pourraient être recommandées, conformément à l'article 19 bis du CFS. </w:t>
      </w:r>
    </w:p>
    <w:p w:rsidR="00ED36B5" w:rsidRDefault="00064F4C">
      <w:pPr>
        <w:jc w:val="both"/>
        <w:rPr>
          <w:rFonts w:ascii="Times New Roman" w:hAnsi="Times New Roman"/>
          <w:noProof/>
          <w:sz w:val="24"/>
          <w:szCs w:val="24"/>
        </w:rPr>
      </w:pPr>
      <w:r>
        <w:rPr>
          <w:rFonts w:ascii="Times New Roman" w:hAnsi="Times New Roman"/>
          <w:noProof/>
          <w:sz w:val="24"/>
        </w:rPr>
        <w:t>S'il es</w:t>
      </w:r>
      <w:r>
        <w:rPr>
          <w:rFonts w:ascii="Times New Roman" w:hAnsi="Times New Roman"/>
          <w:noProof/>
          <w:sz w:val="24"/>
        </w:rPr>
        <w:t>t constaté qu'un État membre évalué néglige gravement ses obligations et ne prend pas de mesures suffisantes pour corriger la situation, l'application de l'article 26 du CFS (comme indiqué à la section 2.2 du présent rapport) peut être invoquée: cet articl</w:t>
      </w:r>
      <w:r>
        <w:rPr>
          <w:rFonts w:ascii="Times New Roman" w:hAnsi="Times New Roman"/>
          <w:noProof/>
          <w:sz w:val="24"/>
        </w:rPr>
        <w:t>e prévoit la possibilité de réintroduire les contrôles aux frontières intérieures en cas de menace pour le fonctionnement global de l'espace Schengen.</w:t>
      </w:r>
    </w:p>
    <w:p w:rsidR="00ED36B5" w:rsidRDefault="00064F4C">
      <w:pPr>
        <w:jc w:val="both"/>
        <w:rPr>
          <w:rFonts w:ascii="Times New Roman" w:hAnsi="Times New Roman"/>
          <w:noProof/>
          <w:sz w:val="24"/>
          <w:szCs w:val="24"/>
        </w:rPr>
      </w:pPr>
      <w:r>
        <w:rPr>
          <w:rFonts w:ascii="Times New Roman" w:hAnsi="Times New Roman"/>
          <w:noProof/>
          <w:sz w:val="24"/>
        </w:rPr>
        <w:t xml:space="preserve">Le mécanisme d’évaluation de Schengen prévoit aussi désormais des visites inopinées aux frontières </w:t>
      </w:r>
      <w:r>
        <w:rPr>
          <w:rFonts w:ascii="Times New Roman" w:hAnsi="Times New Roman"/>
          <w:noProof/>
          <w:sz w:val="24"/>
        </w:rPr>
        <w:t>intérieures. Les premières visites de ce type ont été effectuées en Lettonie (à sa frontière intérieure avec la Lituanie et dans le port de Riga) et à la frontière franco-allemande. La proposition de recommandation du Conseil faisant suite à cette dernière</w:t>
      </w:r>
      <w:r>
        <w:rPr>
          <w:rFonts w:ascii="Times New Roman" w:hAnsi="Times New Roman"/>
          <w:noProof/>
          <w:sz w:val="24"/>
        </w:rPr>
        <w:t xml:space="preserve"> visite est en cours de préparation et préconise d'apporter des améliorations mineures aux infrastructures. La visite effectuée en Lettonie n'a donné lieu à aucune recommandation. La dernière visite inopinée aux frontières intérieures a eu lieu en novembre</w:t>
      </w:r>
      <w:r>
        <w:rPr>
          <w:rFonts w:ascii="Times New Roman" w:hAnsi="Times New Roman"/>
          <w:noProof/>
          <w:sz w:val="24"/>
        </w:rPr>
        <w:t xml:space="preserve"> à la frontière entre la Suisse et l'Italie. Les conclusions sont en cours de finalisation au niveau des experts.</w:t>
      </w:r>
    </w:p>
    <w:p w:rsidR="00ED36B5" w:rsidRDefault="00064F4C">
      <w:pPr>
        <w:pStyle w:val="Heading1"/>
        <w:rPr>
          <w:noProof/>
          <w:szCs w:val="24"/>
        </w:rPr>
      </w:pPr>
      <w:r>
        <w:rPr>
          <w:noProof/>
        </w:rPr>
        <w:t>Conclusion</w:t>
      </w:r>
    </w:p>
    <w:p w:rsidR="00ED36B5" w:rsidRDefault="00064F4C">
      <w:pPr>
        <w:autoSpaceDE w:val="0"/>
        <w:autoSpaceDN w:val="0"/>
        <w:adjustRightInd w:val="0"/>
        <w:jc w:val="both"/>
        <w:rPr>
          <w:rFonts w:ascii="Times New Roman" w:hAnsi="Times New Roman"/>
          <w:noProof/>
          <w:sz w:val="24"/>
          <w:szCs w:val="24"/>
        </w:rPr>
      </w:pPr>
      <w:r>
        <w:rPr>
          <w:rFonts w:ascii="Times New Roman" w:hAnsi="Times New Roman"/>
          <w:noProof/>
          <w:sz w:val="24"/>
        </w:rPr>
        <w:t xml:space="preserve">La Commission a souligné à plusieurs reprises que le cadre de Schengen ne pouvait pas être tenu pour responsable de la crise </w:t>
      </w:r>
      <w:r>
        <w:rPr>
          <w:rFonts w:ascii="Times New Roman" w:hAnsi="Times New Roman"/>
          <w:noProof/>
          <w:sz w:val="24"/>
        </w:rPr>
        <w:t>actuelle. Bien au contraire, Schengen peut être une partie de la solution. Pour relever les deux grands défis auxquels l'espace Schengen est confronté — la crise des réfugiés et la menace terroriste — il faut mettre pleinement en œuvre les mesures qui figu</w:t>
      </w:r>
      <w:r>
        <w:rPr>
          <w:rFonts w:ascii="Times New Roman" w:hAnsi="Times New Roman"/>
          <w:noProof/>
          <w:sz w:val="24"/>
        </w:rPr>
        <w:t>rent déjà dans les deux séries de documents présentés par la Commission au printemps: le programme européen en matière de migrations et le programme européen en matière de sécurité. Ces programmes prévoient des mesures qui sont essentielles pour garantir l</w:t>
      </w:r>
      <w:r>
        <w:rPr>
          <w:rFonts w:ascii="Times New Roman" w:hAnsi="Times New Roman"/>
          <w:noProof/>
          <w:sz w:val="24"/>
        </w:rPr>
        <w:t>e bon fonctionnement de l'acquis et de l'espace Schengen. La Commission est convaincue de l'importance de mettre rapidement et efficacement en œuvre toutes les mesures contenues dans ces deux programmes.</w:t>
      </w:r>
    </w:p>
    <w:p w:rsidR="00ED36B5" w:rsidRDefault="00064F4C">
      <w:pPr>
        <w:autoSpaceDE w:val="0"/>
        <w:autoSpaceDN w:val="0"/>
        <w:adjustRightInd w:val="0"/>
        <w:jc w:val="both"/>
        <w:rPr>
          <w:rFonts w:ascii="Times New Roman" w:hAnsi="Times New Roman"/>
          <w:noProof/>
          <w:sz w:val="24"/>
          <w:szCs w:val="24"/>
        </w:rPr>
      </w:pPr>
      <w:r>
        <w:rPr>
          <w:rFonts w:ascii="Times New Roman" w:hAnsi="Times New Roman"/>
          <w:noProof/>
          <w:sz w:val="24"/>
        </w:rPr>
        <w:t>Une des conditions essentielles pour faire face à la</w:t>
      </w:r>
      <w:r>
        <w:rPr>
          <w:rFonts w:ascii="Times New Roman" w:hAnsi="Times New Roman"/>
          <w:noProof/>
          <w:sz w:val="24"/>
        </w:rPr>
        <w:t xml:space="preserve"> crise actuelle est de renforcer la protection des frontières extérieures de l'UE. Le nouveau mécanisme d’évaluation de Schengen permet de mieux identifier les lacunes et les faiblesses dans ce domaine et de recommander des solutions efficaces. Il existe p</w:t>
      </w:r>
      <w:r>
        <w:rPr>
          <w:rFonts w:ascii="Times New Roman" w:hAnsi="Times New Roman"/>
          <w:noProof/>
          <w:sz w:val="24"/>
        </w:rPr>
        <w:t>lusieurs autres instruments (tels que les centres de crise, les équipes d'intervention rapide aux frontières et les opérations communes) pour aider les États membres confrontés à une pression importante et ceux-ci ne doivent pas hésiter à en faire pleineme</w:t>
      </w:r>
      <w:r>
        <w:rPr>
          <w:rFonts w:ascii="Times New Roman" w:hAnsi="Times New Roman"/>
          <w:noProof/>
          <w:sz w:val="24"/>
        </w:rPr>
        <w:t>nt usage. Parallèlement à l'adoption de ce rapport, la Commission a proposé une modification ciblée du code frontières Schengen permettant de procéder à des vérifications systématiques de tous les voyageurs à toutes les frontières extérieures, en consultan</w:t>
      </w:r>
      <w:r>
        <w:rPr>
          <w:rFonts w:ascii="Times New Roman" w:hAnsi="Times New Roman"/>
          <w:noProof/>
          <w:sz w:val="24"/>
        </w:rPr>
        <w:t>t les bases de données pertinentes.</w:t>
      </w:r>
    </w:p>
    <w:p w:rsidR="00ED36B5" w:rsidRDefault="00064F4C">
      <w:pPr>
        <w:autoSpaceDE w:val="0"/>
        <w:autoSpaceDN w:val="0"/>
        <w:adjustRightInd w:val="0"/>
        <w:jc w:val="both"/>
        <w:rPr>
          <w:rFonts w:ascii="Times New Roman" w:hAnsi="Times New Roman"/>
          <w:noProof/>
          <w:sz w:val="24"/>
          <w:szCs w:val="24"/>
        </w:rPr>
      </w:pPr>
      <w:r>
        <w:rPr>
          <w:rFonts w:ascii="Times New Roman" w:hAnsi="Times New Roman"/>
          <w:noProof/>
          <w:sz w:val="24"/>
        </w:rPr>
        <w:t>Par ailleurs, dans les situations d’urgence où la charge pesant sur le corps national de garde-frontières des États membres les plus exposés est telle qu'ils sont dans l'impossibilité de la gérer, il est important que l'</w:t>
      </w:r>
      <w:r>
        <w:rPr>
          <w:rFonts w:ascii="Times New Roman" w:hAnsi="Times New Roman"/>
          <w:noProof/>
          <w:sz w:val="24"/>
        </w:rPr>
        <w:t xml:space="preserve">UE puisse intervenir rapidement pour répondre efficacement à la crise. Pour ce faire, la Commission (parallèlement à l'adoption de ce rapport) a présenté une proposition visant à mettre en place un corps européen de gardes-frontières et de garde-côtes. La </w:t>
      </w:r>
      <w:r>
        <w:rPr>
          <w:rFonts w:ascii="Times New Roman" w:hAnsi="Times New Roman"/>
          <w:noProof/>
          <w:sz w:val="24"/>
        </w:rPr>
        <w:t xml:space="preserve">nouvelle agence européenne de gardes-frontières et de garde-côtes, qui devrait remplacer et considérablement renforcer l'agence Frontex actuelle, et les autorités compétentes des États membres travailleront ensemble pour garantir la gestion intégrée et la </w:t>
      </w:r>
      <w:r>
        <w:rPr>
          <w:rFonts w:ascii="Times New Roman" w:hAnsi="Times New Roman"/>
          <w:noProof/>
          <w:sz w:val="24"/>
        </w:rPr>
        <w:t>protection des frontières extérieures de l'UE selon le principe de la responsabilité partagée.</w:t>
      </w:r>
    </w:p>
    <w:sectPr w:rsidR="00ED36B5">
      <w:headerReference w:type="even" r:id="rId16"/>
      <w:headerReference w:type="default" r:id="rId17"/>
      <w:footerReference w:type="even" r:id="rId18"/>
      <w:footerReference w:type="default" r:id="rId19"/>
      <w:headerReference w:type="first" r:id="rId20"/>
      <w:footerReference w:type="first" r:id="rId21"/>
      <w:pgSz w:w="11907" w:h="16839"/>
      <w:pgMar w:top="1134" w:right="1417" w:bottom="1134" w:left="1417"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36B5" w:rsidRDefault="00064F4C">
      <w:pPr>
        <w:spacing w:after="0" w:line="240" w:lineRule="auto"/>
      </w:pPr>
      <w:r>
        <w:separator/>
      </w:r>
    </w:p>
  </w:endnote>
  <w:endnote w:type="continuationSeparator" w:id="0">
    <w:p w:rsidR="00ED36B5" w:rsidRDefault="00064F4C">
      <w:pPr>
        <w:spacing w:after="0" w:line="240" w:lineRule="auto"/>
      </w:pPr>
      <w:r>
        <w:continuationSeparator/>
      </w:r>
    </w:p>
  </w:endnote>
  <w:endnote w:type="continuationNotice" w:id="1">
    <w:p w:rsidR="00ED36B5" w:rsidRDefault="00ED36B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F4C" w:rsidRPr="00064F4C" w:rsidRDefault="00064F4C" w:rsidP="00064F4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F4C" w:rsidRPr="00064F4C" w:rsidRDefault="00064F4C" w:rsidP="00064F4C">
    <w:pPr>
      <w:pStyle w:val="FooterCoverPage"/>
      <w:rPr>
        <w:rFonts w:ascii="Arial" w:hAnsi="Arial" w:cs="Arial"/>
        <w:b/>
        <w:sz w:val="48"/>
      </w:rPr>
    </w:pPr>
    <w:r w:rsidRPr="00064F4C">
      <w:rPr>
        <w:rFonts w:ascii="Arial" w:hAnsi="Arial" w:cs="Arial"/>
        <w:b/>
        <w:sz w:val="48"/>
      </w:rPr>
      <w:t>FR</w:t>
    </w:r>
    <w:r w:rsidRPr="00064F4C">
      <w:rPr>
        <w:rFonts w:ascii="Arial" w:hAnsi="Arial" w:cs="Arial"/>
        <w:b/>
        <w:sz w:val="48"/>
      </w:rPr>
      <w:tab/>
    </w:r>
    <w:r w:rsidRPr="00064F4C">
      <w:rPr>
        <w:rFonts w:ascii="Arial" w:hAnsi="Arial" w:cs="Arial"/>
        <w:b/>
        <w:sz w:val="48"/>
      </w:rPr>
      <w:tab/>
    </w:r>
    <w:fldSimple w:instr=" DOCVARIABLE &quot;LW_Confidence&quot; \* MERGEFORMAT ">
      <w:r>
        <w:t xml:space="preserve"> </w:t>
      </w:r>
    </w:fldSimple>
    <w:r w:rsidRPr="00064F4C">
      <w:tab/>
    </w:r>
    <w:r w:rsidRPr="00064F4C">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F4C" w:rsidRPr="00064F4C" w:rsidRDefault="00064F4C" w:rsidP="00064F4C">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36B5" w:rsidRDefault="00ED36B5">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36B5" w:rsidRDefault="00064F4C">
    <w:pPr>
      <w:pStyle w:val="Footer"/>
      <w:jc w:val="center"/>
    </w:pPr>
    <w:r>
      <w:fldChar w:fldCharType="begin"/>
    </w:r>
    <w:r>
      <w:instrText xml:space="preserve"> PAGE   \* MERGEFORMAT </w:instrText>
    </w:r>
    <w:r>
      <w:fldChar w:fldCharType="separate"/>
    </w:r>
    <w:r>
      <w:rPr>
        <w:noProof/>
      </w:rPr>
      <w:t>2</w:t>
    </w:r>
    <w:r>
      <w:fldChar w:fldCharType="end"/>
    </w:r>
  </w:p>
  <w:p w:rsidR="00ED36B5" w:rsidRDefault="00ED36B5">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36B5" w:rsidRDefault="00ED36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36B5" w:rsidRDefault="00064F4C">
      <w:pPr>
        <w:spacing w:after="0" w:line="240" w:lineRule="auto"/>
      </w:pPr>
      <w:r>
        <w:separator/>
      </w:r>
    </w:p>
  </w:footnote>
  <w:footnote w:type="continuationSeparator" w:id="0">
    <w:p w:rsidR="00ED36B5" w:rsidRDefault="00064F4C">
      <w:pPr>
        <w:spacing w:after="0" w:line="240" w:lineRule="auto"/>
      </w:pPr>
      <w:r>
        <w:continuationSeparator/>
      </w:r>
    </w:p>
  </w:footnote>
  <w:footnote w:type="continuationNotice" w:id="1">
    <w:p w:rsidR="00ED36B5" w:rsidRDefault="00ED36B5">
      <w:pPr>
        <w:spacing w:after="0" w:line="240" w:lineRule="auto"/>
      </w:pPr>
    </w:p>
  </w:footnote>
  <w:footnote w:id="2">
    <w:p w:rsidR="00ED36B5" w:rsidRDefault="00064F4C">
      <w:pPr>
        <w:pStyle w:val="FootnoteText"/>
        <w:tabs>
          <w:tab w:val="left" w:pos="739"/>
        </w:tabs>
      </w:pPr>
      <w:r>
        <w:rPr>
          <w:rStyle w:val="FootnoteReference"/>
        </w:rPr>
        <w:footnoteRef/>
      </w:r>
      <w:r>
        <w:t xml:space="preserve"> </w:t>
      </w:r>
      <w:r>
        <w:tab/>
        <w:t xml:space="preserve">COM(2011) 561 </w:t>
      </w:r>
      <w:proofErr w:type="gramStart"/>
      <w:r>
        <w:t>final</w:t>
      </w:r>
      <w:proofErr w:type="gramEnd"/>
      <w:r>
        <w:t xml:space="preserve">. </w:t>
      </w:r>
    </w:p>
  </w:footnote>
  <w:footnote w:id="3">
    <w:p w:rsidR="00ED36B5" w:rsidRDefault="00064F4C">
      <w:pPr>
        <w:pStyle w:val="FootnoteText"/>
      </w:pPr>
      <w:r>
        <w:rPr>
          <w:rStyle w:val="FootnoteReference"/>
        </w:rPr>
        <w:footnoteRef/>
      </w:r>
      <w:r>
        <w:t xml:space="preserve"> </w:t>
      </w:r>
      <w:r>
        <w:tab/>
        <w:t>Les chiffres pour la période de janvier à octobre 2015 (1 284 549) proviennent du réseau d'an</w:t>
      </w:r>
      <w:r>
        <w:t>alyse des risques de Frontex (FRAN) et portent sur l’espace Schengen et les pays candidats à Schengen. Ils n'incluent que les détections de ressortissants de pays tiers franchissant ou tentant de franchir les frontières extérieures (non temporaires) illéga</w:t>
      </w:r>
      <w:r>
        <w:t xml:space="preserve">lement entre deux points de passage frontaliers. Pour le mois de novembre, les données proviennent de la </w:t>
      </w:r>
      <w:r>
        <w:rPr>
          <w:i/>
        </w:rPr>
        <w:t>Joint Operations Reporting Application</w:t>
      </w:r>
      <w:r>
        <w:t xml:space="preserve"> (JORA) et du ministère de l’intérieur croate </w:t>
      </w:r>
      <w:hyperlink r:id="rId1">
        <w:r>
          <w:rPr>
            <w:rStyle w:val="Hyperlink"/>
          </w:rPr>
          <w:t>(http://www.mup.hr</w:t>
        </w:r>
        <w:r>
          <w:rPr>
            <w:rStyle w:val="Hyperlink"/>
          </w:rPr>
          <w:t>/219696.aspx)</w:t>
        </w:r>
      </w:hyperlink>
      <w:r>
        <w:t xml:space="preserve">. Des estimations ont été utilisées pour les routes à propos desquelles aucune donnée n’était encore disponible. </w:t>
      </w:r>
    </w:p>
  </w:footnote>
  <w:footnote w:id="4">
    <w:p w:rsidR="00ED36B5" w:rsidRDefault="00064F4C">
      <w:pPr>
        <w:pStyle w:val="FootnoteText"/>
      </w:pPr>
      <w:r>
        <w:rPr>
          <w:rStyle w:val="FootnoteReference"/>
        </w:rPr>
        <w:footnoteRef/>
      </w:r>
      <w:r>
        <w:t xml:space="preserve"> </w:t>
      </w:r>
      <w:r>
        <w:tab/>
        <w:t>Voir les rapports sur la mise en œuvre des centres de crise en Grèce (COM(2015) 678 final) et en Italie (COM(2015) 679 final).</w:t>
      </w:r>
    </w:p>
  </w:footnote>
  <w:footnote w:id="5">
    <w:p w:rsidR="00ED36B5" w:rsidRDefault="00064F4C">
      <w:pPr>
        <w:pStyle w:val="FootnoteText"/>
      </w:pPr>
      <w:r>
        <w:rPr>
          <w:rStyle w:val="FootnoteReference"/>
        </w:rPr>
        <w:footnoteRef/>
      </w:r>
      <w:r>
        <w:t xml:space="preserve"> </w:t>
      </w:r>
      <w:r>
        <w:tab/>
        <w:t xml:space="preserve">Décisions du Conseil (UE) n° 2015/1523 (JO L 239 du 15.9.2015, p. 146) et (UE) n° 2015/1601 (JO L 248 du 24.9.2015, p. 80). </w:t>
      </w:r>
    </w:p>
  </w:footnote>
  <w:footnote w:id="6">
    <w:p w:rsidR="00ED36B5" w:rsidRDefault="00064F4C">
      <w:pPr>
        <w:pStyle w:val="FootnoteText"/>
        <w:rPr>
          <w:lang w:val="pt-PT"/>
        </w:rPr>
      </w:pPr>
      <w:r>
        <w:rPr>
          <w:rStyle w:val="FootnoteReference"/>
        </w:rPr>
        <w:footnoteRef/>
      </w:r>
      <w:r>
        <w:rPr>
          <w:lang w:val="pt-PT"/>
        </w:rPr>
        <w:t xml:space="preserve"> </w:t>
      </w:r>
      <w:r>
        <w:rPr>
          <w:lang w:val="pt-PT"/>
        </w:rPr>
        <w:tab/>
      </w:r>
      <w:proofErr w:type="gramStart"/>
      <w:r>
        <w:rPr>
          <w:lang w:val="pt-PT"/>
        </w:rPr>
        <w:t>COM(2015</w:t>
      </w:r>
      <w:proofErr w:type="gramEnd"/>
      <w:r>
        <w:rPr>
          <w:lang w:val="pt-PT"/>
        </w:rPr>
        <w:t>) 236 final.</w:t>
      </w:r>
    </w:p>
  </w:footnote>
  <w:footnote w:id="7">
    <w:p w:rsidR="00ED36B5" w:rsidRDefault="00064F4C">
      <w:pPr>
        <w:pStyle w:val="FootnoteText"/>
        <w:rPr>
          <w:lang w:val="pt-PT"/>
        </w:rPr>
      </w:pPr>
      <w:r>
        <w:rPr>
          <w:rStyle w:val="FootnoteReference"/>
        </w:rPr>
        <w:footnoteRef/>
      </w:r>
      <w:r>
        <w:rPr>
          <w:lang w:val="pt-PT"/>
        </w:rPr>
        <w:t xml:space="preserve"> </w:t>
      </w:r>
      <w:r>
        <w:rPr>
          <w:lang w:val="pt-PT"/>
        </w:rPr>
        <w:tab/>
      </w:r>
      <w:proofErr w:type="gramStart"/>
      <w:r>
        <w:rPr>
          <w:lang w:val="pt-PT"/>
        </w:rPr>
        <w:t>Règlement (UE</w:t>
      </w:r>
      <w:proofErr w:type="gramEnd"/>
      <w:r>
        <w:rPr>
          <w:lang w:val="pt-PT"/>
        </w:rPr>
        <w:t>) n° 606/2013 (JO L 180 du 29.6.2013, p. 1).</w:t>
      </w:r>
    </w:p>
  </w:footnote>
  <w:footnote w:id="8">
    <w:p w:rsidR="00ED36B5" w:rsidRDefault="00064F4C">
      <w:pPr>
        <w:pStyle w:val="FootnoteText"/>
      </w:pPr>
      <w:r>
        <w:rPr>
          <w:rStyle w:val="FootnoteReference"/>
        </w:rPr>
        <w:footnoteRef/>
      </w:r>
      <w:r>
        <w:t xml:space="preserve"> </w:t>
      </w:r>
      <w:r>
        <w:tab/>
      </w:r>
      <w:r>
        <w:rPr>
          <w:rStyle w:val="Corpsdutexte"/>
          <w:rFonts w:ascii="Times New Roman" w:hAnsi="Times New Roman"/>
          <w:sz w:val="20"/>
        </w:rPr>
        <w:t>Données pour la période de janvier à oc</w:t>
      </w:r>
      <w:r>
        <w:rPr>
          <w:rStyle w:val="Corpsdutexte"/>
          <w:rFonts w:ascii="Times New Roman" w:hAnsi="Times New Roman"/>
          <w:sz w:val="20"/>
        </w:rPr>
        <w:t>tobre 2015, concernant les pays membres de l'espace Schengen et les pays candidats à Schengen ayant signalé au moins un cas d'entrée illégale.</w:t>
      </w:r>
      <w:r>
        <w:rPr>
          <w:rStyle w:val="Corpsdutexte"/>
          <w:rFonts w:ascii="Times New Roman" w:hAnsi="Times New Roman"/>
          <w:sz w:val="24"/>
        </w:rPr>
        <w:t xml:space="preserve"> </w:t>
      </w:r>
      <w:r>
        <w:t>Il n'est pas possible de comparer avec précision les données d’Eurodac (ensemble des relevés d'empreintes digital</w:t>
      </w:r>
      <w:r>
        <w:t>es pour la catégorie 2 ne comportant pas d'erreur et incluant tous les types de frontières extérieures) avec les données du FRAN  (</w:t>
      </w:r>
      <w:r>
        <w:rPr>
          <w:rStyle w:val="Corpsdutexte"/>
          <w:rFonts w:ascii="Times New Roman" w:hAnsi="Times New Roman"/>
          <w:sz w:val="20"/>
        </w:rPr>
        <w:t>concernant uniquement les entrées illégales aux frontières extérieures terrestres et maritimes</w:t>
      </w:r>
      <w:r>
        <w:t>). Aux fins du règlement Euroda</w:t>
      </w:r>
      <w:r>
        <w:t>c, seules sont relevées les empreintes digitales des personnes âgées de plus de 14 ans qui n’ont pas été renvoyées ni détenues pendant toute la période comprise entre leur arrestation et leur éloignement (voir l’article</w:t>
      </w:r>
      <w:r>
        <w:rPr>
          <w:sz w:val="24"/>
        </w:rPr>
        <w:t> </w:t>
      </w:r>
      <w:r>
        <w:t>14 pour plus de détails). En revanch</w:t>
      </w:r>
      <w:r>
        <w:t xml:space="preserve">e, les données établies par FRAN portent sur les entrées illégales de tous les ressortissants de pays tiers, </w:t>
      </w:r>
      <w:r>
        <w:rPr>
          <w:rStyle w:val="Corpsdutexte"/>
          <w:rFonts w:ascii="Times New Roman" w:hAnsi="Times New Roman"/>
          <w:sz w:val="20"/>
        </w:rPr>
        <w:t>comme expliqué dans la note de bas de page 2</w:t>
      </w:r>
      <w:r>
        <w:t>.</w:t>
      </w:r>
    </w:p>
  </w:footnote>
  <w:footnote w:id="9">
    <w:p w:rsidR="00ED36B5" w:rsidRDefault="00064F4C">
      <w:pPr>
        <w:pStyle w:val="FootnoteText"/>
      </w:pPr>
      <w:r>
        <w:rPr>
          <w:rStyle w:val="FootnoteReference"/>
        </w:rPr>
        <w:footnoteRef/>
      </w:r>
      <w:r>
        <w:t xml:space="preserve"> </w:t>
      </w:r>
      <w:r>
        <w:tab/>
        <w:t>Au cours de la période couverte par le présent rapport, la Commission a envoyé quatre avis motivés</w:t>
      </w:r>
      <w:r>
        <w:t>, 42 lettres de mise en demeure et huit courriers administratifs dans le domaine de l’asile concernant la mise en œuvre du règlement Eurodac, ainsi que la transposition et le respect de la refonte des directives relatives aux procédures d'asile et aux cond</w:t>
      </w:r>
      <w:r>
        <w:t>itions d'accueil.</w:t>
      </w:r>
    </w:p>
  </w:footnote>
  <w:footnote w:id="10">
    <w:p w:rsidR="00ED36B5" w:rsidRDefault="00064F4C">
      <w:pPr>
        <w:pStyle w:val="FootnoteText"/>
        <w:tabs>
          <w:tab w:val="left" w:pos="739"/>
        </w:tabs>
        <w:rPr>
          <w:i/>
        </w:rPr>
      </w:pPr>
      <w:r>
        <w:rPr>
          <w:rStyle w:val="FootnoteReference"/>
        </w:rPr>
        <w:footnoteRef/>
      </w:r>
      <w:r>
        <w:t xml:space="preserve"> </w:t>
      </w:r>
      <w:r>
        <w:tab/>
        <w:t xml:space="preserve">COM(2015) 453 </w:t>
      </w:r>
      <w:proofErr w:type="gramStart"/>
      <w:r>
        <w:t>final</w:t>
      </w:r>
      <w:proofErr w:type="gramEnd"/>
      <w:r>
        <w:t>.</w:t>
      </w:r>
    </w:p>
  </w:footnote>
  <w:footnote w:id="11">
    <w:p w:rsidR="00ED36B5" w:rsidRDefault="00064F4C">
      <w:pPr>
        <w:pStyle w:val="FootnoteText"/>
      </w:pPr>
      <w:r>
        <w:rPr>
          <w:rStyle w:val="FootnoteReference"/>
        </w:rPr>
        <w:footnoteRef/>
      </w:r>
      <w:r>
        <w:t xml:space="preserve"> </w:t>
      </w:r>
      <w:r>
        <w:tab/>
        <w:t>Recommandation C(2015) 6250 final de la Commission du 1.10.2015.</w:t>
      </w:r>
    </w:p>
  </w:footnote>
  <w:footnote w:id="12">
    <w:p w:rsidR="00ED36B5" w:rsidRDefault="00064F4C">
      <w:pPr>
        <w:pStyle w:val="FootnoteText"/>
      </w:pPr>
      <w:r>
        <w:rPr>
          <w:rStyle w:val="FootnoteReference"/>
        </w:rPr>
        <w:footnoteRef/>
      </w:r>
      <w:r>
        <w:t xml:space="preserve"> </w:t>
      </w:r>
      <w:r>
        <w:tab/>
        <w:t xml:space="preserve">Depuis 2011, à la suite des arrêts de la Cour de justice et de la CEDH, les transferts au titre de Dublin vers la Grèce ont été suspendus, les </w:t>
      </w:r>
      <w:r>
        <w:t>défaillances persistantes du régime d'asile grec rendant ces mesures contraires aux droits fondamentaux de la personne. La Commission a mobilisé des ressources importantes pour aider la Grèce à surmonter ces problèmes. Si toutes les conditions sont remplie</w:t>
      </w:r>
      <w:r>
        <w:t>s, elle recommandera au Conseil européen de confirmer la reprise des transferts au titre de Dublin.</w:t>
      </w:r>
    </w:p>
  </w:footnote>
  <w:footnote w:id="13">
    <w:p w:rsidR="00ED36B5" w:rsidRDefault="00064F4C">
      <w:pPr>
        <w:pStyle w:val="FootnoteText"/>
      </w:pPr>
      <w:r>
        <w:rPr>
          <w:rStyle w:val="FootnoteReference"/>
        </w:rPr>
        <w:footnoteRef/>
      </w:r>
      <w:r>
        <w:t xml:space="preserve"> </w:t>
      </w:r>
      <w:r>
        <w:tab/>
        <w:t>Avis de la Commission C(2015) 7100 final du 23.10.2015.</w:t>
      </w:r>
    </w:p>
  </w:footnote>
  <w:footnote w:id="14">
    <w:p w:rsidR="00ED36B5" w:rsidRDefault="00064F4C">
      <w:pPr>
        <w:pStyle w:val="FootnoteText"/>
      </w:pPr>
      <w:r>
        <w:rPr>
          <w:rStyle w:val="FootnoteReference"/>
        </w:rPr>
        <w:footnoteRef/>
      </w:r>
      <w:r>
        <w:t xml:space="preserve"> </w:t>
      </w:r>
      <w:r>
        <w:tab/>
        <w:t xml:space="preserve">La Slovénie a levé les contrôles aux frontières intérieures avant l’adoption de cet avis. La </w:t>
      </w:r>
      <w:r>
        <w:t>Hongrie a introduit des contrôles aux frontières pour une durée de 10 jours, le 17</w:t>
      </w:r>
      <w:r>
        <w:rPr>
          <w:sz w:val="24"/>
        </w:rPr>
        <w:t> </w:t>
      </w:r>
      <w:r>
        <w:t>octobre 2015. La Suède a réintroduit les contrôles aux frontières le 12 novembre pour une période initiale de 10 jours. Comme elle l'a notifié à l’occasion de la dernière pr</w:t>
      </w:r>
      <w:r>
        <w:t>orogation, ces contrôles se poursuivront au moins jusqu’au 20 décembre. La Norvège a réintroduit les contrôles aux frontières du 26 novembre au 6 décembre et les a prolongés jusqu’au 26 décembre.</w:t>
      </w:r>
    </w:p>
  </w:footnote>
  <w:footnote w:id="15">
    <w:p w:rsidR="00ED36B5" w:rsidRDefault="00064F4C">
      <w:pPr>
        <w:pStyle w:val="FootnoteText"/>
        <w:rPr>
          <w:lang w:val="pt-PT"/>
        </w:rPr>
      </w:pPr>
      <w:r>
        <w:rPr>
          <w:rStyle w:val="FootnoteReference"/>
        </w:rPr>
        <w:footnoteRef/>
      </w:r>
      <w:r>
        <w:rPr>
          <w:lang w:val="pt-PT"/>
        </w:rPr>
        <w:t xml:space="preserve"> </w:t>
      </w:r>
      <w:r>
        <w:rPr>
          <w:lang w:val="pt-PT"/>
        </w:rPr>
        <w:tab/>
      </w:r>
      <w:proofErr w:type="gramStart"/>
      <w:r>
        <w:rPr>
          <w:lang w:val="pt-PT"/>
        </w:rPr>
        <w:t>COM(2015</w:t>
      </w:r>
      <w:proofErr w:type="gramEnd"/>
      <w:r>
        <w:rPr>
          <w:lang w:val="pt-PT"/>
        </w:rPr>
        <w:t>) 673 final et COM(2015) 671 final.</w:t>
      </w:r>
    </w:p>
  </w:footnote>
  <w:footnote w:id="16">
    <w:p w:rsidR="00ED36B5" w:rsidRDefault="00064F4C">
      <w:pPr>
        <w:pStyle w:val="FootnoteText"/>
      </w:pPr>
      <w:r>
        <w:rPr>
          <w:rStyle w:val="FootnoteReference"/>
        </w:rPr>
        <w:footnoteRef/>
      </w:r>
      <w:r>
        <w:t xml:space="preserve"> </w:t>
      </w:r>
      <w:r>
        <w:tab/>
        <w:t xml:space="preserve">Règlement </w:t>
      </w:r>
      <w:r>
        <w:t>(UE) n° 1052/2013 (JO L 295 du 6.11.2013, p. 11).</w:t>
      </w:r>
    </w:p>
  </w:footnote>
  <w:footnote w:id="17">
    <w:p w:rsidR="00ED36B5" w:rsidRDefault="00064F4C">
      <w:pPr>
        <w:pStyle w:val="FootnoteText"/>
      </w:pPr>
      <w:r>
        <w:rPr>
          <w:rStyle w:val="FootnoteReference"/>
        </w:rPr>
        <w:footnoteRef/>
      </w:r>
      <w:r>
        <w:t xml:space="preserve"> </w:t>
      </w:r>
      <w:r>
        <w:tab/>
        <w:t xml:space="preserve">COM(2015) 185. </w:t>
      </w:r>
    </w:p>
  </w:footnote>
  <w:footnote w:id="18">
    <w:p w:rsidR="00ED36B5" w:rsidRDefault="00064F4C">
      <w:pPr>
        <w:pStyle w:val="FootnoteText"/>
      </w:pPr>
      <w:r>
        <w:rPr>
          <w:rStyle w:val="FootnoteReference"/>
        </w:rPr>
        <w:footnoteRef/>
      </w:r>
      <w:r>
        <w:t xml:space="preserve"> </w:t>
      </w:r>
      <w:r>
        <w:tab/>
        <w:t>Décision 2007/533/JAI du Conseil (JO L 205 du 7.8.2007, p. 63).</w:t>
      </w:r>
    </w:p>
  </w:footnote>
  <w:footnote w:id="19">
    <w:p w:rsidR="00ED36B5" w:rsidRDefault="00064F4C">
      <w:pPr>
        <w:pStyle w:val="FootnoteText"/>
      </w:pPr>
      <w:r>
        <w:rPr>
          <w:rStyle w:val="FootnoteReference"/>
        </w:rPr>
        <w:footnoteRef/>
      </w:r>
      <w:r>
        <w:t xml:space="preserve"> </w:t>
      </w:r>
      <w:r>
        <w:tab/>
        <w:t xml:space="preserve">SIRENE signifie «Supplementary Information Request at National Entry» ou «supplément d'information requis à l'entrée </w:t>
      </w:r>
      <w:r>
        <w:t>nationale».</w:t>
      </w:r>
    </w:p>
  </w:footnote>
  <w:footnote w:id="20">
    <w:p w:rsidR="00ED36B5" w:rsidRDefault="00064F4C">
      <w:pPr>
        <w:pStyle w:val="FootnoteText"/>
      </w:pPr>
      <w:r>
        <w:rPr>
          <w:rStyle w:val="FootnoteReference"/>
        </w:rPr>
        <w:footnoteRef/>
      </w:r>
      <w:r>
        <w:t xml:space="preserve"> </w:t>
      </w:r>
      <w:r>
        <w:tab/>
        <w:t>Décision d'exécution (UE) 2015/219 de la Commission (JO L 44 du 18.2.2015, p. 75).</w:t>
      </w:r>
    </w:p>
  </w:footnote>
  <w:footnote w:id="21">
    <w:p w:rsidR="00ED36B5" w:rsidRDefault="00064F4C">
      <w:pPr>
        <w:pStyle w:val="FootnoteText"/>
      </w:pPr>
      <w:r>
        <w:rPr>
          <w:rStyle w:val="FootnoteReference"/>
        </w:rPr>
        <w:footnoteRef/>
      </w:r>
      <w:r>
        <w:t xml:space="preserve"> </w:t>
      </w:r>
      <w:r>
        <w:tab/>
        <w:t>Pour en savoir plus, voir la section 4.1 du 7</w:t>
      </w:r>
      <w:r>
        <w:rPr>
          <w:vertAlign w:val="superscript"/>
        </w:rPr>
        <w:t>e</w:t>
      </w:r>
      <w:r>
        <w:t xml:space="preserve"> rapport semestriel sur le fonctionnement de l’espace Schengen (COM(2015) 236 final).</w:t>
      </w:r>
    </w:p>
  </w:footnote>
  <w:footnote w:id="22">
    <w:p w:rsidR="00ED36B5" w:rsidRDefault="00064F4C">
      <w:pPr>
        <w:pStyle w:val="FootnoteText"/>
        <w:rPr>
          <w:lang w:val="en-US"/>
        </w:rPr>
      </w:pPr>
      <w:r>
        <w:rPr>
          <w:rStyle w:val="FootnoteReference"/>
        </w:rPr>
        <w:footnoteRef/>
      </w:r>
      <w:r>
        <w:t xml:space="preserve"> </w:t>
      </w:r>
      <w:r>
        <w:tab/>
        <w:t xml:space="preserve">COM(2015) 670 </w:t>
      </w:r>
      <w:proofErr w:type="gramStart"/>
      <w:r>
        <w:t>final</w:t>
      </w:r>
      <w:proofErr w:type="gramEnd"/>
      <w:r>
        <w:t>.</w:t>
      </w:r>
    </w:p>
  </w:footnote>
  <w:footnote w:id="23">
    <w:p w:rsidR="00ED36B5" w:rsidRDefault="00064F4C">
      <w:pPr>
        <w:autoSpaceDE w:val="0"/>
        <w:autoSpaceDN w:val="0"/>
        <w:adjustRightInd w:val="0"/>
        <w:spacing w:after="0" w:line="240" w:lineRule="auto"/>
        <w:rPr>
          <w:rFonts w:ascii="Times New Roman" w:hAnsi="Times New Roman"/>
          <w:sz w:val="20"/>
          <w:szCs w:val="20"/>
        </w:rPr>
      </w:pPr>
      <w:r>
        <w:rPr>
          <w:rStyle w:val="FootnoteReference"/>
          <w:rFonts w:ascii="Times New Roman" w:hAnsi="Times New Roman"/>
          <w:sz w:val="20"/>
        </w:rPr>
        <w:footnoteRef/>
      </w:r>
      <w:r>
        <w:rPr>
          <w:rFonts w:ascii="Times New Roman" w:hAnsi="Times New Roman"/>
          <w:sz w:val="20"/>
        </w:rPr>
        <w:t xml:space="preserve"> </w:t>
      </w:r>
      <w:r>
        <w:tab/>
      </w:r>
      <w:r>
        <w:rPr>
          <w:rFonts w:ascii="Times New Roman" w:hAnsi="Times New Roman"/>
          <w:sz w:val="20"/>
        </w:rPr>
        <w:t>Voir la section 4.1 du COM(2014) 711 final et le COM(2015) 236 final.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F4C" w:rsidRPr="00064F4C" w:rsidRDefault="00064F4C" w:rsidP="00064F4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F4C" w:rsidRPr="00064F4C" w:rsidRDefault="00064F4C" w:rsidP="00064F4C">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F4C" w:rsidRPr="00064F4C" w:rsidRDefault="00064F4C" w:rsidP="00064F4C">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36B5" w:rsidRDefault="00ED36B5">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36B5" w:rsidRDefault="00ED36B5">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36B5" w:rsidRDefault="00ED36B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A12FA4"/>
    <w:multiLevelType w:val="multilevel"/>
    <w:tmpl w:val="428ECF3E"/>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6521"/>
        </w:tabs>
        <w:ind w:left="6521"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hideSpellingErrors/>
  <w:hideGrammaticalErrors/>
  <w:proofState w:grammar="clean"/>
  <w:doNotTrackMoves/>
  <w:defaultTabStop w:val="284"/>
  <w:hyphenationZone w:val="425"/>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VERPAGE_EXISTS" w:val="True"/>
    <w:docVar w:name="DocStatus" w:val="Green"/>
    <w:docVar w:name="LW_CONFIDENCE" w:val=" "/>
    <w:docVar w:name="LW_CONST_RESTREINT_UE" w:val="RESTREINT UE/EU RESTRICTED"/>
    <w:docVar w:name="LW_CORRIGENDUM" w:val="&lt;UNUSED&gt;"/>
    <w:docVar w:name="LW_COVERPAGE_GUID" w:val="B204A56B6A3346BD9B1CF97DCAEBA6E6"/>
    <w:docVar w:name="LW_CROSSREFERENCE" w:val="&lt;UNUSED&gt;"/>
    <w:docVar w:name="LW_DocType" w:val="NORMAL"/>
    <w:docVar w:name="LW_EMISSION" w:val="15.12.2015"/>
    <w:docVar w:name="LW_EMISSION_ISODATE" w:val="2015-12-15"/>
    <w:docVar w:name="LW_EMISSION_LOCATION" w:val="STR"/>
    <w:docVar w:name="LW_EMISSION_PREFIX" w:val="Strasbourg, le "/>
    <w:docVar w:name="LW_EMISSION_SUFFIX" w:val=" "/>
    <w:docVar w:name="LW_ID_DOCTYPE_NONLW" w:val="CP-012"/>
    <w:docVar w:name="LW_LANGUE" w:val="FR"/>
    <w:docVar w:name="LW_MARKING" w:val="&lt;UNUSED&g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5) 675"/>
    <w:docVar w:name="LW_REF.INTERNE" w:val="&lt;UNUSED&gt;"/>
    <w:docVar w:name="LW_SOUS.TITRE.OBJ" w:val="1er mai \u8211? 10 décembre 2015"/>
    <w:docVar w:name="LW_SOUS.TITRE.OBJ.CP" w:val="1er mai \u8211? 10 décembre 2015"/>
    <w:docVar w:name="LW_SUPERTITRE" w:val="&lt;UNUSED&gt;"/>
    <w:docVar w:name="LW_TITRE.OBJ.CP" w:val="8e rapport semestriel sur le fonctionnement de l\u8217?espace Schengen_x000b__x000b_"/>
    <w:docVar w:name="LW_TYPE.DOC.CP" w:val="COMMUNICATION DE LA COMMISSION AU PARLEMENT EUROPÉEN ET AU CONSEIL"/>
    <w:docVar w:name="LW_TYPE.DOC.CP.USERTEXT" w:val="&lt;EMPTY&gt;"/>
    <w:docVar w:name="Stamp" w:val="\\dossiers.dgt.cec.eu.int\dossiers\HOME\HOME-2015-00774\HOME-2015-00774-00-00-EN-REV-00.DOC"/>
  </w:docVars>
  <w:rsids>
    <w:rsidRoot w:val="00ED36B5"/>
    <w:rsid w:val="00064F4C"/>
    <w:rsid w:val="00ED36B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qFormat/>
    <w:pPr>
      <w:keepNext/>
      <w:numPr>
        <w:numId w:val="1"/>
      </w:numPr>
      <w:spacing w:before="360" w:after="120" w:line="240" w:lineRule="auto"/>
      <w:jc w:val="both"/>
      <w:outlineLvl w:val="0"/>
    </w:pPr>
    <w:rPr>
      <w:rFonts w:ascii="Times New Roman" w:eastAsia="Times New Roman" w:hAnsi="Times New Roman"/>
      <w:b/>
      <w:bCs/>
      <w:smallCaps/>
      <w:sz w:val="24"/>
      <w:szCs w:val="32"/>
    </w:rPr>
  </w:style>
  <w:style w:type="paragraph" w:styleId="Heading2">
    <w:name w:val="heading 2"/>
    <w:basedOn w:val="Normal"/>
    <w:next w:val="Normal"/>
    <w:link w:val="Heading2Char"/>
    <w:qFormat/>
    <w:pPr>
      <w:keepNext/>
      <w:numPr>
        <w:ilvl w:val="1"/>
        <w:numId w:val="1"/>
      </w:numPr>
      <w:spacing w:before="120" w:after="120" w:line="240" w:lineRule="auto"/>
      <w:jc w:val="both"/>
      <w:outlineLvl w:val="1"/>
    </w:pPr>
    <w:rPr>
      <w:rFonts w:ascii="Times New Roman" w:eastAsia="Times New Roman" w:hAnsi="Times New Roman"/>
      <w:b/>
      <w:bCs/>
      <w:iCs/>
      <w:sz w:val="24"/>
      <w:szCs w:val="28"/>
    </w:rPr>
  </w:style>
  <w:style w:type="paragraph" w:styleId="Heading3">
    <w:name w:val="heading 3"/>
    <w:basedOn w:val="Normal"/>
    <w:next w:val="Normal"/>
    <w:link w:val="Heading3Char"/>
    <w:qFormat/>
    <w:pPr>
      <w:keepNext/>
      <w:numPr>
        <w:ilvl w:val="2"/>
        <w:numId w:val="1"/>
      </w:numPr>
      <w:spacing w:before="120" w:after="120" w:line="240" w:lineRule="auto"/>
      <w:jc w:val="both"/>
      <w:outlineLvl w:val="2"/>
    </w:pPr>
    <w:rPr>
      <w:rFonts w:ascii="Times New Roman" w:eastAsia="Times New Roman" w:hAnsi="Times New Roman"/>
      <w:bCs/>
      <w:i/>
      <w:sz w:val="24"/>
      <w:szCs w:val="26"/>
    </w:rPr>
  </w:style>
  <w:style w:type="paragraph" w:styleId="Heading4">
    <w:name w:val="heading 4"/>
    <w:basedOn w:val="Normal"/>
    <w:next w:val="Normal"/>
    <w:link w:val="Heading4Char"/>
    <w:qFormat/>
    <w:pPr>
      <w:keepNext/>
      <w:numPr>
        <w:ilvl w:val="3"/>
        <w:numId w:val="1"/>
      </w:numPr>
      <w:spacing w:before="120" w:after="120" w:line="240" w:lineRule="auto"/>
      <w:jc w:val="both"/>
      <w:outlineLvl w:val="3"/>
    </w:pPr>
    <w:rPr>
      <w:rFonts w:ascii="Times New Roman" w:eastAsia="Times New Roman" w:hAnsi="Times New Roman"/>
      <w:bCs/>
      <w:sz w:val="24"/>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rPr>
      <w:sz w:val="22"/>
      <w:szCs w:val="22"/>
      <w:lang w:eastAsia="fr-FR"/>
    </w:rPr>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rPr>
      <w:sz w:val="22"/>
      <w:szCs w:val="22"/>
      <w:lang w:eastAsia="fr-FR"/>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szCs w:val="20"/>
    </w:rPr>
  </w:style>
  <w:style w:type="character" w:customStyle="1" w:styleId="FooterCoverPageChar">
    <w:name w:val="Footer Cover Page Char"/>
    <w:link w:val="FooterCoverPage"/>
    <w:rPr>
      <w:rFonts w:ascii="Times New Roman" w:hAnsi="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szCs w:val="20"/>
    </w:rPr>
  </w:style>
  <w:style w:type="character" w:customStyle="1" w:styleId="HeaderCoverPageChar">
    <w:name w:val="Header Cover Page Char"/>
    <w:link w:val="HeaderCoverPage"/>
    <w:rPr>
      <w:rFonts w:ascii="Times New Roman" w:hAnsi="Times New Roman"/>
      <w:sz w:val="24"/>
    </w:rPr>
  </w:style>
  <w:style w:type="character" w:customStyle="1" w:styleId="Heading1Char">
    <w:name w:val="Heading 1 Char"/>
    <w:link w:val="Heading1"/>
    <w:rPr>
      <w:rFonts w:ascii="Times New Roman" w:eastAsia="Times New Roman" w:hAnsi="Times New Roman"/>
      <w:b/>
      <w:bCs/>
      <w:smallCaps/>
      <w:sz w:val="24"/>
      <w:szCs w:val="32"/>
      <w:lang w:val="fr-FR" w:eastAsia="fr-FR"/>
    </w:rPr>
  </w:style>
  <w:style w:type="character" w:customStyle="1" w:styleId="Heading2Char">
    <w:name w:val="Heading 2 Char"/>
    <w:link w:val="Heading2"/>
    <w:rPr>
      <w:rFonts w:ascii="Times New Roman" w:eastAsia="Times New Roman" w:hAnsi="Times New Roman"/>
      <w:b/>
      <w:bCs/>
      <w:iCs/>
      <w:sz w:val="24"/>
      <w:szCs w:val="28"/>
      <w:lang w:val="fr-FR" w:eastAsia="fr-FR"/>
    </w:rPr>
  </w:style>
  <w:style w:type="character" w:customStyle="1" w:styleId="Heading3Char">
    <w:name w:val="Heading 3 Char"/>
    <w:link w:val="Heading3"/>
    <w:rPr>
      <w:rFonts w:ascii="Times New Roman" w:eastAsia="Times New Roman" w:hAnsi="Times New Roman"/>
      <w:bCs/>
      <w:i/>
      <w:sz w:val="24"/>
      <w:szCs w:val="26"/>
      <w:lang w:val="fr-FR" w:eastAsia="fr-FR"/>
    </w:rPr>
  </w:style>
  <w:style w:type="character" w:customStyle="1" w:styleId="Heading4Char">
    <w:name w:val="Heading 4 Char"/>
    <w:link w:val="Heading4"/>
    <w:rPr>
      <w:rFonts w:ascii="Times New Roman" w:eastAsia="Times New Roman" w:hAnsi="Times New Roman"/>
      <w:bCs/>
      <w:sz w:val="24"/>
      <w:szCs w:val="28"/>
      <w:lang w:val="fr-FR" w:eastAsia="fr-FR"/>
    </w:rPr>
  </w:style>
  <w:style w:type="paragraph" w:styleId="FootnoteText">
    <w:name w:val="footnote text"/>
    <w:aliases w:val="Footnote TextCSR,Fußnotentextf,Note de bas de page Car Car Car Car Car Car Car Car Car Car,Note de bas de page Car Car Car Car,Note de bas de page Car Car Car Car Car Car Car Car Car,ft,Footnote,Fußnote, Char Char Car,fn"/>
    <w:basedOn w:val="Normal"/>
    <w:link w:val="FootnoteTextChar1"/>
    <w:uiPriority w:val="99"/>
    <w:pPr>
      <w:spacing w:after="0" w:line="240" w:lineRule="auto"/>
      <w:ind w:left="720" w:hanging="720"/>
      <w:jc w:val="both"/>
    </w:pPr>
    <w:rPr>
      <w:rFonts w:ascii="Times New Roman" w:eastAsia="Times New Roman" w:hAnsi="Times New Roman"/>
      <w:sz w:val="20"/>
      <w:szCs w:val="20"/>
    </w:rPr>
  </w:style>
  <w:style w:type="character" w:customStyle="1" w:styleId="FootnoteTextChar">
    <w:name w:val="Footnote Text Char"/>
    <w:uiPriority w:val="99"/>
    <w:semiHidden/>
    <w:rPr>
      <w:rFonts w:ascii="Times New Roman" w:eastAsia="Times New Roman" w:hAnsi="Times New Roman" w:cs="Times New Roman"/>
      <w:sz w:val="20"/>
      <w:szCs w:val="20"/>
      <w:lang w:val="fr-FR"/>
    </w:rPr>
  </w:style>
  <w:style w:type="character" w:styleId="FootnoteReference">
    <w:name w:val="footnote reference"/>
    <w:aliases w:val="Footnote Reference Superscript,BVI fnr,Footnote symbol, BVI fnr,Footnote symboFußnotenzeichen,Footnote sign,Footnote Reference text,SUPERS,Footnote reference number,note TESI,-E Fußnotenzeichen,number,(Footnote Reference),Times 10 Poi"/>
    <w:uiPriority w:val="99"/>
    <w:rPr>
      <w:shd w:val="clear" w:color="auto" w:fill="auto"/>
      <w:vertAlign w:val="superscript"/>
    </w:rPr>
  </w:style>
  <w:style w:type="character" w:customStyle="1" w:styleId="Corpsdutexte">
    <w:name w:val="Corps du texte_"/>
    <w:uiPriority w:val="99"/>
    <w:rPr>
      <w:rFonts w:ascii="Arial" w:hAnsi="Arial" w:cs="Arial"/>
      <w:sz w:val="15"/>
      <w:szCs w:val="15"/>
      <w:shd w:val="clear" w:color="auto" w:fill="FFFFFF"/>
    </w:r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pPr>
      <w:spacing w:before="120" w:after="120" w:line="240" w:lineRule="auto"/>
      <w:jc w:val="both"/>
    </w:pPr>
    <w:rPr>
      <w:rFonts w:ascii="Times New Roman" w:eastAsia="Times New Roman" w:hAnsi="Times New Roman"/>
      <w:sz w:val="20"/>
      <w:szCs w:val="20"/>
    </w:rPr>
  </w:style>
  <w:style w:type="character" w:customStyle="1" w:styleId="CommentTextChar">
    <w:name w:val="Comment Text Char"/>
    <w:link w:val="CommentText"/>
    <w:uiPriority w:val="99"/>
    <w:rPr>
      <w:rFonts w:ascii="Times New Roman" w:eastAsia="Times New Roman" w:hAnsi="Times New Roman" w:cs="Times New Roman"/>
      <w:sz w:val="20"/>
      <w:szCs w:val="20"/>
      <w:lang w:val="fr-FR"/>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styleId="Revision">
    <w:name w:val="Revision"/>
    <w:hidden/>
    <w:uiPriority w:val="99"/>
    <w:semiHidden/>
    <w:rPr>
      <w:sz w:val="22"/>
      <w:szCs w:val="22"/>
    </w:rPr>
  </w:style>
  <w:style w:type="paragraph" w:styleId="CommentSubject">
    <w:name w:val="annotation subject"/>
    <w:basedOn w:val="CommentText"/>
    <w:next w:val="CommentText"/>
    <w:link w:val="CommentSubjectChar"/>
    <w:uiPriority w:val="99"/>
    <w:semiHidden/>
    <w:unhideWhenUsed/>
    <w:pPr>
      <w:spacing w:before="0" w:after="200" w:line="276" w:lineRule="auto"/>
      <w:jc w:val="left"/>
    </w:pPr>
    <w:rPr>
      <w:rFonts w:ascii="Calibri" w:eastAsia="Calibri" w:hAnsi="Calibri"/>
      <w:b/>
      <w:bCs/>
    </w:rPr>
  </w:style>
  <w:style w:type="character" w:customStyle="1" w:styleId="CommentSubjectChar">
    <w:name w:val="Comment Subject Char"/>
    <w:link w:val="CommentSubject"/>
    <w:uiPriority w:val="99"/>
    <w:semiHidden/>
    <w:rPr>
      <w:rFonts w:ascii="Times New Roman" w:eastAsia="Times New Roman" w:hAnsi="Times New Roman" w:cs="Times New Roman"/>
      <w:b/>
      <w:bCs/>
      <w:sz w:val="20"/>
      <w:szCs w:val="20"/>
      <w:lang w:val="fr-FR" w:eastAsia="fr-FR"/>
    </w:rPr>
  </w:style>
  <w:style w:type="paragraph" w:customStyle="1" w:styleId="Default">
    <w:name w:val="Default"/>
    <w:pPr>
      <w:autoSpaceDE w:val="0"/>
      <w:autoSpaceDN w:val="0"/>
      <w:adjustRightInd w:val="0"/>
    </w:pPr>
    <w:rPr>
      <w:rFonts w:ascii="Times New Roman" w:hAnsi="Times New Roman"/>
      <w:color w:val="000000"/>
      <w:sz w:val="24"/>
      <w:szCs w:val="24"/>
    </w:rPr>
  </w:style>
  <w:style w:type="character" w:customStyle="1" w:styleId="FootnoteTextChar1">
    <w:name w:val="Footnote Text Char1"/>
    <w:aliases w:val="Footnote TextCSR Char,Fußnotentextf Char,Note de bas de page Car Car Car Car Car Car Car Car Car Car Char,Note de bas de page Car Car Car Car Char,Note de bas de page Car Car Car Car Car Car Car Car Car Char,ft Char,Footnote Char"/>
    <w:link w:val="FootnoteText"/>
    <w:uiPriority w:val="99"/>
    <w:locked/>
    <w:rPr>
      <w:rFonts w:ascii="Times New Roman" w:eastAsia="Times New Roman" w:hAnsi="Times New Roman"/>
      <w:lang w:val="fr-FR" w:eastAsia="fr-FR"/>
    </w:rPr>
  </w:style>
  <w:style w:type="character" w:styleId="Hyperlink">
    <w:name w:val="Hyperlink"/>
    <w:basedOn w:val="DefaultParagraphFont"/>
    <w:uiPriority w:val="99"/>
    <w:semiHidden/>
    <w:unhideWhenUsed/>
    <w:rPr>
      <w:color w:val="0563C1"/>
      <w:u w:val="single"/>
    </w:rPr>
  </w:style>
  <w:style w:type="paragraph" w:customStyle="1" w:styleId="Leipteksti">
    <w:name w:val="Leipäteksti"/>
    <w:pPr>
      <w:pBdr>
        <w:top w:val="nil"/>
        <w:left w:val="nil"/>
        <w:bottom w:val="nil"/>
        <w:right w:val="nil"/>
        <w:between w:val="nil"/>
        <w:bar w:val="nil"/>
      </w:pBdr>
    </w:pPr>
    <w:rPr>
      <w:rFonts w:cs="Calibri"/>
      <w:color w:val="000000"/>
      <w:sz w:val="24"/>
      <w:szCs w:val="24"/>
      <w:u w:color="000000"/>
      <w:bdr w:val="nil"/>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lang w:eastAsia="fr-FR"/>
    </w:rPr>
  </w:style>
  <w:style w:type="character" w:styleId="EndnoteReference">
    <w:name w:val="endnote reference"/>
    <w:basedOn w:val="DefaultParagraphFont"/>
    <w:uiPriority w:val="99"/>
    <w:semiHidden/>
    <w:unhideWhenUse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qFormat/>
    <w:pPr>
      <w:keepNext/>
      <w:numPr>
        <w:numId w:val="1"/>
      </w:numPr>
      <w:spacing w:before="360" w:after="120" w:line="240" w:lineRule="auto"/>
      <w:jc w:val="both"/>
      <w:outlineLvl w:val="0"/>
    </w:pPr>
    <w:rPr>
      <w:rFonts w:ascii="Times New Roman" w:eastAsia="Times New Roman" w:hAnsi="Times New Roman"/>
      <w:b/>
      <w:bCs/>
      <w:smallCaps/>
      <w:sz w:val="24"/>
      <w:szCs w:val="32"/>
    </w:rPr>
  </w:style>
  <w:style w:type="paragraph" w:styleId="Heading2">
    <w:name w:val="heading 2"/>
    <w:basedOn w:val="Normal"/>
    <w:next w:val="Normal"/>
    <w:link w:val="Heading2Char"/>
    <w:qFormat/>
    <w:pPr>
      <w:keepNext/>
      <w:numPr>
        <w:ilvl w:val="1"/>
        <w:numId w:val="1"/>
      </w:numPr>
      <w:spacing w:before="120" w:after="120" w:line="240" w:lineRule="auto"/>
      <w:jc w:val="both"/>
      <w:outlineLvl w:val="1"/>
    </w:pPr>
    <w:rPr>
      <w:rFonts w:ascii="Times New Roman" w:eastAsia="Times New Roman" w:hAnsi="Times New Roman"/>
      <w:b/>
      <w:bCs/>
      <w:iCs/>
      <w:sz w:val="24"/>
      <w:szCs w:val="28"/>
    </w:rPr>
  </w:style>
  <w:style w:type="paragraph" w:styleId="Heading3">
    <w:name w:val="heading 3"/>
    <w:basedOn w:val="Normal"/>
    <w:next w:val="Normal"/>
    <w:link w:val="Heading3Char"/>
    <w:qFormat/>
    <w:pPr>
      <w:keepNext/>
      <w:numPr>
        <w:ilvl w:val="2"/>
        <w:numId w:val="1"/>
      </w:numPr>
      <w:spacing w:before="120" w:after="120" w:line="240" w:lineRule="auto"/>
      <w:jc w:val="both"/>
      <w:outlineLvl w:val="2"/>
    </w:pPr>
    <w:rPr>
      <w:rFonts w:ascii="Times New Roman" w:eastAsia="Times New Roman" w:hAnsi="Times New Roman"/>
      <w:bCs/>
      <w:i/>
      <w:sz w:val="24"/>
      <w:szCs w:val="26"/>
    </w:rPr>
  </w:style>
  <w:style w:type="paragraph" w:styleId="Heading4">
    <w:name w:val="heading 4"/>
    <w:basedOn w:val="Normal"/>
    <w:next w:val="Normal"/>
    <w:link w:val="Heading4Char"/>
    <w:qFormat/>
    <w:pPr>
      <w:keepNext/>
      <w:numPr>
        <w:ilvl w:val="3"/>
        <w:numId w:val="1"/>
      </w:numPr>
      <w:spacing w:before="120" w:after="120" w:line="240" w:lineRule="auto"/>
      <w:jc w:val="both"/>
      <w:outlineLvl w:val="3"/>
    </w:pPr>
    <w:rPr>
      <w:rFonts w:ascii="Times New Roman" w:eastAsia="Times New Roman" w:hAnsi="Times New Roman"/>
      <w:bCs/>
      <w:sz w:val="24"/>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rPr>
      <w:sz w:val="22"/>
      <w:szCs w:val="22"/>
      <w:lang w:eastAsia="fr-FR"/>
    </w:rPr>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rPr>
      <w:sz w:val="22"/>
      <w:szCs w:val="22"/>
      <w:lang w:eastAsia="fr-FR"/>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szCs w:val="20"/>
    </w:rPr>
  </w:style>
  <w:style w:type="character" w:customStyle="1" w:styleId="FooterCoverPageChar">
    <w:name w:val="Footer Cover Page Char"/>
    <w:link w:val="FooterCoverPage"/>
    <w:rPr>
      <w:rFonts w:ascii="Times New Roman" w:hAnsi="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szCs w:val="20"/>
    </w:rPr>
  </w:style>
  <w:style w:type="character" w:customStyle="1" w:styleId="HeaderCoverPageChar">
    <w:name w:val="Header Cover Page Char"/>
    <w:link w:val="HeaderCoverPage"/>
    <w:rPr>
      <w:rFonts w:ascii="Times New Roman" w:hAnsi="Times New Roman"/>
      <w:sz w:val="24"/>
    </w:rPr>
  </w:style>
  <w:style w:type="character" w:customStyle="1" w:styleId="Heading1Char">
    <w:name w:val="Heading 1 Char"/>
    <w:link w:val="Heading1"/>
    <w:rPr>
      <w:rFonts w:ascii="Times New Roman" w:eastAsia="Times New Roman" w:hAnsi="Times New Roman"/>
      <w:b/>
      <w:bCs/>
      <w:smallCaps/>
      <w:sz w:val="24"/>
      <w:szCs w:val="32"/>
      <w:lang w:val="fr-FR" w:eastAsia="fr-FR"/>
    </w:rPr>
  </w:style>
  <w:style w:type="character" w:customStyle="1" w:styleId="Heading2Char">
    <w:name w:val="Heading 2 Char"/>
    <w:link w:val="Heading2"/>
    <w:rPr>
      <w:rFonts w:ascii="Times New Roman" w:eastAsia="Times New Roman" w:hAnsi="Times New Roman"/>
      <w:b/>
      <w:bCs/>
      <w:iCs/>
      <w:sz w:val="24"/>
      <w:szCs w:val="28"/>
      <w:lang w:val="fr-FR" w:eastAsia="fr-FR"/>
    </w:rPr>
  </w:style>
  <w:style w:type="character" w:customStyle="1" w:styleId="Heading3Char">
    <w:name w:val="Heading 3 Char"/>
    <w:link w:val="Heading3"/>
    <w:rPr>
      <w:rFonts w:ascii="Times New Roman" w:eastAsia="Times New Roman" w:hAnsi="Times New Roman"/>
      <w:bCs/>
      <w:i/>
      <w:sz w:val="24"/>
      <w:szCs w:val="26"/>
      <w:lang w:val="fr-FR" w:eastAsia="fr-FR"/>
    </w:rPr>
  </w:style>
  <w:style w:type="character" w:customStyle="1" w:styleId="Heading4Char">
    <w:name w:val="Heading 4 Char"/>
    <w:link w:val="Heading4"/>
    <w:rPr>
      <w:rFonts w:ascii="Times New Roman" w:eastAsia="Times New Roman" w:hAnsi="Times New Roman"/>
      <w:bCs/>
      <w:sz w:val="24"/>
      <w:szCs w:val="28"/>
      <w:lang w:val="fr-FR" w:eastAsia="fr-FR"/>
    </w:rPr>
  </w:style>
  <w:style w:type="paragraph" w:styleId="FootnoteText">
    <w:name w:val="footnote text"/>
    <w:aliases w:val="Footnote TextCSR,Fußnotentextf,Note de bas de page Car Car Car Car Car Car Car Car Car Car,Note de bas de page Car Car Car Car,Note de bas de page Car Car Car Car Car Car Car Car Car,ft,Footnote,Fußnote, Char Char Car,fn"/>
    <w:basedOn w:val="Normal"/>
    <w:link w:val="FootnoteTextChar1"/>
    <w:uiPriority w:val="99"/>
    <w:pPr>
      <w:spacing w:after="0" w:line="240" w:lineRule="auto"/>
      <w:ind w:left="720" w:hanging="720"/>
      <w:jc w:val="both"/>
    </w:pPr>
    <w:rPr>
      <w:rFonts w:ascii="Times New Roman" w:eastAsia="Times New Roman" w:hAnsi="Times New Roman"/>
      <w:sz w:val="20"/>
      <w:szCs w:val="20"/>
    </w:rPr>
  </w:style>
  <w:style w:type="character" w:customStyle="1" w:styleId="FootnoteTextChar">
    <w:name w:val="Footnote Text Char"/>
    <w:uiPriority w:val="99"/>
    <w:semiHidden/>
    <w:rPr>
      <w:rFonts w:ascii="Times New Roman" w:eastAsia="Times New Roman" w:hAnsi="Times New Roman" w:cs="Times New Roman"/>
      <w:sz w:val="20"/>
      <w:szCs w:val="20"/>
      <w:lang w:val="fr-FR"/>
    </w:rPr>
  </w:style>
  <w:style w:type="character" w:styleId="FootnoteReference">
    <w:name w:val="footnote reference"/>
    <w:aliases w:val="Footnote Reference Superscript,BVI fnr,Footnote symbol, BVI fnr,Footnote symboFußnotenzeichen,Footnote sign,Footnote Reference text,SUPERS,Footnote reference number,note TESI,-E Fußnotenzeichen,number,(Footnote Reference),Times 10 Poi"/>
    <w:uiPriority w:val="99"/>
    <w:rPr>
      <w:shd w:val="clear" w:color="auto" w:fill="auto"/>
      <w:vertAlign w:val="superscript"/>
    </w:rPr>
  </w:style>
  <w:style w:type="character" w:customStyle="1" w:styleId="Corpsdutexte">
    <w:name w:val="Corps du texte_"/>
    <w:uiPriority w:val="99"/>
    <w:rPr>
      <w:rFonts w:ascii="Arial" w:hAnsi="Arial" w:cs="Arial"/>
      <w:sz w:val="15"/>
      <w:szCs w:val="15"/>
      <w:shd w:val="clear" w:color="auto" w:fill="FFFFFF"/>
    </w:r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pPr>
      <w:spacing w:before="120" w:after="120" w:line="240" w:lineRule="auto"/>
      <w:jc w:val="both"/>
    </w:pPr>
    <w:rPr>
      <w:rFonts w:ascii="Times New Roman" w:eastAsia="Times New Roman" w:hAnsi="Times New Roman"/>
      <w:sz w:val="20"/>
      <w:szCs w:val="20"/>
    </w:rPr>
  </w:style>
  <w:style w:type="character" w:customStyle="1" w:styleId="CommentTextChar">
    <w:name w:val="Comment Text Char"/>
    <w:link w:val="CommentText"/>
    <w:uiPriority w:val="99"/>
    <w:rPr>
      <w:rFonts w:ascii="Times New Roman" w:eastAsia="Times New Roman" w:hAnsi="Times New Roman" w:cs="Times New Roman"/>
      <w:sz w:val="20"/>
      <w:szCs w:val="20"/>
      <w:lang w:val="fr-FR"/>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styleId="Revision">
    <w:name w:val="Revision"/>
    <w:hidden/>
    <w:uiPriority w:val="99"/>
    <w:semiHidden/>
    <w:rPr>
      <w:sz w:val="22"/>
      <w:szCs w:val="22"/>
    </w:rPr>
  </w:style>
  <w:style w:type="paragraph" w:styleId="CommentSubject">
    <w:name w:val="annotation subject"/>
    <w:basedOn w:val="CommentText"/>
    <w:next w:val="CommentText"/>
    <w:link w:val="CommentSubjectChar"/>
    <w:uiPriority w:val="99"/>
    <w:semiHidden/>
    <w:unhideWhenUsed/>
    <w:pPr>
      <w:spacing w:before="0" w:after="200" w:line="276" w:lineRule="auto"/>
      <w:jc w:val="left"/>
    </w:pPr>
    <w:rPr>
      <w:rFonts w:ascii="Calibri" w:eastAsia="Calibri" w:hAnsi="Calibri"/>
      <w:b/>
      <w:bCs/>
    </w:rPr>
  </w:style>
  <w:style w:type="character" w:customStyle="1" w:styleId="CommentSubjectChar">
    <w:name w:val="Comment Subject Char"/>
    <w:link w:val="CommentSubject"/>
    <w:uiPriority w:val="99"/>
    <w:semiHidden/>
    <w:rPr>
      <w:rFonts w:ascii="Times New Roman" w:eastAsia="Times New Roman" w:hAnsi="Times New Roman" w:cs="Times New Roman"/>
      <w:b/>
      <w:bCs/>
      <w:sz w:val="20"/>
      <w:szCs w:val="20"/>
      <w:lang w:val="fr-FR" w:eastAsia="fr-FR"/>
    </w:rPr>
  </w:style>
  <w:style w:type="paragraph" w:customStyle="1" w:styleId="Default">
    <w:name w:val="Default"/>
    <w:pPr>
      <w:autoSpaceDE w:val="0"/>
      <w:autoSpaceDN w:val="0"/>
      <w:adjustRightInd w:val="0"/>
    </w:pPr>
    <w:rPr>
      <w:rFonts w:ascii="Times New Roman" w:hAnsi="Times New Roman"/>
      <w:color w:val="000000"/>
      <w:sz w:val="24"/>
      <w:szCs w:val="24"/>
    </w:rPr>
  </w:style>
  <w:style w:type="character" w:customStyle="1" w:styleId="FootnoteTextChar1">
    <w:name w:val="Footnote Text Char1"/>
    <w:aliases w:val="Footnote TextCSR Char,Fußnotentextf Char,Note de bas de page Car Car Car Car Car Car Car Car Car Car Char,Note de bas de page Car Car Car Car Char,Note de bas de page Car Car Car Car Car Car Car Car Car Char,ft Char,Footnote Char"/>
    <w:link w:val="FootnoteText"/>
    <w:uiPriority w:val="99"/>
    <w:locked/>
    <w:rPr>
      <w:rFonts w:ascii="Times New Roman" w:eastAsia="Times New Roman" w:hAnsi="Times New Roman"/>
      <w:lang w:val="fr-FR" w:eastAsia="fr-FR"/>
    </w:rPr>
  </w:style>
  <w:style w:type="character" w:styleId="Hyperlink">
    <w:name w:val="Hyperlink"/>
    <w:basedOn w:val="DefaultParagraphFont"/>
    <w:uiPriority w:val="99"/>
    <w:semiHidden/>
    <w:unhideWhenUsed/>
    <w:rPr>
      <w:color w:val="0563C1"/>
      <w:u w:val="single"/>
    </w:rPr>
  </w:style>
  <w:style w:type="paragraph" w:customStyle="1" w:styleId="Leipteksti">
    <w:name w:val="Leipäteksti"/>
    <w:pPr>
      <w:pBdr>
        <w:top w:val="nil"/>
        <w:left w:val="nil"/>
        <w:bottom w:val="nil"/>
        <w:right w:val="nil"/>
        <w:between w:val="nil"/>
        <w:bar w:val="nil"/>
      </w:pBdr>
    </w:pPr>
    <w:rPr>
      <w:rFonts w:cs="Calibri"/>
      <w:color w:val="000000"/>
      <w:sz w:val="24"/>
      <w:szCs w:val="24"/>
      <w:u w:color="000000"/>
      <w:bdr w:val="nil"/>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lang w:eastAsia="fr-FR"/>
    </w:rPr>
  </w:style>
  <w:style w:type="character" w:styleId="EndnoteReference">
    <w:name w:val="endnote reference"/>
    <w:basedOn w:val="DefaultParagraphFont"/>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548447">
      <w:bodyDiv w:val="1"/>
      <w:marLeft w:val="0"/>
      <w:marRight w:val="0"/>
      <w:marTop w:val="0"/>
      <w:marBottom w:val="0"/>
      <w:divBdr>
        <w:top w:val="none" w:sz="0" w:space="0" w:color="auto"/>
        <w:left w:val="none" w:sz="0" w:space="0" w:color="auto"/>
        <w:bottom w:val="none" w:sz="0" w:space="0" w:color="auto"/>
        <w:right w:val="none" w:sz="0" w:space="0" w:color="auto"/>
      </w:divBdr>
    </w:div>
    <w:div w:id="240144163">
      <w:bodyDiv w:val="1"/>
      <w:marLeft w:val="0"/>
      <w:marRight w:val="0"/>
      <w:marTop w:val="0"/>
      <w:marBottom w:val="0"/>
      <w:divBdr>
        <w:top w:val="none" w:sz="0" w:space="0" w:color="auto"/>
        <w:left w:val="none" w:sz="0" w:space="0" w:color="auto"/>
        <w:bottom w:val="none" w:sz="0" w:space="0" w:color="auto"/>
        <w:right w:val="none" w:sz="0" w:space="0" w:color="auto"/>
      </w:divBdr>
    </w:div>
    <w:div w:id="394353835">
      <w:bodyDiv w:val="1"/>
      <w:marLeft w:val="0"/>
      <w:marRight w:val="0"/>
      <w:marTop w:val="0"/>
      <w:marBottom w:val="0"/>
      <w:divBdr>
        <w:top w:val="none" w:sz="0" w:space="0" w:color="auto"/>
        <w:left w:val="none" w:sz="0" w:space="0" w:color="auto"/>
        <w:bottom w:val="none" w:sz="0" w:space="0" w:color="auto"/>
        <w:right w:val="none" w:sz="0" w:space="0" w:color="auto"/>
      </w:divBdr>
    </w:div>
    <w:div w:id="468128375">
      <w:bodyDiv w:val="1"/>
      <w:marLeft w:val="0"/>
      <w:marRight w:val="0"/>
      <w:marTop w:val="0"/>
      <w:marBottom w:val="0"/>
      <w:divBdr>
        <w:top w:val="none" w:sz="0" w:space="0" w:color="auto"/>
        <w:left w:val="none" w:sz="0" w:space="0" w:color="auto"/>
        <w:bottom w:val="none" w:sz="0" w:space="0" w:color="auto"/>
        <w:right w:val="none" w:sz="0" w:space="0" w:color="auto"/>
      </w:divBdr>
    </w:div>
    <w:div w:id="736439238">
      <w:bodyDiv w:val="1"/>
      <w:marLeft w:val="0"/>
      <w:marRight w:val="0"/>
      <w:marTop w:val="0"/>
      <w:marBottom w:val="0"/>
      <w:divBdr>
        <w:top w:val="none" w:sz="0" w:space="0" w:color="auto"/>
        <w:left w:val="none" w:sz="0" w:space="0" w:color="auto"/>
        <w:bottom w:val="none" w:sz="0" w:space="0" w:color="auto"/>
        <w:right w:val="none" w:sz="0" w:space="0" w:color="auto"/>
      </w:divBdr>
    </w:div>
    <w:div w:id="772746729">
      <w:bodyDiv w:val="1"/>
      <w:marLeft w:val="0"/>
      <w:marRight w:val="0"/>
      <w:marTop w:val="0"/>
      <w:marBottom w:val="0"/>
      <w:divBdr>
        <w:top w:val="none" w:sz="0" w:space="0" w:color="auto"/>
        <w:left w:val="none" w:sz="0" w:space="0" w:color="auto"/>
        <w:bottom w:val="none" w:sz="0" w:space="0" w:color="auto"/>
        <w:right w:val="none" w:sz="0" w:space="0" w:color="auto"/>
      </w:divBdr>
    </w:div>
    <w:div w:id="789935804">
      <w:bodyDiv w:val="1"/>
      <w:marLeft w:val="0"/>
      <w:marRight w:val="0"/>
      <w:marTop w:val="0"/>
      <w:marBottom w:val="0"/>
      <w:divBdr>
        <w:top w:val="none" w:sz="0" w:space="0" w:color="auto"/>
        <w:left w:val="none" w:sz="0" w:space="0" w:color="auto"/>
        <w:bottom w:val="none" w:sz="0" w:space="0" w:color="auto"/>
        <w:right w:val="none" w:sz="0" w:space="0" w:color="auto"/>
      </w:divBdr>
    </w:div>
    <w:div w:id="800878787">
      <w:bodyDiv w:val="1"/>
      <w:marLeft w:val="0"/>
      <w:marRight w:val="0"/>
      <w:marTop w:val="0"/>
      <w:marBottom w:val="0"/>
      <w:divBdr>
        <w:top w:val="none" w:sz="0" w:space="0" w:color="auto"/>
        <w:left w:val="none" w:sz="0" w:space="0" w:color="auto"/>
        <w:bottom w:val="none" w:sz="0" w:space="0" w:color="auto"/>
        <w:right w:val="none" w:sz="0" w:space="0" w:color="auto"/>
      </w:divBdr>
    </w:div>
    <w:div w:id="988755388">
      <w:bodyDiv w:val="1"/>
      <w:marLeft w:val="0"/>
      <w:marRight w:val="0"/>
      <w:marTop w:val="0"/>
      <w:marBottom w:val="0"/>
      <w:divBdr>
        <w:top w:val="none" w:sz="0" w:space="0" w:color="auto"/>
        <w:left w:val="none" w:sz="0" w:space="0" w:color="auto"/>
        <w:bottom w:val="none" w:sz="0" w:space="0" w:color="auto"/>
        <w:right w:val="none" w:sz="0" w:space="0" w:color="auto"/>
      </w:divBdr>
    </w:div>
    <w:div w:id="1249802989">
      <w:bodyDiv w:val="1"/>
      <w:marLeft w:val="0"/>
      <w:marRight w:val="0"/>
      <w:marTop w:val="0"/>
      <w:marBottom w:val="0"/>
      <w:divBdr>
        <w:top w:val="none" w:sz="0" w:space="0" w:color="auto"/>
        <w:left w:val="none" w:sz="0" w:space="0" w:color="auto"/>
        <w:bottom w:val="none" w:sz="0" w:space="0" w:color="auto"/>
        <w:right w:val="none" w:sz="0" w:space="0" w:color="auto"/>
      </w:divBdr>
    </w:div>
    <w:div w:id="1303657536">
      <w:bodyDiv w:val="1"/>
      <w:marLeft w:val="0"/>
      <w:marRight w:val="0"/>
      <w:marTop w:val="0"/>
      <w:marBottom w:val="0"/>
      <w:divBdr>
        <w:top w:val="none" w:sz="0" w:space="0" w:color="auto"/>
        <w:left w:val="none" w:sz="0" w:space="0" w:color="auto"/>
        <w:bottom w:val="none" w:sz="0" w:space="0" w:color="auto"/>
        <w:right w:val="none" w:sz="0" w:space="0" w:color="auto"/>
      </w:divBdr>
    </w:div>
    <w:div w:id="1310137987">
      <w:bodyDiv w:val="1"/>
      <w:marLeft w:val="0"/>
      <w:marRight w:val="0"/>
      <w:marTop w:val="0"/>
      <w:marBottom w:val="0"/>
      <w:divBdr>
        <w:top w:val="none" w:sz="0" w:space="0" w:color="auto"/>
        <w:left w:val="none" w:sz="0" w:space="0" w:color="auto"/>
        <w:bottom w:val="none" w:sz="0" w:space="0" w:color="auto"/>
        <w:right w:val="none" w:sz="0" w:space="0" w:color="auto"/>
      </w:divBdr>
    </w:div>
    <w:div w:id="1399594231">
      <w:bodyDiv w:val="1"/>
      <w:marLeft w:val="0"/>
      <w:marRight w:val="0"/>
      <w:marTop w:val="0"/>
      <w:marBottom w:val="0"/>
      <w:divBdr>
        <w:top w:val="none" w:sz="0" w:space="0" w:color="auto"/>
        <w:left w:val="none" w:sz="0" w:space="0" w:color="auto"/>
        <w:bottom w:val="none" w:sz="0" w:space="0" w:color="auto"/>
        <w:right w:val="none" w:sz="0" w:space="0" w:color="auto"/>
      </w:divBdr>
    </w:div>
    <w:div w:id="1416393753">
      <w:bodyDiv w:val="1"/>
      <w:marLeft w:val="0"/>
      <w:marRight w:val="0"/>
      <w:marTop w:val="0"/>
      <w:marBottom w:val="0"/>
      <w:divBdr>
        <w:top w:val="none" w:sz="0" w:space="0" w:color="auto"/>
        <w:left w:val="none" w:sz="0" w:space="0" w:color="auto"/>
        <w:bottom w:val="none" w:sz="0" w:space="0" w:color="auto"/>
        <w:right w:val="none" w:sz="0" w:space="0" w:color="auto"/>
      </w:divBdr>
    </w:div>
    <w:div w:id="1540705398">
      <w:bodyDiv w:val="1"/>
      <w:marLeft w:val="0"/>
      <w:marRight w:val="0"/>
      <w:marTop w:val="0"/>
      <w:marBottom w:val="0"/>
      <w:divBdr>
        <w:top w:val="none" w:sz="0" w:space="0" w:color="auto"/>
        <w:left w:val="none" w:sz="0" w:space="0" w:color="auto"/>
        <w:bottom w:val="none" w:sz="0" w:space="0" w:color="auto"/>
        <w:right w:val="none" w:sz="0" w:space="0" w:color="auto"/>
      </w:divBdr>
    </w:div>
    <w:div w:id="1562131368">
      <w:bodyDiv w:val="1"/>
      <w:marLeft w:val="0"/>
      <w:marRight w:val="0"/>
      <w:marTop w:val="0"/>
      <w:marBottom w:val="0"/>
      <w:divBdr>
        <w:top w:val="none" w:sz="0" w:space="0" w:color="auto"/>
        <w:left w:val="none" w:sz="0" w:space="0" w:color="auto"/>
        <w:bottom w:val="none" w:sz="0" w:space="0" w:color="auto"/>
        <w:right w:val="none" w:sz="0" w:space="0" w:color="auto"/>
      </w:divBdr>
    </w:div>
    <w:div w:id="1562474874">
      <w:bodyDiv w:val="1"/>
      <w:marLeft w:val="0"/>
      <w:marRight w:val="0"/>
      <w:marTop w:val="0"/>
      <w:marBottom w:val="0"/>
      <w:divBdr>
        <w:top w:val="none" w:sz="0" w:space="0" w:color="auto"/>
        <w:left w:val="none" w:sz="0" w:space="0" w:color="auto"/>
        <w:bottom w:val="none" w:sz="0" w:space="0" w:color="auto"/>
        <w:right w:val="none" w:sz="0" w:space="0" w:color="auto"/>
      </w:divBdr>
      <w:divsChild>
        <w:div w:id="31392093">
          <w:marLeft w:val="0"/>
          <w:marRight w:val="0"/>
          <w:marTop w:val="0"/>
          <w:marBottom w:val="0"/>
          <w:divBdr>
            <w:top w:val="none" w:sz="0" w:space="0" w:color="auto"/>
            <w:left w:val="none" w:sz="0" w:space="0" w:color="auto"/>
            <w:bottom w:val="none" w:sz="0" w:space="0" w:color="auto"/>
            <w:right w:val="none" w:sz="0" w:space="0" w:color="auto"/>
          </w:divBdr>
          <w:divsChild>
            <w:div w:id="201137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059054">
      <w:bodyDiv w:val="1"/>
      <w:marLeft w:val="0"/>
      <w:marRight w:val="0"/>
      <w:marTop w:val="0"/>
      <w:marBottom w:val="0"/>
      <w:divBdr>
        <w:top w:val="none" w:sz="0" w:space="0" w:color="auto"/>
        <w:left w:val="none" w:sz="0" w:space="0" w:color="auto"/>
        <w:bottom w:val="none" w:sz="0" w:space="0" w:color="auto"/>
        <w:right w:val="none" w:sz="0" w:space="0" w:color="auto"/>
      </w:divBdr>
    </w:div>
    <w:div w:id="1581063983">
      <w:bodyDiv w:val="1"/>
      <w:marLeft w:val="0"/>
      <w:marRight w:val="0"/>
      <w:marTop w:val="0"/>
      <w:marBottom w:val="0"/>
      <w:divBdr>
        <w:top w:val="none" w:sz="0" w:space="0" w:color="auto"/>
        <w:left w:val="none" w:sz="0" w:space="0" w:color="auto"/>
        <w:bottom w:val="none" w:sz="0" w:space="0" w:color="auto"/>
        <w:right w:val="none" w:sz="0" w:space="0" w:color="auto"/>
      </w:divBdr>
    </w:div>
    <w:div w:id="1724937800">
      <w:bodyDiv w:val="1"/>
      <w:marLeft w:val="0"/>
      <w:marRight w:val="0"/>
      <w:marTop w:val="0"/>
      <w:marBottom w:val="0"/>
      <w:divBdr>
        <w:top w:val="none" w:sz="0" w:space="0" w:color="auto"/>
        <w:left w:val="none" w:sz="0" w:space="0" w:color="auto"/>
        <w:bottom w:val="none" w:sz="0" w:space="0" w:color="auto"/>
        <w:right w:val="none" w:sz="0" w:space="0" w:color="auto"/>
      </w:divBdr>
    </w:div>
    <w:div w:id="1732843773">
      <w:bodyDiv w:val="1"/>
      <w:marLeft w:val="0"/>
      <w:marRight w:val="0"/>
      <w:marTop w:val="0"/>
      <w:marBottom w:val="0"/>
      <w:divBdr>
        <w:top w:val="none" w:sz="0" w:space="0" w:color="auto"/>
        <w:left w:val="none" w:sz="0" w:space="0" w:color="auto"/>
        <w:bottom w:val="none" w:sz="0" w:space="0" w:color="auto"/>
        <w:right w:val="none" w:sz="0" w:space="0" w:color="auto"/>
      </w:divBdr>
    </w:div>
    <w:div w:id="1935480906">
      <w:bodyDiv w:val="1"/>
      <w:marLeft w:val="0"/>
      <w:marRight w:val="0"/>
      <w:marTop w:val="0"/>
      <w:marBottom w:val="0"/>
      <w:divBdr>
        <w:top w:val="none" w:sz="0" w:space="0" w:color="auto"/>
        <w:left w:val="none" w:sz="0" w:space="0" w:color="auto"/>
        <w:bottom w:val="none" w:sz="0" w:space="0" w:color="auto"/>
        <w:right w:val="none" w:sz="0" w:space="0" w:color="auto"/>
      </w:divBdr>
    </w:div>
    <w:div w:id="1971203099">
      <w:bodyDiv w:val="1"/>
      <w:marLeft w:val="0"/>
      <w:marRight w:val="0"/>
      <w:marTop w:val="0"/>
      <w:marBottom w:val="0"/>
      <w:divBdr>
        <w:top w:val="none" w:sz="0" w:space="0" w:color="auto"/>
        <w:left w:val="none" w:sz="0" w:space="0" w:color="auto"/>
        <w:bottom w:val="none" w:sz="0" w:space="0" w:color="auto"/>
        <w:right w:val="none" w:sz="0" w:space="0" w:color="auto"/>
      </w:divBdr>
    </w:div>
    <w:div w:id="1987666521">
      <w:bodyDiv w:val="1"/>
      <w:marLeft w:val="0"/>
      <w:marRight w:val="0"/>
      <w:marTop w:val="0"/>
      <w:marBottom w:val="0"/>
      <w:divBdr>
        <w:top w:val="none" w:sz="0" w:space="0" w:color="auto"/>
        <w:left w:val="none" w:sz="0" w:space="0" w:color="auto"/>
        <w:bottom w:val="none" w:sz="0" w:space="0" w:color="auto"/>
        <w:right w:val="none" w:sz="0" w:space="0" w:color="auto"/>
      </w:divBdr>
    </w:div>
    <w:div w:id="2142383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mup.hr/219696.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BD4D18-20CE-4580-BD9D-99FB10CAD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4</Pages>
  <Words>5940</Words>
  <Characters>32914</Characters>
  <Application>Microsoft Office Word</Application>
  <DocSecurity>0</DocSecurity>
  <Lines>455</Lines>
  <Paragraphs>65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38795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PAREDES ECHAURI Cristina (CAB-ALMUNIA)</cp:lastModifiedBy>
  <cp:revision>28</cp:revision>
  <cp:lastPrinted>2015-12-14T09:31:00Z</cp:lastPrinted>
  <dcterms:created xsi:type="dcterms:W3CDTF">2015-12-14T10:27:00Z</dcterms:created>
  <dcterms:modified xsi:type="dcterms:W3CDTF">2016-01-22T17:34:00Z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