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AAF50366874DE19235C01FB7DB598D"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jc w:val="center"/>
        <w:rPr>
          <w:rFonts w:ascii="Times New Roman Bold" w:hAnsi="Times New Roman Bold" w:cs="Times New Roman"/>
          <w:b/>
          <w:caps/>
          <w:noProof/>
          <w:sz w:val="24"/>
          <w:szCs w:val="24"/>
        </w:rPr>
      </w:pPr>
      <w:bookmarkStart w:id="1" w:name="_GoBack"/>
      <w:bookmarkEnd w:id="1"/>
      <w:r>
        <w:rPr>
          <w:rFonts w:ascii="Times New Roman Bold" w:hAnsi="Times New Roman Bold" w:cs="Times New Roman"/>
          <w:b/>
          <w:caps/>
          <w:noProof/>
          <w:sz w:val="24"/>
          <w:szCs w:val="24"/>
        </w:rPr>
        <w:lastRenderedPageBreak/>
        <w:t>Report FROM THE COMMISSION</w:t>
      </w:r>
    </w:p>
    <w:p>
      <w:pPr>
        <w:spacing w:after="0"/>
        <w:jc w:val="center"/>
        <w:rPr>
          <w:rFonts w:ascii="Times New Roman Bold" w:hAnsi="Times New Roman Bold" w:cs="Times New Roman"/>
          <w:b/>
          <w:caps/>
          <w:noProof/>
          <w:sz w:val="24"/>
          <w:szCs w:val="24"/>
        </w:rPr>
      </w:pPr>
      <w:r>
        <w:rPr>
          <w:rFonts w:ascii="Times New Roman Bold" w:hAnsi="Times New Roman Bold" w:cs="Times New Roman"/>
          <w:b/>
          <w:caps/>
          <w:noProof/>
          <w:sz w:val="24"/>
          <w:szCs w:val="24"/>
        </w:rPr>
        <w:t>to the European Parliament and the Council on the implementation of Regulation (EU) 182/2011</w:t>
      </w:r>
    </w:p>
    <w:p>
      <w:pPr>
        <w:spacing w:after="0"/>
        <w:jc w:val="center"/>
        <w:rPr>
          <w:rFonts w:ascii="Times New Roman Bold" w:hAnsi="Times New Roman Bold" w:cs="Times New Roman"/>
          <w:b/>
          <w:caps/>
          <w:noProof/>
          <w:sz w:val="24"/>
          <w:szCs w:val="24"/>
        </w:rPr>
      </w:pPr>
    </w:p>
    <w:p>
      <w:pPr>
        <w:pStyle w:val="ListParagraph"/>
        <w:numPr>
          <w:ilvl w:val="0"/>
          <w:numId w:val="15"/>
        </w:numPr>
        <w:jc w:val="both"/>
        <w:rPr>
          <w:rFonts w:ascii="Times New Roman" w:hAnsi="Times New Roman" w:cs="Times New Roman"/>
          <w:b/>
          <w:noProof/>
          <w:sz w:val="24"/>
          <w:szCs w:val="24"/>
          <w:lang w:val="en"/>
        </w:rPr>
      </w:pPr>
      <w:r>
        <w:rPr>
          <w:rFonts w:ascii="Times New Roman" w:hAnsi="Times New Roman" w:cs="Times New Roman"/>
          <w:b/>
          <w:noProof/>
          <w:sz w:val="24"/>
          <w:szCs w:val="24"/>
          <w:lang w:val="en"/>
        </w:rPr>
        <w:t xml:space="preserve">Introduction   </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Lisbon Treaty substantially modified the framework for the conferral of powers upon the Commission by introducing a distinction between delegated and implementing powers. Article 291 (3) TFEU foresees that, unlike for delegated acts under Article 290 TFEU, the rules and general principles concerning mechanisms for control by Member States of the Commission's exercise of power be laid down in advance in regulations adopted by ordinary legislative procedure. This has led to the adoption of Regulation (EU) 182/2011</w:t>
      </w:r>
      <w:r>
        <w:rPr>
          <w:rStyle w:val="FootnoteReference"/>
          <w:rFonts w:ascii="Times New Roman" w:hAnsi="Times New Roman" w:cs="Times New Roman"/>
          <w:noProof/>
          <w:sz w:val="24"/>
          <w:szCs w:val="24"/>
          <w:lang w:val="en"/>
        </w:rPr>
        <w:footnoteReference w:id="1"/>
      </w:r>
      <w:r>
        <w:rPr>
          <w:rFonts w:ascii="Times New Roman" w:hAnsi="Times New Roman" w:cs="Times New Roman"/>
          <w:noProof/>
          <w:sz w:val="24"/>
          <w:szCs w:val="24"/>
          <w:lang w:val="en"/>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lang w:val="en"/>
        </w:rPr>
        <w:t xml:space="preserve">Article 15 of Regulation (EU) 182/2011 requires the Commission to report to the European Parliament and the Council on the implementation of the Regulation five years after its entry into force. This report complies with this requirement. In doing so, </w:t>
      </w:r>
      <w:r>
        <w:rPr>
          <w:rFonts w:ascii="Times New Roman" w:hAnsi="Times New Roman" w:cs="Times New Roman"/>
          <w:noProof/>
          <w:sz w:val="24"/>
          <w:szCs w:val="24"/>
        </w:rPr>
        <w:t xml:space="preserve">it concentrates on the elements newly introduced by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compared to the Council Decision 1999/468/EC, as amended by Council Decision 2006/512/EC, which provided the applicable framework before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182/2011.</w:t>
      </w:r>
    </w:p>
    <w:p>
      <w:pPr>
        <w:jc w:val="both"/>
        <w:rPr>
          <w:rFonts w:ascii="Times New Roman" w:hAnsi="Times New Roman" w:cs="Times New Roman"/>
          <w:b/>
          <w:noProof/>
          <w:sz w:val="24"/>
          <w:szCs w:val="24"/>
          <w:lang w:val="en"/>
        </w:rPr>
      </w:pPr>
      <w:r>
        <w:rPr>
          <w:rFonts w:ascii="Times New Roman" w:hAnsi="Times New Roman" w:cs="Times New Roman"/>
          <w:b/>
          <w:noProof/>
          <w:sz w:val="24"/>
          <w:szCs w:val="24"/>
        </w:rPr>
        <w:t xml:space="preserve">2. Overall context and functioning of Regulation </w:t>
      </w:r>
      <w:r>
        <w:rPr>
          <w:rFonts w:ascii="Times New Roman" w:hAnsi="Times New Roman" w:cs="Times New Roman"/>
          <w:b/>
          <w:noProof/>
          <w:sz w:val="24"/>
          <w:szCs w:val="24"/>
          <w:lang w:val="en"/>
        </w:rPr>
        <w:t xml:space="preserve">(EU) </w:t>
      </w:r>
      <w:r>
        <w:rPr>
          <w:rFonts w:ascii="Times New Roman" w:hAnsi="Times New Roman" w:cs="Times New Roman"/>
          <w:b/>
          <w:noProof/>
          <w:sz w:val="24"/>
          <w:szCs w:val="24"/>
        </w:rPr>
        <w:t>182/2011</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entered into force on 1 March 2011. It did not require any measures to be taken by the Member States. On the Commission side, the standard rules of procedure for committees referred to in Article 9 of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182/2011 were adopted on 8 July 2011 and published in the Official Journal on 12 July 2011</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The rules of procedure of the individual, existing committees were over time adapted to the new standard rules of procedure. The register foreseen in Article 10 of the Regulation already existed since 2002, was thoroughly revamped in 2008 and in 2011 and is being continuously improved.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transitional provisions in Article 13, which provided for an automatic application of the new procedures to existing legislation, and in Article 14, which addressed pending procedures, allowed for an immediate application of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as from 1 March 2011 and hence a smooth transition.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reports to the European Parliament and the Council in its annual reports on the working of the committees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table below gives an overall summary of data on the working of the committees since the entry into force of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182/2011 and the two preceding years. The annual reports also cover data on the regulatory procedure with scrutiny (RPS), a procedure foreseen under Decision 1999/468/EC, which still applies where foreseen in the basic act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tbl>
      <w:tblPr>
        <w:tblStyle w:val="TableGrid"/>
        <w:tblW w:w="5000" w:type="pct"/>
        <w:tblLook w:val="04A0" w:firstRow="1" w:lastRow="0" w:firstColumn="1" w:lastColumn="0" w:noHBand="0" w:noVBand="1"/>
      </w:tblPr>
      <w:tblGrid>
        <w:gridCol w:w="816"/>
        <w:gridCol w:w="1376"/>
        <w:gridCol w:w="1206"/>
        <w:gridCol w:w="1991"/>
        <w:gridCol w:w="1202"/>
        <w:gridCol w:w="1077"/>
        <w:gridCol w:w="1620"/>
      </w:tblGrid>
      <w:tr>
        <w:tc>
          <w:tcPr>
            <w:tcW w:w="439" w:type="pct"/>
            <w:shd w:val="clear" w:color="auto" w:fill="EEECE1" w:themeFill="background2"/>
          </w:tcPr>
          <w:p>
            <w:pPr>
              <w:jc w:val="both"/>
              <w:rPr>
                <w:rFonts w:ascii="Times New Roman" w:hAnsi="Times New Roman" w:cs="Times New Roman"/>
                <w:noProof/>
                <w:sz w:val="24"/>
                <w:szCs w:val="24"/>
              </w:rPr>
            </w:pPr>
          </w:p>
        </w:tc>
        <w:tc>
          <w:tcPr>
            <w:tcW w:w="741"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Committees </w:t>
            </w:r>
          </w:p>
        </w:tc>
        <w:tc>
          <w:tcPr>
            <w:tcW w:w="649"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Opinions </w:t>
            </w:r>
          </w:p>
        </w:tc>
        <w:tc>
          <w:tcPr>
            <w:tcW w:w="1072"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Measures adopted </w:t>
            </w:r>
          </w:p>
        </w:tc>
        <w:tc>
          <w:tcPr>
            <w:tcW w:w="647"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Positive opinions </w:t>
            </w:r>
          </w:p>
        </w:tc>
        <w:tc>
          <w:tcPr>
            <w:tcW w:w="580"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No opinions </w:t>
            </w:r>
          </w:p>
        </w:tc>
        <w:tc>
          <w:tcPr>
            <w:tcW w:w="873"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Negative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opinions </w:t>
            </w:r>
          </w:p>
        </w:tc>
      </w:tr>
      <w:tr>
        <w:tc>
          <w:tcPr>
            <w:tcW w:w="439"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2009</w:t>
            </w:r>
          </w:p>
        </w:tc>
        <w:tc>
          <w:tcPr>
            <w:tcW w:w="74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266</w:t>
            </w:r>
          </w:p>
        </w:tc>
        <w:tc>
          <w:tcPr>
            <w:tcW w:w="64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2 091</w:t>
            </w:r>
          </w:p>
        </w:tc>
        <w:tc>
          <w:tcPr>
            <w:tcW w:w="1072"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1 808 (131 RPS)</w:t>
            </w:r>
          </w:p>
        </w:tc>
        <w:tc>
          <w:tcPr>
            <w:tcW w:w="647"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2 003</w:t>
            </w:r>
          </w:p>
        </w:tc>
        <w:tc>
          <w:tcPr>
            <w:tcW w:w="580"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78</w:t>
            </w:r>
          </w:p>
        </w:tc>
        <w:tc>
          <w:tcPr>
            <w:tcW w:w="873"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10</w:t>
            </w:r>
          </w:p>
        </w:tc>
      </w:tr>
      <w:tr>
        <w:tc>
          <w:tcPr>
            <w:tcW w:w="439"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2010</w:t>
            </w:r>
          </w:p>
        </w:tc>
        <w:tc>
          <w:tcPr>
            <w:tcW w:w="74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259</w:t>
            </w:r>
          </w:p>
        </w:tc>
        <w:tc>
          <w:tcPr>
            <w:tcW w:w="64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1 904</w:t>
            </w:r>
          </w:p>
        </w:tc>
        <w:tc>
          <w:tcPr>
            <w:tcW w:w="1072"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 xml:space="preserve">1 812 (164 RPS) </w:t>
            </w:r>
          </w:p>
        </w:tc>
        <w:tc>
          <w:tcPr>
            <w:tcW w:w="647"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1 783</w:t>
            </w:r>
          </w:p>
        </w:tc>
        <w:tc>
          <w:tcPr>
            <w:tcW w:w="580"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121</w:t>
            </w:r>
          </w:p>
        </w:tc>
        <w:tc>
          <w:tcPr>
            <w:tcW w:w="873"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r>
      <w:tr>
        <w:tc>
          <w:tcPr>
            <w:tcW w:w="5000" w:type="pct"/>
            <w:gridSpan w:val="7"/>
            <w:shd w:val="clear" w:color="auto" w:fill="D9D9D9" w:themeFill="background1" w:themeFillShade="D9"/>
          </w:tcPr>
          <w:p>
            <w:pPr>
              <w:jc w:val="both"/>
              <w:rPr>
                <w:rFonts w:ascii="Times New Roman" w:hAnsi="Times New Roman" w:cs="Times New Roman"/>
                <w:noProof/>
                <w:sz w:val="24"/>
                <w:szCs w:val="24"/>
              </w:rPr>
            </w:pPr>
          </w:p>
        </w:tc>
      </w:tr>
      <w:tr>
        <w:tc>
          <w:tcPr>
            <w:tcW w:w="439"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2011*</w:t>
            </w:r>
          </w:p>
        </w:tc>
        <w:tc>
          <w:tcPr>
            <w:tcW w:w="74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268</w:t>
            </w:r>
          </w:p>
        </w:tc>
        <w:tc>
          <w:tcPr>
            <w:tcW w:w="64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1 868</w:t>
            </w:r>
          </w:p>
        </w:tc>
        <w:tc>
          <w:tcPr>
            <w:tcW w:w="1072"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1 788 (163 RPS)</w:t>
            </w:r>
          </w:p>
        </w:tc>
        <w:tc>
          <w:tcPr>
            <w:tcW w:w="647"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1 789</w:t>
            </w:r>
          </w:p>
        </w:tc>
        <w:tc>
          <w:tcPr>
            <w:tcW w:w="580"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75</w:t>
            </w:r>
          </w:p>
        </w:tc>
        <w:tc>
          <w:tcPr>
            <w:tcW w:w="873"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4</w:t>
            </w:r>
          </w:p>
        </w:tc>
      </w:tr>
      <w:tr>
        <w:tc>
          <w:tcPr>
            <w:tcW w:w="439"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2012</w:t>
            </w:r>
          </w:p>
        </w:tc>
        <w:tc>
          <w:tcPr>
            <w:tcW w:w="74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270</w:t>
            </w:r>
          </w:p>
        </w:tc>
        <w:tc>
          <w:tcPr>
            <w:tcW w:w="64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1 923</w:t>
            </w:r>
          </w:p>
        </w:tc>
        <w:tc>
          <w:tcPr>
            <w:tcW w:w="1072"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1 824 (167 RPS)</w:t>
            </w:r>
          </w:p>
        </w:tc>
        <w:tc>
          <w:tcPr>
            <w:tcW w:w="647"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1 845</w:t>
            </w:r>
          </w:p>
        </w:tc>
        <w:tc>
          <w:tcPr>
            <w:tcW w:w="580"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78</w:t>
            </w:r>
          </w:p>
        </w:tc>
        <w:tc>
          <w:tcPr>
            <w:tcW w:w="873"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r>
      <w:tr>
        <w:tc>
          <w:tcPr>
            <w:tcW w:w="439"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2013</w:t>
            </w:r>
          </w:p>
        </w:tc>
        <w:tc>
          <w:tcPr>
            <w:tcW w:w="74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302</w:t>
            </w:r>
          </w:p>
        </w:tc>
        <w:tc>
          <w:tcPr>
            <w:tcW w:w="64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1 916</w:t>
            </w:r>
          </w:p>
        </w:tc>
        <w:tc>
          <w:tcPr>
            <w:tcW w:w="1072"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1 887 (171 RPS)</w:t>
            </w:r>
          </w:p>
        </w:tc>
        <w:tc>
          <w:tcPr>
            <w:tcW w:w="647"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1 845</w:t>
            </w:r>
          </w:p>
        </w:tc>
        <w:tc>
          <w:tcPr>
            <w:tcW w:w="580"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50</w:t>
            </w:r>
          </w:p>
        </w:tc>
        <w:tc>
          <w:tcPr>
            <w:tcW w:w="873"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r>
      <w:tr>
        <w:tc>
          <w:tcPr>
            <w:tcW w:w="439"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2014</w:t>
            </w:r>
          </w:p>
        </w:tc>
        <w:tc>
          <w:tcPr>
            <w:tcW w:w="74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287</w:t>
            </w:r>
          </w:p>
        </w:tc>
        <w:tc>
          <w:tcPr>
            <w:tcW w:w="64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1 889</w:t>
            </w:r>
          </w:p>
        </w:tc>
        <w:tc>
          <w:tcPr>
            <w:tcW w:w="1072"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 xml:space="preserve">1 728 (165 RPS) </w:t>
            </w:r>
          </w:p>
        </w:tc>
        <w:tc>
          <w:tcPr>
            <w:tcW w:w="647"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1 838</w:t>
            </w:r>
          </w:p>
        </w:tc>
        <w:tc>
          <w:tcPr>
            <w:tcW w:w="580"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51</w:t>
            </w:r>
          </w:p>
        </w:tc>
        <w:tc>
          <w:tcPr>
            <w:tcW w:w="873"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r>
    </w:tbl>
    <w:p>
      <w:pPr>
        <w:jc w:val="both"/>
        <w:rPr>
          <w:rFonts w:ascii="Times New Roman" w:hAnsi="Times New Roman" w:cs="Times New Roman"/>
          <w:noProof/>
          <w:sz w:val="20"/>
          <w:szCs w:val="20"/>
        </w:rPr>
      </w:pPr>
      <w:r>
        <w:rPr>
          <w:rFonts w:ascii="Times New Roman" w:hAnsi="Times New Roman" w:cs="Times New Roman"/>
          <w:noProof/>
          <w:sz w:val="20"/>
          <w:szCs w:val="20"/>
        </w:rPr>
        <w:t xml:space="preserve">Table 1, data from the annual reports on the functioning of the committees, the total number of positive opinions delivered by committees may differ from the number of acts adopted by the Commission if opinions are delivered one year but the acts are not adopted until the following year. * Figures relate to the entire year 2011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figures indicate that the Regulation has allowed a seamless continuation of the system. When comparing the figures since 2011 to the years before the application of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both the number of committees and their activity has remained stable. The number of committees was at 266 in 2009 and at 287 in 2014. Similarly the number of measures adopted was at 1808 in 2009 and at 1728 in 2014. </w:t>
      </w:r>
    </w:p>
    <w:p>
      <w:pPr>
        <w:jc w:val="both"/>
        <w:rPr>
          <w:rFonts w:ascii="Times New Roman" w:hAnsi="Times New Roman" w:cs="Times New Roman"/>
          <w:noProof/>
          <w:sz w:val="24"/>
          <w:szCs w:val="24"/>
        </w:rPr>
      </w:pPr>
      <w:r>
        <w:rPr>
          <w:rFonts w:ascii="Times New Roman" w:hAnsi="Times New Roman" w:cs="Times New Roman"/>
          <w:noProof/>
          <w:sz w:val="24"/>
          <w:szCs w:val="24"/>
        </w:rPr>
        <w:t>Building on experience, the Regulation introduced in its Article 3 a number of provisions linked to the working of the committees that reflected common practice, but were not spelled out in the legislation before. This includes provisions on the use of the written procedure, an explicit requirement for the chair to find solutions that command the widest possible support within the committee and the possibility to amend the draft acts prior to the vote to take account of the discussions of the committee. These common provisions continued to be effective and useful in ensuring a proper functioning of the committees. The written procedure is widely used - in 2014 there were 773 committee meetings and 893 written procedures and figures are similar in the years before - and it is an efficient tool. The work of the committees remains consensual: the overwhelming percentage of opinions (well over 90%) are positive opinions, the majority of these adopted by unanimous vote or by consensus of the committee members, and there are hardly any negative and relatively few no opinions.</w:t>
      </w:r>
    </w:p>
    <w:p>
      <w:pPr>
        <w:jc w:val="both"/>
        <w:rPr>
          <w:rFonts w:ascii="Times New Roman" w:hAnsi="Times New Roman" w:cs="Times New Roman"/>
          <w:i/>
          <w:noProof/>
          <w:sz w:val="24"/>
          <w:szCs w:val="24"/>
          <w:lang w:val="en"/>
        </w:rPr>
      </w:pPr>
      <w:r>
        <w:rPr>
          <w:rFonts w:ascii="Times New Roman" w:hAnsi="Times New Roman" w:cs="Times New Roman"/>
          <w:noProof/>
          <w:sz w:val="24"/>
          <w:szCs w:val="24"/>
          <w:lang w:val="en"/>
        </w:rPr>
        <w:t>Regulation (EU) 182/2011 provides a comprehensive and exhaustive legal framework for the Commission's exercise of implementing powers. The outcome of the negotiations on the Interinstitutional Agreement on Better Law-Making</w:t>
      </w:r>
      <w:r>
        <w:rPr>
          <w:rStyle w:val="FootnoteReference"/>
          <w:rFonts w:ascii="Times New Roman" w:hAnsi="Times New Roman" w:cs="Times New Roman"/>
          <w:noProof/>
          <w:sz w:val="24"/>
          <w:szCs w:val="24"/>
          <w:lang w:val="en"/>
        </w:rPr>
        <w:footnoteReference w:id="5"/>
      </w:r>
      <w:r>
        <w:rPr>
          <w:rFonts w:ascii="Times New Roman" w:hAnsi="Times New Roman" w:cs="Times New Roman"/>
          <w:noProof/>
          <w:sz w:val="24"/>
          <w:szCs w:val="24"/>
          <w:lang w:val="en"/>
        </w:rPr>
        <w:t xml:space="preserve"> foresees a commitment by the institutions to </w:t>
      </w:r>
      <w:r>
        <w:rPr>
          <w:rFonts w:ascii="Times New Roman" w:hAnsi="Times New Roman" w:cs="Times New Roman"/>
          <w:noProof/>
          <w:sz w:val="24"/>
          <w:szCs w:val="24"/>
        </w:rPr>
        <w:t xml:space="preserve">refrain from adding, in Union legislation, procedural requirements which would alter the mechanisms for control established by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182/2011</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lang w:val="en"/>
        </w:rPr>
        <w:t>In the framework of the Communication on Better Regulation</w:t>
      </w:r>
      <w:r>
        <w:rPr>
          <w:rStyle w:val="FootnoteReference"/>
          <w:rFonts w:ascii="Times New Roman" w:hAnsi="Times New Roman" w:cs="Times New Roman"/>
          <w:noProof/>
          <w:sz w:val="24"/>
          <w:szCs w:val="24"/>
          <w:lang w:val="en"/>
        </w:rPr>
        <w:footnoteReference w:id="7"/>
      </w:r>
      <w:r>
        <w:rPr>
          <w:rFonts w:ascii="Times New Roman" w:hAnsi="Times New Roman" w:cs="Times New Roman"/>
          <w:noProof/>
          <w:sz w:val="24"/>
          <w:szCs w:val="24"/>
          <w:lang w:val="en"/>
        </w:rPr>
        <w:t xml:space="preserve"> the Commission </w:t>
      </w:r>
      <w:r>
        <w:rPr>
          <w:rFonts w:ascii="Times New Roman" w:hAnsi="Times New Roman" w:cs="Times New Roman"/>
          <w:noProof/>
          <w:sz w:val="24"/>
          <w:szCs w:val="24"/>
        </w:rPr>
        <w:t>committed to several measures intended to improve the mechanisms to listen more closely to citizens and stakeholders, and be open to their feedback, at every stage of the policy making process. In relation to implementing acts the Commission committed that important implementing acts which are subject to committee opinion will be made public for four weeks, allowing stakeholders to submit comments before any vote by Member States in the relevant committee. This will significantly increase the transparency for implementing acts in the phase before the committee vote.</w:t>
      </w:r>
    </w:p>
    <w:p>
      <w:pPr>
        <w:jc w:val="both"/>
        <w:rPr>
          <w:rFonts w:ascii="Times New Roman" w:hAnsi="Times New Roman" w:cs="Times New Roman"/>
          <w:b/>
          <w:noProof/>
          <w:sz w:val="24"/>
          <w:szCs w:val="24"/>
          <w:lang w:val="en"/>
        </w:rPr>
      </w:pPr>
      <w:r>
        <w:rPr>
          <w:rFonts w:ascii="Times New Roman" w:hAnsi="Times New Roman" w:cs="Times New Roman"/>
          <w:b/>
          <w:noProof/>
          <w:sz w:val="24"/>
          <w:szCs w:val="24"/>
          <w:lang w:val="en"/>
        </w:rPr>
        <w:t>3. Main changes</w:t>
      </w:r>
    </w:p>
    <w:p>
      <w:pPr>
        <w:pStyle w:val="ListParagraph"/>
        <w:ind w:left="360"/>
        <w:jc w:val="both"/>
        <w:rPr>
          <w:rFonts w:ascii="Times New Roman" w:hAnsi="Times New Roman" w:cs="Times New Roman"/>
          <w:b/>
          <w:noProof/>
          <w:sz w:val="24"/>
          <w:szCs w:val="24"/>
          <w:lang w:val="en"/>
        </w:rPr>
      </w:pPr>
      <w:r>
        <w:rPr>
          <w:rFonts w:ascii="Times New Roman" w:hAnsi="Times New Roman" w:cs="Times New Roman"/>
          <w:b/>
          <w:noProof/>
          <w:sz w:val="24"/>
          <w:szCs w:val="24"/>
          <w:lang w:val="en"/>
        </w:rPr>
        <w:t>3.1 The reduction of the number of committee procedures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objectives of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was to simplify the system by reducing the number of committee procedures. The old regulatory and management procedures were replaced by the examination procedure, while the advisory procedure was maintained. The reduction of the number of procedures has not raised particular issues. </w:t>
      </w:r>
    </w:p>
    <w:p>
      <w:pPr>
        <w:pStyle w:val="ListParagraph"/>
        <w:ind w:left="360"/>
        <w:jc w:val="both"/>
        <w:rPr>
          <w:rFonts w:ascii="Times New Roman" w:hAnsi="Times New Roman" w:cs="Times New Roman"/>
          <w:b/>
          <w:noProof/>
          <w:sz w:val="24"/>
          <w:szCs w:val="24"/>
          <w:lang w:val="en"/>
        </w:rPr>
      </w:pPr>
      <w:r>
        <w:rPr>
          <w:rFonts w:ascii="Times New Roman" w:hAnsi="Times New Roman" w:cs="Times New Roman"/>
          <w:b/>
          <w:noProof/>
          <w:sz w:val="24"/>
          <w:szCs w:val="24"/>
          <w:lang w:val="en"/>
        </w:rPr>
        <w:t xml:space="preserve">3.2 The creation of the appeal committee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appeal committee was a novelty introduced by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182/2011. It was introduced to create a second layer to address issues on which the committee could not find agreement. Referral to the appeal committee is a rather exceptional step in the procedure. It is a possibility to move ahead in case of a negative opinion or a no opinion with a blocking effect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if the implementing act is deemed necessary.     </w:t>
      </w:r>
    </w:p>
    <w:p>
      <w:pPr>
        <w:jc w:val="both"/>
        <w:rPr>
          <w:rFonts w:ascii="Times New Roman" w:hAnsi="Times New Roman" w:cs="Times New Roman"/>
          <w:noProof/>
          <w:sz w:val="24"/>
          <w:szCs w:val="24"/>
        </w:rPr>
      </w:pPr>
      <w:r>
        <w:rPr>
          <w:rFonts w:ascii="Times New Roman" w:hAnsi="Times New Roman" w:cs="Times New Roman"/>
          <w:noProof/>
          <w:sz w:val="24"/>
          <w:szCs w:val="24"/>
        </w:rPr>
        <w:t>The appeal committee adopted its rules of procedure on 29 March 2011. The Commission already made in accordance with Article 14 of the rules of procedure (the review clause) a first evaluation how these rules of procedure operate in practice. The outcome of this review was included in the 2013 Annual Report on the working of the committees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tbl>
      <w:tblPr>
        <w:tblStyle w:val="TableGrid2"/>
        <w:tblW w:w="5000" w:type="pct"/>
        <w:tblLook w:val="04A0" w:firstRow="1" w:lastRow="0" w:firstColumn="1" w:lastColumn="0" w:noHBand="0" w:noVBand="1"/>
      </w:tblPr>
      <w:tblGrid>
        <w:gridCol w:w="723"/>
        <w:gridCol w:w="2002"/>
        <w:gridCol w:w="1323"/>
        <w:gridCol w:w="1274"/>
        <w:gridCol w:w="1230"/>
        <w:gridCol w:w="1367"/>
        <w:gridCol w:w="1369"/>
      </w:tblGrid>
      <w:tr>
        <w:tc>
          <w:tcPr>
            <w:tcW w:w="389" w:type="pct"/>
            <w:shd w:val="clear" w:color="auto" w:fill="EEECE1" w:themeFill="background2"/>
          </w:tcPr>
          <w:p>
            <w:pPr>
              <w:jc w:val="both"/>
              <w:rPr>
                <w:rFonts w:ascii="Times New Roman" w:hAnsi="Times New Roman" w:cs="Times New Roman"/>
                <w:noProof/>
                <w:sz w:val="24"/>
                <w:szCs w:val="24"/>
              </w:rPr>
            </w:pPr>
          </w:p>
        </w:tc>
        <w:tc>
          <w:tcPr>
            <w:tcW w:w="1078"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number of Appeal Committees referrals </w:t>
            </w:r>
          </w:p>
        </w:tc>
        <w:tc>
          <w:tcPr>
            <w:tcW w:w="712"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DGs/policy areas concerned </w:t>
            </w:r>
          </w:p>
        </w:tc>
        <w:tc>
          <w:tcPr>
            <w:tcW w:w="686"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Appeal committee positive </w:t>
            </w:r>
          </w:p>
        </w:tc>
        <w:tc>
          <w:tcPr>
            <w:tcW w:w="662"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Appeal committee negative</w:t>
            </w:r>
          </w:p>
        </w:tc>
        <w:tc>
          <w:tcPr>
            <w:tcW w:w="736"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Appeal committee no opinion</w:t>
            </w:r>
          </w:p>
        </w:tc>
        <w:tc>
          <w:tcPr>
            <w:tcW w:w="738"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Measures adopted in case of no opinion</w:t>
            </w:r>
          </w:p>
        </w:tc>
      </w:tr>
      <w:tr>
        <w:tc>
          <w:tcPr>
            <w:tcW w:w="389" w:type="pct"/>
          </w:tcPr>
          <w:p>
            <w:pPr>
              <w:jc w:val="both"/>
              <w:rPr>
                <w:rFonts w:ascii="Times New Roman" w:hAnsi="Times New Roman" w:cs="Times New Roman"/>
                <w:noProof/>
                <w:sz w:val="24"/>
                <w:szCs w:val="24"/>
              </w:rPr>
            </w:pPr>
            <w:r>
              <w:rPr>
                <w:rFonts w:ascii="Times New Roman" w:hAnsi="Times New Roman" w:cs="Times New Roman"/>
                <w:noProof/>
                <w:sz w:val="24"/>
                <w:szCs w:val="24"/>
              </w:rPr>
              <w:t>2011</w:t>
            </w:r>
          </w:p>
        </w:tc>
        <w:tc>
          <w:tcPr>
            <w:tcW w:w="1078" w:type="pct"/>
          </w:tcPr>
          <w:p>
            <w:pPr>
              <w:jc w:val="center"/>
              <w:rPr>
                <w:rFonts w:ascii="Times New Roman" w:hAnsi="Times New Roman" w:cs="Times New Roman"/>
                <w:noProof/>
                <w:sz w:val="24"/>
                <w:szCs w:val="24"/>
              </w:rPr>
            </w:pPr>
            <w:r>
              <w:rPr>
                <w:rFonts w:ascii="Times New Roman" w:hAnsi="Times New Roman" w:cs="Times New Roman"/>
                <w:noProof/>
                <w:sz w:val="24"/>
                <w:szCs w:val="24"/>
              </w:rPr>
              <w:t>8</w:t>
            </w:r>
          </w:p>
        </w:tc>
        <w:tc>
          <w:tcPr>
            <w:tcW w:w="712" w:type="pct"/>
          </w:tcPr>
          <w:p>
            <w:pPr>
              <w:jc w:val="center"/>
              <w:rPr>
                <w:rFonts w:ascii="Times New Roman" w:hAnsi="Times New Roman" w:cs="Times New Roman"/>
                <w:noProof/>
                <w:sz w:val="20"/>
                <w:szCs w:val="20"/>
              </w:rPr>
            </w:pPr>
            <w:r>
              <w:rPr>
                <w:rFonts w:ascii="Times New Roman" w:hAnsi="Times New Roman" w:cs="Times New Roman"/>
                <w:noProof/>
                <w:sz w:val="20"/>
                <w:szCs w:val="20"/>
              </w:rPr>
              <w:t xml:space="preserve">Plant protection products, medicinal products </w:t>
            </w:r>
          </w:p>
        </w:tc>
        <w:tc>
          <w:tcPr>
            <w:tcW w:w="686" w:type="pct"/>
          </w:tcPr>
          <w:p>
            <w:pPr>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662" w:type="pct"/>
          </w:tcPr>
          <w:p>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736" w:type="pct"/>
          </w:tcPr>
          <w:p>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738" w:type="pct"/>
          </w:tcPr>
          <w:p>
            <w:pPr>
              <w:jc w:val="center"/>
              <w:rPr>
                <w:rFonts w:ascii="Times New Roman" w:hAnsi="Times New Roman" w:cs="Times New Roman"/>
                <w:noProof/>
                <w:sz w:val="24"/>
                <w:szCs w:val="24"/>
              </w:rPr>
            </w:pPr>
            <w:r>
              <w:rPr>
                <w:rFonts w:ascii="Times New Roman" w:hAnsi="Times New Roman" w:cs="Times New Roman"/>
                <w:noProof/>
                <w:sz w:val="24"/>
                <w:szCs w:val="24"/>
              </w:rPr>
              <w:t>5</w:t>
            </w:r>
          </w:p>
        </w:tc>
      </w:tr>
      <w:tr>
        <w:tc>
          <w:tcPr>
            <w:tcW w:w="389" w:type="pct"/>
          </w:tcPr>
          <w:p>
            <w:pPr>
              <w:jc w:val="both"/>
              <w:rPr>
                <w:rFonts w:ascii="Times New Roman" w:hAnsi="Times New Roman" w:cs="Times New Roman"/>
                <w:noProof/>
                <w:sz w:val="24"/>
                <w:szCs w:val="24"/>
              </w:rPr>
            </w:pPr>
            <w:r>
              <w:rPr>
                <w:rFonts w:ascii="Times New Roman" w:hAnsi="Times New Roman" w:cs="Times New Roman"/>
                <w:noProof/>
                <w:sz w:val="24"/>
                <w:szCs w:val="24"/>
              </w:rPr>
              <w:t>2012</w:t>
            </w:r>
          </w:p>
        </w:tc>
        <w:tc>
          <w:tcPr>
            <w:tcW w:w="1078" w:type="pct"/>
          </w:tcPr>
          <w:p>
            <w:pPr>
              <w:jc w:val="center"/>
              <w:rPr>
                <w:rFonts w:ascii="Times New Roman" w:hAnsi="Times New Roman" w:cs="Times New Roman"/>
                <w:noProof/>
                <w:sz w:val="24"/>
                <w:szCs w:val="24"/>
              </w:rPr>
            </w:pPr>
            <w:r>
              <w:rPr>
                <w:rFonts w:ascii="Times New Roman" w:hAnsi="Times New Roman" w:cs="Times New Roman"/>
                <w:noProof/>
                <w:sz w:val="24"/>
                <w:szCs w:val="24"/>
              </w:rPr>
              <w:t>6</w:t>
            </w:r>
          </w:p>
        </w:tc>
        <w:tc>
          <w:tcPr>
            <w:tcW w:w="712" w:type="pct"/>
          </w:tcPr>
          <w:p>
            <w:pPr>
              <w:rPr>
                <w:rFonts w:ascii="Times New Roman" w:hAnsi="Times New Roman" w:cs="Times New Roman"/>
                <w:noProof/>
                <w:sz w:val="20"/>
                <w:szCs w:val="20"/>
              </w:rPr>
            </w:pPr>
            <w:r>
              <w:rPr>
                <w:rFonts w:ascii="Times New Roman" w:hAnsi="Times New Roman" w:cs="Times New Roman"/>
                <w:noProof/>
                <w:sz w:val="20"/>
                <w:szCs w:val="20"/>
              </w:rPr>
              <w:t xml:space="preserve">Genetically modified food and feed </w:t>
            </w:r>
          </w:p>
        </w:tc>
        <w:tc>
          <w:tcPr>
            <w:tcW w:w="686" w:type="pct"/>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662" w:type="pct"/>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736" w:type="pct"/>
          </w:tcPr>
          <w:p>
            <w:pPr>
              <w:jc w:val="center"/>
              <w:rPr>
                <w:rFonts w:ascii="Times New Roman" w:hAnsi="Times New Roman" w:cs="Times New Roman"/>
                <w:noProof/>
                <w:sz w:val="24"/>
                <w:szCs w:val="24"/>
              </w:rPr>
            </w:pPr>
            <w:r>
              <w:rPr>
                <w:rFonts w:ascii="Times New Roman" w:hAnsi="Times New Roman" w:cs="Times New Roman"/>
                <w:noProof/>
                <w:sz w:val="24"/>
                <w:szCs w:val="24"/>
              </w:rPr>
              <w:t>6</w:t>
            </w:r>
          </w:p>
        </w:tc>
        <w:tc>
          <w:tcPr>
            <w:tcW w:w="738" w:type="pct"/>
          </w:tcPr>
          <w:p>
            <w:pPr>
              <w:jc w:val="center"/>
              <w:rPr>
                <w:rFonts w:ascii="Times New Roman" w:hAnsi="Times New Roman" w:cs="Times New Roman"/>
                <w:noProof/>
                <w:sz w:val="24"/>
                <w:szCs w:val="24"/>
              </w:rPr>
            </w:pPr>
            <w:r>
              <w:rPr>
                <w:rFonts w:ascii="Times New Roman" w:hAnsi="Times New Roman" w:cs="Times New Roman"/>
                <w:noProof/>
                <w:sz w:val="24"/>
                <w:szCs w:val="24"/>
              </w:rPr>
              <w:t>6</w:t>
            </w:r>
          </w:p>
        </w:tc>
      </w:tr>
      <w:tr>
        <w:tc>
          <w:tcPr>
            <w:tcW w:w="389" w:type="pct"/>
          </w:tcPr>
          <w:p>
            <w:pPr>
              <w:jc w:val="both"/>
              <w:rPr>
                <w:rFonts w:ascii="Times New Roman" w:hAnsi="Times New Roman" w:cs="Times New Roman"/>
                <w:noProof/>
                <w:sz w:val="24"/>
                <w:szCs w:val="24"/>
              </w:rPr>
            </w:pPr>
            <w:r>
              <w:rPr>
                <w:rFonts w:ascii="Times New Roman" w:hAnsi="Times New Roman" w:cs="Times New Roman"/>
                <w:noProof/>
                <w:sz w:val="24"/>
                <w:szCs w:val="24"/>
              </w:rPr>
              <w:t>2013</w:t>
            </w:r>
          </w:p>
        </w:tc>
        <w:tc>
          <w:tcPr>
            <w:tcW w:w="1078" w:type="pct"/>
          </w:tcPr>
          <w:p>
            <w:pPr>
              <w:jc w:val="center"/>
              <w:rPr>
                <w:rFonts w:ascii="Times New Roman" w:hAnsi="Times New Roman" w:cs="Times New Roman"/>
                <w:noProof/>
                <w:sz w:val="24"/>
                <w:szCs w:val="24"/>
              </w:rPr>
            </w:pPr>
            <w:r>
              <w:rPr>
                <w:rFonts w:ascii="Times New Roman" w:hAnsi="Times New Roman" w:cs="Times New Roman"/>
                <w:noProof/>
                <w:sz w:val="24"/>
                <w:szCs w:val="24"/>
              </w:rPr>
              <w:t>9</w:t>
            </w:r>
          </w:p>
        </w:tc>
        <w:tc>
          <w:tcPr>
            <w:tcW w:w="712" w:type="pct"/>
          </w:tcPr>
          <w:p>
            <w:pPr>
              <w:jc w:val="center"/>
              <w:rPr>
                <w:rFonts w:ascii="Times New Roman" w:hAnsi="Times New Roman" w:cs="Times New Roman"/>
                <w:noProof/>
                <w:sz w:val="20"/>
                <w:szCs w:val="20"/>
              </w:rPr>
            </w:pPr>
            <w:r>
              <w:rPr>
                <w:rFonts w:ascii="Times New Roman" w:hAnsi="Times New Roman" w:cs="Times New Roman"/>
                <w:noProof/>
                <w:sz w:val="20"/>
                <w:szCs w:val="20"/>
              </w:rPr>
              <w:t xml:space="preserve">Genetically modified food and feed, plant protection products, biocidal products, community customs code  </w:t>
            </w:r>
          </w:p>
        </w:tc>
        <w:tc>
          <w:tcPr>
            <w:tcW w:w="686" w:type="pct"/>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662" w:type="pct"/>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736" w:type="pct"/>
          </w:tcPr>
          <w:p>
            <w:pPr>
              <w:jc w:val="center"/>
              <w:rPr>
                <w:rFonts w:ascii="Times New Roman" w:hAnsi="Times New Roman" w:cs="Times New Roman"/>
                <w:noProof/>
                <w:sz w:val="24"/>
                <w:szCs w:val="24"/>
              </w:rPr>
            </w:pPr>
            <w:r>
              <w:rPr>
                <w:rFonts w:ascii="Times New Roman" w:hAnsi="Times New Roman" w:cs="Times New Roman"/>
                <w:noProof/>
                <w:sz w:val="24"/>
                <w:szCs w:val="24"/>
              </w:rPr>
              <w:t>9</w:t>
            </w:r>
          </w:p>
        </w:tc>
        <w:tc>
          <w:tcPr>
            <w:tcW w:w="738" w:type="pct"/>
          </w:tcPr>
          <w:p>
            <w:pPr>
              <w:jc w:val="center"/>
              <w:rPr>
                <w:rFonts w:ascii="Times New Roman" w:hAnsi="Times New Roman" w:cs="Times New Roman"/>
                <w:noProof/>
                <w:sz w:val="24"/>
                <w:szCs w:val="24"/>
              </w:rPr>
            </w:pPr>
            <w:r>
              <w:rPr>
                <w:rFonts w:ascii="Times New Roman" w:hAnsi="Times New Roman" w:cs="Times New Roman"/>
                <w:noProof/>
                <w:sz w:val="24"/>
                <w:szCs w:val="24"/>
              </w:rPr>
              <w:t>8</w:t>
            </w:r>
          </w:p>
        </w:tc>
      </w:tr>
      <w:tr>
        <w:tc>
          <w:tcPr>
            <w:tcW w:w="389" w:type="pct"/>
          </w:tcPr>
          <w:p>
            <w:pPr>
              <w:jc w:val="both"/>
              <w:rPr>
                <w:rFonts w:ascii="Times New Roman" w:hAnsi="Times New Roman" w:cs="Times New Roman"/>
                <w:noProof/>
                <w:sz w:val="24"/>
                <w:szCs w:val="24"/>
              </w:rPr>
            </w:pPr>
            <w:r>
              <w:rPr>
                <w:rFonts w:ascii="Times New Roman" w:hAnsi="Times New Roman" w:cs="Times New Roman"/>
                <w:noProof/>
                <w:sz w:val="24"/>
                <w:szCs w:val="24"/>
              </w:rPr>
              <w:t>2014</w:t>
            </w:r>
          </w:p>
        </w:tc>
        <w:tc>
          <w:tcPr>
            <w:tcW w:w="1078" w:type="pct"/>
          </w:tcPr>
          <w:p>
            <w:pPr>
              <w:jc w:val="center"/>
              <w:rPr>
                <w:rFonts w:ascii="Times New Roman" w:hAnsi="Times New Roman" w:cs="Times New Roman"/>
                <w:noProof/>
                <w:sz w:val="24"/>
                <w:szCs w:val="24"/>
              </w:rPr>
            </w:pPr>
            <w:r>
              <w:rPr>
                <w:rFonts w:ascii="Times New Roman" w:hAnsi="Times New Roman" w:cs="Times New Roman"/>
                <w:noProof/>
                <w:sz w:val="24"/>
                <w:szCs w:val="24"/>
              </w:rPr>
              <w:t>13</w:t>
            </w:r>
          </w:p>
        </w:tc>
        <w:tc>
          <w:tcPr>
            <w:tcW w:w="712" w:type="pct"/>
          </w:tcPr>
          <w:p>
            <w:pPr>
              <w:jc w:val="center"/>
              <w:rPr>
                <w:rFonts w:ascii="Times New Roman" w:hAnsi="Times New Roman" w:cs="Times New Roman"/>
                <w:noProof/>
                <w:sz w:val="20"/>
                <w:szCs w:val="20"/>
              </w:rPr>
            </w:pPr>
            <w:r>
              <w:rPr>
                <w:rFonts w:ascii="Times New Roman" w:hAnsi="Times New Roman" w:cs="Times New Roman"/>
                <w:noProof/>
                <w:sz w:val="20"/>
                <w:szCs w:val="20"/>
              </w:rPr>
              <w:t xml:space="preserve">Genetically modified food and feed, rules and standards on ship inspections  </w:t>
            </w:r>
          </w:p>
        </w:tc>
        <w:tc>
          <w:tcPr>
            <w:tcW w:w="686" w:type="pct"/>
          </w:tcPr>
          <w:p>
            <w:pPr>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662" w:type="pct"/>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736" w:type="pct"/>
          </w:tcPr>
          <w:p>
            <w:pPr>
              <w:jc w:val="center"/>
              <w:rPr>
                <w:rFonts w:ascii="Times New Roman" w:hAnsi="Times New Roman" w:cs="Times New Roman"/>
                <w:noProof/>
                <w:sz w:val="24"/>
                <w:szCs w:val="24"/>
              </w:rPr>
            </w:pPr>
            <w:r>
              <w:rPr>
                <w:rFonts w:ascii="Times New Roman" w:hAnsi="Times New Roman" w:cs="Times New Roman"/>
                <w:noProof/>
                <w:sz w:val="24"/>
                <w:szCs w:val="24"/>
              </w:rPr>
              <w:t>11</w:t>
            </w:r>
          </w:p>
        </w:tc>
        <w:tc>
          <w:tcPr>
            <w:tcW w:w="738" w:type="pct"/>
          </w:tcPr>
          <w:p>
            <w:pPr>
              <w:jc w:val="center"/>
              <w:rPr>
                <w:rFonts w:ascii="Times New Roman" w:hAnsi="Times New Roman" w:cs="Times New Roman"/>
                <w:noProof/>
                <w:sz w:val="24"/>
                <w:szCs w:val="24"/>
              </w:rPr>
            </w:pPr>
            <w:r>
              <w:rPr>
                <w:rFonts w:ascii="Times New Roman" w:hAnsi="Times New Roman" w:cs="Times New Roman"/>
                <w:noProof/>
                <w:sz w:val="24"/>
                <w:szCs w:val="24"/>
              </w:rPr>
              <w:t>11</w:t>
            </w:r>
          </w:p>
        </w:tc>
      </w:tr>
      <w:tr>
        <w:tc>
          <w:tcPr>
            <w:tcW w:w="389" w:type="pct"/>
            <w:shd w:val="clear" w:color="auto" w:fill="D9D9D9" w:themeFill="background1" w:themeFillShade="D9"/>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Total  </w:t>
            </w:r>
          </w:p>
        </w:tc>
        <w:tc>
          <w:tcPr>
            <w:tcW w:w="1078"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cs="Times New Roman"/>
                <w:noProof/>
                <w:sz w:val="24"/>
                <w:szCs w:val="24"/>
              </w:rPr>
              <w:t>36</w:t>
            </w:r>
          </w:p>
        </w:tc>
        <w:tc>
          <w:tcPr>
            <w:tcW w:w="712" w:type="pct"/>
            <w:shd w:val="clear" w:color="auto" w:fill="D9D9D9" w:themeFill="background1" w:themeFillShade="D9"/>
          </w:tcPr>
          <w:p>
            <w:pPr>
              <w:jc w:val="center"/>
              <w:rPr>
                <w:rFonts w:ascii="Times New Roman" w:hAnsi="Times New Roman" w:cs="Times New Roman"/>
                <w:noProof/>
                <w:sz w:val="24"/>
                <w:szCs w:val="24"/>
              </w:rPr>
            </w:pPr>
          </w:p>
        </w:tc>
        <w:tc>
          <w:tcPr>
            <w:tcW w:w="686"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662"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736"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738"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cs="Times New Roman"/>
                <w:noProof/>
                <w:sz w:val="24"/>
                <w:szCs w:val="24"/>
              </w:rPr>
              <w:t>30</w:t>
            </w:r>
          </w:p>
        </w:tc>
      </w:tr>
    </w:tbl>
    <w:p>
      <w:pPr>
        <w:jc w:val="both"/>
        <w:rPr>
          <w:rFonts w:ascii="Times New Roman" w:hAnsi="Times New Roman" w:cs="Times New Roman"/>
          <w:noProof/>
          <w:sz w:val="24"/>
          <w:szCs w:val="24"/>
        </w:rPr>
      </w:pPr>
      <w:r>
        <w:rPr>
          <w:rFonts w:ascii="Times New Roman" w:hAnsi="Times New Roman" w:cs="Times New Roman"/>
          <w:noProof/>
          <w:sz w:val="20"/>
          <w:szCs w:val="20"/>
        </w:rPr>
        <w:t xml:space="preserve">Table 2, data from the Comitology Register and the annual reports </w:t>
      </w:r>
    </w:p>
    <w:p>
      <w:pPr>
        <w:jc w:val="both"/>
        <w:rPr>
          <w:rFonts w:ascii="Times New Roman" w:hAnsi="Times New Roman" w:cs="Times New Roman"/>
          <w:noProof/>
          <w:sz w:val="24"/>
          <w:szCs w:val="24"/>
        </w:rPr>
      </w:pPr>
      <w:r>
        <w:rPr>
          <w:rFonts w:ascii="Times New Roman" w:hAnsi="Times New Roman" w:cs="Times New Roman"/>
          <w:noProof/>
          <w:sz w:val="24"/>
          <w:szCs w:val="24"/>
        </w:rPr>
        <w:t>So far the appeal committee has mainly been convened in relation to one policy area, namely health and consumer protection, and more specifically in relation to genetically modified food and feed and plant protection products. In these cases the appeal committee has so far confirmed the no opinion outcome of the committee. The Commission Communication 'Reviewing the decision-making process on genetically modified organisms (GMOs)</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provides a detailed analysis of the decision-making process in the area of genetically modified food and feed.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referral to the appeal committee has taken place with a comparable frequency to the earlier referrals to the Council, which are no longer permitted under the new institutional framework. Those referrals occurred in similar policy areas and with similar outcomes. On the practical side, experience shows that Member States were so far in nearly all cases represented by members of the Permanent Representation. </w:t>
      </w:r>
    </w:p>
    <w:p>
      <w:pPr>
        <w:jc w:val="both"/>
        <w:rPr>
          <w:rFonts w:ascii="Times New Roman" w:hAnsi="Times New Roman" w:cs="Times New Roman"/>
          <w:b/>
          <w:noProof/>
          <w:sz w:val="24"/>
          <w:szCs w:val="24"/>
          <w:lang w:val="en"/>
        </w:rPr>
      </w:pPr>
      <w:r>
        <w:rPr>
          <w:rFonts w:ascii="Times New Roman" w:hAnsi="Times New Roman" w:cs="Times New Roman"/>
          <w:noProof/>
          <w:sz w:val="24"/>
          <w:szCs w:val="24"/>
        </w:rPr>
        <w:t xml:space="preserve">     </w:t>
      </w:r>
      <w:r>
        <w:rPr>
          <w:rFonts w:ascii="Times New Roman" w:hAnsi="Times New Roman" w:cs="Times New Roman"/>
          <w:b/>
          <w:noProof/>
          <w:sz w:val="24"/>
          <w:szCs w:val="24"/>
          <w:lang w:val="en"/>
        </w:rPr>
        <w:t xml:space="preserve">3.3 The flexibility for the Commission to adopt in case of a no opinion (examination procedure) </w:t>
      </w:r>
    </w:p>
    <w:p>
      <w:pPr>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182/2011 introduced more flexibility for the Commission in case there is no qualified majority in favour or against the draft (referred to as a no opinion) in the committee in the examination procedure. Previously, both the management and the regulatory procedure foresaw that in case of a no opinion in the committee, respectively if the Council did not act, the Commission '</w:t>
      </w:r>
      <w:r>
        <w:rPr>
          <w:rFonts w:ascii="Times New Roman" w:hAnsi="Times New Roman" w:cs="Times New Roman"/>
          <w:i/>
          <w:noProof/>
          <w:sz w:val="24"/>
          <w:szCs w:val="24"/>
        </w:rPr>
        <w:t>shall</w:t>
      </w:r>
      <w:r>
        <w:rPr>
          <w:rFonts w:ascii="Times New Roman" w:hAnsi="Times New Roman" w:cs="Times New Roman"/>
          <w:noProof/>
          <w:sz w:val="24"/>
          <w:szCs w:val="24"/>
        </w:rPr>
        <w:t xml:space="preserve">' adopt the measure.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provides that the Commission </w:t>
      </w:r>
      <w:r>
        <w:rPr>
          <w:rFonts w:ascii="Times New Roman" w:hAnsi="Times New Roman" w:cs="Times New Roman"/>
          <w:i/>
          <w:noProof/>
          <w:sz w:val="24"/>
          <w:szCs w:val="24"/>
        </w:rPr>
        <w:t>'may</w:t>
      </w:r>
      <w:r>
        <w:rPr>
          <w:rFonts w:ascii="Times New Roman" w:hAnsi="Times New Roman" w:cs="Times New Roman"/>
          <w:noProof/>
          <w:sz w:val="24"/>
          <w:szCs w:val="24"/>
        </w:rPr>
        <w:t>' adopt, either in case of a no opinion in the committee, or in the appeal committee. Increased</w:t>
      </w:r>
      <w:r>
        <w:rPr>
          <w:rFonts w:ascii="Times New Roman" w:hAnsi="Times New Roman" w:cs="Times New Roman"/>
          <w:noProof/>
          <w:sz w:val="24"/>
          <w:szCs w:val="24"/>
          <w:lang w:val="en"/>
        </w:rPr>
        <w:t xml:space="preserve"> flexibility was introduced to enable the Commission to reconsider draft measures and to be in a position to decide whether or not to adopt the draft measures or to present an amended draft to the committee, taking account inter alia of positions expressed within the committee.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increased flexibility is subject to a number of exceptions listed in Article 5(4) of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i.e. in certain policy areas (taxation, financial services, the protection of the health or safety of humans, animals or plants, or definitive multilateral safeguard measures), if the basic act provides that the draft implementing act may not be adopted where no opinion is delivered (no opinion clause) or if a simple majority of the component members of the committee opposes it. In these cases the Commission is prevented from adopting the draft. If the act is nevertheless deemed necessary the chair can submit an amended version of the implementing act to the committee or refer it to the appeal committee. The inclusion of a no opinion clause in the basic act must respond to a specific need and must be justified by the legislator. Since the entry into force of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the Commission has made statements in that sense in about 30 cases in response to the legislator which had introduced such clauses in basic legal acts without providing justifications for doing so. The majority of actual no opinion votes have so far, however, taken place in areas that are either already covered by the specific policy areas listed in Article 5(4), and where the Commission cannot adopt without going to the appeal committee, or in areas (notably customs, agriculture, development cooperation and trade) in which none of the three exceptions apply and the Commission could adopt the act anyhow without having to seize the appeal committee.   </w:t>
      </w:r>
    </w:p>
    <w:tbl>
      <w:tblPr>
        <w:tblStyle w:val="TableGrid3"/>
        <w:tblW w:w="5000" w:type="pct"/>
        <w:tblLook w:val="04A0" w:firstRow="1" w:lastRow="0" w:firstColumn="1" w:lastColumn="0" w:noHBand="0" w:noVBand="1"/>
      </w:tblPr>
      <w:tblGrid>
        <w:gridCol w:w="856"/>
        <w:gridCol w:w="1488"/>
        <w:gridCol w:w="3472"/>
        <w:gridCol w:w="3472"/>
      </w:tblGrid>
      <w:tr>
        <w:tc>
          <w:tcPr>
            <w:tcW w:w="461" w:type="pct"/>
            <w:shd w:val="clear" w:color="auto" w:fill="EEECE1" w:themeFill="background2"/>
          </w:tcPr>
          <w:p>
            <w:pPr>
              <w:jc w:val="both"/>
              <w:rPr>
                <w:rFonts w:ascii="Times New Roman" w:hAnsi="Times New Roman" w:cs="Times New Roman"/>
                <w:noProof/>
                <w:sz w:val="24"/>
                <w:szCs w:val="24"/>
              </w:rPr>
            </w:pPr>
          </w:p>
        </w:tc>
        <w:tc>
          <w:tcPr>
            <w:tcW w:w="801"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No opinions in examination procedure  </w:t>
            </w:r>
          </w:p>
        </w:tc>
        <w:tc>
          <w:tcPr>
            <w:tcW w:w="1869"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Commission adopted measure</w:t>
            </w:r>
          </w:p>
        </w:tc>
        <w:tc>
          <w:tcPr>
            <w:tcW w:w="1869"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Commission did not adopt measure</w:t>
            </w:r>
          </w:p>
        </w:tc>
      </w:tr>
      <w:tr>
        <w:tc>
          <w:tcPr>
            <w:tcW w:w="461"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2011</w:t>
            </w:r>
          </w:p>
        </w:tc>
        <w:tc>
          <w:tcPr>
            <w:tcW w:w="80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67</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63</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4</w:t>
            </w:r>
          </w:p>
        </w:tc>
      </w:tr>
      <w:tr>
        <w:tc>
          <w:tcPr>
            <w:tcW w:w="461"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2012</w:t>
            </w:r>
          </w:p>
        </w:tc>
        <w:tc>
          <w:tcPr>
            <w:tcW w:w="80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73</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70</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3</w:t>
            </w:r>
          </w:p>
        </w:tc>
      </w:tr>
      <w:tr>
        <w:tc>
          <w:tcPr>
            <w:tcW w:w="461"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2013</w:t>
            </w:r>
          </w:p>
        </w:tc>
        <w:tc>
          <w:tcPr>
            <w:tcW w:w="80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49</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47</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2</w:t>
            </w:r>
          </w:p>
        </w:tc>
      </w:tr>
      <w:tr>
        <w:tc>
          <w:tcPr>
            <w:tcW w:w="461" w:type="pct"/>
            <w:shd w:val="clear" w:color="auto" w:fill="auto"/>
          </w:tcPr>
          <w:p>
            <w:pPr>
              <w:jc w:val="both"/>
              <w:rPr>
                <w:rFonts w:ascii="Times New Roman" w:hAnsi="Times New Roman" w:cs="Times New Roman"/>
                <w:noProof/>
                <w:sz w:val="24"/>
                <w:szCs w:val="24"/>
              </w:rPr>
            </w:pPr>
            <w:r>
              <w:rPr>
                <w:rFonts w:ascii="Times New Roman" w:hAnsi="Times New Roman" w:cs="Times New Roman"/>
                <w:noProof/>
                <w:sz w:val="24"/>
                <w:szCs w:val="24"/>
              </w:rPr>
              <w:t>2014</w:t>
            </w:r>
          </w:p>
        </w:tc>
        <w:tc>
          <w:tcPr>
            <w:tcW w:w="801"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45</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42</w:t>
            </w:r>
          </w:p>
        </w:tc>
        <w:tc>
          <w:tcPr>
            <w:tcW w:w="1869" w:type="pct"/>
            <w:shd w:val="clear" w:color="auto" w:fill="auto"/>
          </w:tcPr>
          <w:p>
            <w:pPr>
              <w:jc w:val="center"/>
              <w:rPr>
                <w:rFonts w:ascii="Times New Roman" w:hAnsi="Times New Roman" w:cs="Times New Roman"/>
                <w:noProof/>
                <w:sz w:val="24"/>
                <w:szCs w:val="24"/>
              </w:rPr>
            </w:pPr>
            <w:r>
              <w:rPr>
                <w:rFonts w:ascii="Times New Roman" w:hAnsi="Times New Roman" w:cs="Times New Roman"/>
                <w:noProof/>
                <w:sz w:val="24"/>
                <w:szCs w:val="24"/>
              </w:rPr>
              <w:t>3</w:t>
            </w:r>
          </w:p>
        </w:tc>
      </w:tr>
      <w:tr>
        <w:tc>
          <w:tcPr>
            <w:tcW w:w="461" w:type="pct"/>
            <w:shd w:val="clear" w:color="auto" w:fill="D9D9D9" w:themeFill="background1" w:themeFillShade="D9"/>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Total </w:t>
            </w:r>
          </w:p>
        </w:tc>
        <w:tc>
          <w:tcPr>
            <w:tcW w:w="801"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cs="Times New Roman"/>
                <w:noProof/>
                <w:sz w:val="24"/>
                <w:szCs w:val="24"/>
              </w:rPr>
              <w:t>234</w:t>
            </w:r>
          </w:p>
        </w:tc>
        <w:tc>
          <w:tcPr>
            <w:tcW w:w="1869"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cs="Times New Roman"/>
                <w:noProof/>
                <w:sz w:val="24"/>
                <w:szCs w:val="24"/>
              </w:rPr>
              <w:t>222</w:t>
            </w:r>
          </w:p>
        </w:tc>
        <w:tc>
          <w:tcPr>
            <w:tcW w:w="1869" w:type="pct"/>
            <w:shd w:val="clear" w:color="auto" w:fill="D9D9D9" w:themeFill="background1" w:themeFillShade="D9"/>
          </w:tcPr>
          <w:p>
            <w:pPr>
              <w:jc w:val="center"/>
              <w:rPr>
                <w:rFonts w:ascii="Times New Roman" w:hAnsi="Times New Roman" w:cs="Times New Roman"/>
                <w:noProof/>
                <w:sz w:val="24"/>
                <w:szCs w:val="24"/>
              </w:rPr>
            </w:pPr>
            <w:r>
              <w:rPr>
                <w:rFonts w:ascii="Times New Roman" w:hAnsi="Times New Roman" w:cs="Times New Roman"/>
                <w:noProof/>
                <w:sz w:val="24"/>
                <w:szCs w:val="24"/>
              </w:rPr>
              <w:t>12</w:t>
            </w:r>
          </w:p>
        </w:tc>
      </w:tr>
    </w:tbl>
    <w:p>
      <w:pPr>
        <w:jc w:val="both"/>
        <w:rPr>
          <w:rFonts w:ascii="Times New Roman" w:hAnsi="Times New Roman" w:cs="Times New Roman"/>
          <w:noProof/>
          <w:sz w:val="20"/>
          <w:szCs w:val="20"/>
        </w:rPr>
      </w:pPr>
      <w:r>
        <w:rPr>
          <w:rFonts w:ascii="Times New Roman" w:hAnsi="Times New Roman" w:cs="Times New Roman"/>
          <w:noProof/>
          <w:sz w:val="20"/>
          <w:szCs w:val="20"/>
        </w:rPr>
        <w:t xml:space="preserve">Table 3, data extracted from the Comitology Register (excluding the appeal committee), data may differ from that in the annual report </w:t>
      </w:r>
    </w:p>
    <w:p>
      <w:pPr>
        <w:jc w:val="both"/>
        <w:rPr>
          <w:rFonts w:ascii="Times New Roman" w:hAnsi="Times New Roman" w:cs="Times New Roman"/>
          <w:noProof/>
          <w:sz w:val="24"/>
          <w:szCs w:val="24"/>
        </w:rPr>
      </w:pPr>
      <w:r>
        <w:rPr>
          <w:rFonts w:ascii="Times New Roman" w:hAnsi="Times New Roman" w:cs="Times New Roman"/>
          <w:noProof/>
          <w:sz w:val="24"/>
          <w:szCs w:val="24"/>
        </w:rPr>
        <w:t>The data above shows that the Commission does not frequently use the possibility to not adopt the act in case of no opinion. In practice the Commission's flexibility is significantly reduced in cases relating to the authorisation of products or substances, such as in the area of genetically modified food and feed, as the Commission is required to adopt a decision (authorising or prohibiting the placing on the market) within a reasonable amount of time. It cannot abstain from taking a position. In these cases the Commission is also prevented from adopting the draft act in case of no opinion of the committee, to do so it must first refer the draft act to the appeal committee. This also partially explains why the appeal committee was so far mainly convened in this policy area. To address the particular situation in the field of</w:t>
      </w:r>
      <w:r>
        <w:rPr>
          <w:b/>
          <w:bCs/>
          <w:noProof/>
        </w:rPr>
        <w:t xml:space="preserve"> </w:t>
      </w:r>
      <w:r>
        <w:rPr>
          <w:rFonts w:ascii="Times New Roman" w:hAnsi="Times New Roman" w:cs="Times New Roman"/>
          <w:bCs/>
          <w:noProof/>
          <w:sz w:val="24"/>
          <w:szCs w:val="24"/>
        </w:rPr>
        <w:t>genetically modified food and feed,</w:t>
      </w:r>
      <w:r>
        <w:rPr>
          <w:rFonts w:ascii="Times New Roman" w:hAnsi="Times New Roman" w:cs="Times New Roman"/>
          <w:noProof/>
          <w:sz w:val="24"/>
          <w:szCs w:val="24"/>
        </w:rPr>
        <w:t xml:space="preserve"> and following the solution found for cultivation authorisations, the Commission adopted in April 2015 a proposal</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to amend the legislative framework. While the authorisation process is maintained, the proposal foresees that Member States may restrict or prohibit the use of genetically modified food or feed on their territory. The use of this possibility has to be based on grounds other than those related to risks to human and animal health and to the environment, which are addressed at EU level. </w:t>
      </w:r>
    </w:p>
    <w:p>
      <w:pPr>
        <w:jc w:val="both"/>
        <w:rPr>
          <w:rFonts w:ascii="Times New Roman" w:hAnsi="Times New Roman" w:cs="Times New Roman"/>
          <w:noProof/>
          <w:sz w:val="24"/>
          <w:szCs w:val="24"/>
        </w:rPr>
      </w:pPr>
      <w:r>
        <w:rPr>
          <w:rFonts w:ascii="Times New Roman" w:hAnsi="Times New Roman" w:cs="Times New Roman"/>
          <w:noProof/>
          <w:sz w:val="24"/>
          <w:szCs w:val="24"/>
        </w:rPr>
        <w:t>The newly granted flexibility for the Commission to decide whether to adopt a draft implementing act in the case of no opinion is useful. Even though used so far in few cases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it allowed the Commission to reassess the draft measure after the voting results and the discussion in the committee had shown that it did not enjoy the widest possible support within the committee. </w:t>
      </w:r>
    </w:p>
    <w:p>
      <w:pPr>
        <w:pStyle w:val="ListParagraph"/>
        <w:ind w:left="360"/>
        <w:jc w:val="both"/>
        <w:rPr>
          <w:rFonts w:ascii="Times New Roman" w:hAnsi="Times New Roman" w:cs="Times New Roman"/>
          <w:b/>
          <w:noProof/>
          <w:sz w:val="24"/>
          <w:szCs w:val="24"/>
        </w:rPr>
      </w:pPr>
      <w:r>
        <w:rPr>
          <w:rFonts w:ascii="Times New Roman" w:hAnsi="Times New Roman" w:cs="Times New Roman"/>
          <w:b/>
          <w:noProof/>
          <w:sz w:val="24"/>
          <w:szCs w:val="24"/>
        </w:rPr>
        <w:t xml:space="preserve">3.4 The criteria for the choice between the procedures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sets out the criteria for the choice of procedures. Article 2(2) establishes a number of cases in which the examination procedure is generally assumed to apply. </w:t>
      </w:r>
      <w:r>
        <w:rPr>
          <w:rFonts w:ascii="Times New Roman" w:hAnsi="Times New Roman" w:cs="Times New Roman"/>
          <w:noProof/>
          <w:sz w:val="24"/>
          <w:szCs w:val="24"/>
          <w:lang w:val="en"/>
        </w:rPr>
        <w:t xml:space="preserve">The advisory procedure applies in principle to all cases to which the examination procedure does not apply. The criteria for the choice of the examination procedure are similar to those provided for in the 1999 Comitology Decision. Overall, the choice of procedure appears to have been uncontroversial. One notable exception is the </w:t>
      </w:r>
      <w:r>
        <w:rPr>
          <w:rFonts w:ascii="Times New Roman" w:hAnsi="Times New Roman" w:cs="Times New Roman"/>
          <w:noProof/>
          <w:sz w:val="24"/>
          <w:szCs w:val="24"/>
        </w:rPr>
        <w:t>case of the conciliation committee discussing mainly about the choice of procedure (relating to Macro-financial assistance to Georgia</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tbl>
      <w:tblPr>
        <w:tblStyle w:val="TableGrid4"/>
        <w:tblW w:w="5000" w:type="pct"/>
        <w:tblLook w:val="04A0" w:firstRow="1" w:lastRow="0" w:firstColumn="1" w:lastColumn="0" w:noHBand="0" w:noVBand="1"/>
      </w:tblPr>
      <w:tblGrid>
        <w:gridCol w:w="834"/>
        <w:gridCol w:w="4228"/>
        <w:gridCol w:w="4226"/>
      </w:tblGrid>
      <w:tr>
        <w:tc>
          <w:tcPr>
            <w:tcW w:w="449" w:type="pct"/>
            <w:shd w:val="clear" w:color="auto" w:fill="EEECE1" w:themeFill="background2"/>
          </w:tcPr>
          <w:p>
            <w:pPr>
              <w:jc w:val="both"/>
              <w:rPr>
                <w:rFonts w:ascii="Times New Roman" w:hAnsi="Times New Roman" w:cs="Times New Roman"/>
                <w:noProof/>
                <w:sz w:val="24"/>
                <w:szCs w:val="24"/>
              </w:rPr>
            </w:pPr>
          </w:p>
        </w:tc>
        <w:tc>
          <w:tcPr>
            <w:tcW w:w="2276"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Acts adopted under examination procedure  </w:t>
            </w:r>
          </w:p>
        </w:tc>
        <w:tc>
          <w:tcPr>
            <w:tcW w:w="2275"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Acts adopted under the advisory procedure </w:t>
            </w:r>
          </w:p>
        </w:tc>
      </w:tr>
      <w:tr>
        <w:tc>
          <w:tcPr>
            <w:tcW w:w="449" w:type="pct"/>
          </w:tcPr>
          <w:p>
            <w:pPr>
              <w:jc w:val="both"/>
              <w:rPr>
                <w:rFonts w:ascii="Times New Roman" w:hAnsi="Times New Roman" w:cs="Times New Roman"/>
                <w:noProof/>
                <w:sz w:val="24"/>
                <w:szCs w:val="24"/>
              </w:rPr>
            </w:pPr>
            <w:r>
              <w:rPr>
                <w:rFonts w:ascii="Times New Roman" w:hAnsi="Times New Roman" w:cs="Times New Roman"/>
                <w:noProof/>
                <w:sz w:val="24"/>
                <w:szCs w:val="24"/>
              </w:rPr>
              <w:t>2011</w:t>
            </w:r>
          </w:p>
        </w:tc>
        <w:tc>
          <w:tcPr>
            <w:tcW w:w="2276" w:type="pct"/>
          </w:tcPr>
          <w:p>
            <w:pPr>
              <w:jc w:val="center"/>
              <w:rPr>
                <w:rFonts w:ascii="Times New Roman" w:hAnsi="Times New Roman" w:cs="Times New Roman"/>
                <w:noProof/>
                <w:sz w:val="24"/>
                <w:szCs w:val="24"/>
              </w:rPr>
            </w:pPr>
            <w:r>
              <w:rPr>
                <w:rFonts w:ascii="Times New Roman" w:hAnsi="Times New Roman" w:cs="Times New Roman"/>
                <w:noProof/>
                <w:sz w:val="24"/>
                <w:szCs w:val="24"/>
              </w:rPr>
              <w:t>1 311</w:t>
            </w:r>
          </w:p>
        </w:tc>
        <w:tc>
          <w:tcPr>
            <w:tcW w:w="2275" w:type="pct"/>
          </w:tcPr>
          <w:p>
            <w:pPr>
              <w:jc w:val="center"/>
              <w:rPr>
                <w:rFonts w:ascii="Times New Roman" w:hAnsi="Times New Roman" w:cs="Times New Roman"/>
                <w:noProof/>
                <w:sz w:val="24"/>
                <w:szCs w:val="24"/>
              </w:rPr>
            </w:pPr>
            <w:r>
              <w:rPr>
                <w:rFonts w:ascii="Times New Roman" w:hAnsi="Times New Roman" w:cs="Times New Roman"/>
                <w:noProof/>
                <w:sz w:val="24"/>
                <w:szCs w:val="24"/>
              </w:rPr>
              <w:t>77</w:t>
            </w:r>
          </w:p>
        </w:tc>
      </w:tr>
      <w:tr>
        <w:tc>
          <w:tcPr>
            <w:tcW w:w="449" w:type="pct"/>
          </w:tcPr>
          <w:p>
            <w:pPr>
              <w:jc w:val="both"/>
              <w:rPr>
                <w:rFonts w:ascii="Times New Roman" w:hAnsi="Times New Roman" w:cs="Times New Roman"/>
                <w:noProof/>
                <w:sz w:val="24"/>
                <w:szCs w:val="24"/>
              </w:rPr>
            </w:pPr>
            <w:r>
              <w:rPr>
                <w:rFonts w:ascii="Times New Roman" w:hAnsi="Times New Roman" w:cs="Times New Roman"/>
                <w:noProof/>
                <w:sz w:val="24"/>
                <w:szCs w:val="24"/>
              </w:rPr>
              <w:t>2012</w:t>
            </w:r>
          </w:p>
        </w:tc>
        <w:tc>
          <w:tcPr>
            <w:tcW w:w="2276" w:type="pct"/>
          </w:tcPr>
          <w:p>
            <w:pPr>
              <w:jc w:val="center"/>
              <w:rPr>
                <w:rFonts w:ascii="Times New Roman" w:hAnsi="Times New Roman" w:cs="Times New Roman"/>
                <w:noProof/>
                <w:sz w:val="24"/>
                <w:szCs w:val="24"/>
              </w:rPr>
            </w:pPr>
            <w:r>
              <w:rPr>
                <w:rFonts w:ascii="Times New Roman" w:hAnsi="Times New Roman" w:cs="Times New Roman"/>
                <w:noProof/>
                <w:sz w:val="24"/>
                <w:szCs w:val="24"/>
              </w:rPr>
              <w:t>1 591</w:t>
            </w:r>
          </w:p>
        </w:tc>
        <w:tc>
          <w:tcPr>
            <w:tcW w:w="2275" w:type="pct"/>
          </w:tcPr>
          <w:p>
            <w:pPr>
              <w:jc w:val="center"/>
              <w:rPr>
                <w:rFonts w:ascii="Times New Roman" w:hAnsi="Times New Roman" w:cs="Times New Roman"/>
                <w:noProof/>
                <w:sz w:val="24"/>
                <w:szCs w:val="24"/>
              </w:rPr>
            </w:pPr>
            <w:r>
              <w:rPr>
                <w:rFonts w:ascii="Times New Roman" w:hAnsi="Times New Roman" w:cs="Times New Roman"/>
                <w:noProof/>
                <w:sz w:val="24"/>
                <w:szCs w:val="24"/>
              </w:rPr>
              <w:t>121</w:t>
            </w:r>
          </w:p>
        </w:tc>
      </w:tr>
      <w:tr>
        <w:tc>
          <w:tcPr>
            <w:tcW w:w="449" w:type="pct"/>
          </w:tcPr>
          <w:p>
            <w:pPr>
              <w:jc w:val="both"/>
              <w:rPr>
                <w:rFonts w:ascii="Times New Roman" w:hAnsi="Times New Roman" w:cs="Times New Roman"/>
                <w:noProof/>
                <w:sz w:val="24"/>
                <w:szCs w:val="24"/>
              </w:rPr>
            </w:pPr>
            <w:r>
              <w:rPr>
                <w:rFonts w:ascii="Times New Roman" w:hAnsi="Times New Roman" w:cs="Times New Roman"/>
                <w:noProof/>
                <w:sz w:val="24"/>
                <w:szCs w:val="24"/>
              </w:rPr>
              <w:t>2013</w:t>
            </w:r>
          </w:p>
        </w:tc>
        <w:tc>
          <w:tcPr>
            <w:tcW w:w="2276" w:type="pct"/>
          </w:tcPr>
          <w:p>
            <w:pPr>
              <w:jc w:val="center"/>
              <w:rPr>
                <w:rFonts w:ascii="Times New Roman" w:hAnsi="Times New Roman" w:cs="Times New Roman"/>
                <w:noProof/>
                <w:sz w:val="24"/>
                <w:szCs w:val="24"/>
              </w:rPr>
            </w:pPr>
            <w:r>
              <w:rPr>
                <w:rFonts w:ascii="Times New Roman" w:hAnsi="Times New Roman" w:cs="Times New Roman"/>
                <w:noProof/>
                <w:sz w:val="24"/>
                <w:szCs w:val="24"/>
              </w:rPr>
              <w:t>1 579</w:t>
            </w:r>
          </w:p>
        </w:tc>
        <w:tc>
          <w:tcPr>
            <w:tcW w:w="2275" w:type="pct"/>
          </w:tcPr>
          <w:p>
            <w:pPr>
              <w:jc w:val="center"/>
              <w:rPr>
                <w:rFonts w:ascii="Times New Roman" w:hAnsi="Times New Roman" w:cs="Times New Roman"/>
                <w:noProof/>
                <w:sz w:val="24"/>
                <w:szCs w:val="24"/>
              </w:rPr>
            </w:pPr>
            <w:r>
              <w:rPr>
                <w:rFonts w:ascii="Times New Roman" w:hAnsi="Times New Roman" w:cs="Times New Roman"/>
                <w:noProof/>
                <w:sz w:val="24"/>
                <w:szCs w:val="24"/>
              </w:rPr>
              <w:t>143</w:t>
            </w:r>
          </w:p>
        </w:tc>
      </w:tr>
      <w:tr>
        <w:tc>
          <w:tcPr>
            <w:tcW w:w="449" w:type="pct"/>
          </w:tcPr>
          <w:p>
            <w:pPr>
              <w:jc w:val="both"/>
              <w:rPr>
                <w:rFonts w:ascii="Times New Roman" w:hAnsi="Times New Roman" w:cs="Times New Roman"/>
                <w:noProof/>
                <w:sz w:val="24"/>
                <w:szCs w:val="24"/>
              </w:rPr>
            </w:pPr>
            <w:r>
              <w:rPr>
                <w:rFonts w:ascii="Times New Roman" w:hAnsi="Times New Roman" w:cs="Times New Roman"/>
                <w:noProof/>
                <w:sz w:val="24"/>
                <w:szCs w:val="24"/>
              </w:rPr>
              <w:t>2014</w:t>
            </w:r>
          </w:p>
        </w:tc>
        <w:tc>
          <w:tcPr>
            <w:tcW w:w="2276" w:type="pct"/>
          </w:tcPr>
          <w:p>
            <w:pPr>
              <w:jc w:val="center"/>
              <w:rPr>
                <w:rFonts w:ascii="Times New Roman" w:hAnsi="Times New Roman" w:cs="Times New Roman"/>
                <w:noProof/>
                <w:sz w:val="24"/>
                <w:szCs w:val="24"/>
              </w:rPr>
            </w:pPr>
            <w:r>
              <w:rPr>
                <w:rFonts w:ascii="Times New Roman" w:hAnsi="Times New Roman" w:cs="Times New Roman"/>
                <w:noProof/>
                <w:sz w:val="24"/>
                <w:szCs w:val="24"/>
              </w:rPr>
              <w:t>1 437</w:t>
            </w:r>
          </w:p>
        </w:tc>
        <w:tc>
          <w:tcPr>
            <w:tcW w:w="2275" w:type="pct"/>
          </w:tcPr>
          <w:p>
            <w:pPr>
              <w:jc w:val="center"/>
              <w:rPr>
                <w:rFonts w:ascii="Times New Roman" w:hAnsi="Times New Roman" w:cs="Times New Roman"/>
                <w:noProof/>
                <w:sz w:val="24"/>
                <w:szCs w:val="24"/>
              </w:rPr>
            </w:pPr>
            <w:r>
              <w:rPr>
                <w:rFonts w:ascii="Times New Roman" w:hAnsi="Times New Roman" w:cs="Times New Roman"/>
                <w:noProof/>
                <w:sz w:val="24"/>
                <w:szCs w:val="24"/>
              </w:rPr>
              <w:t>122</w:t>
            </w:r>
          </w:p>
        </w:tc>
      </w:tr>
    </w:tbl>
    <w:p>
      <w:pPr>
        <w:jc w:val="both"/>
        <w:rPr>
          <w:rFonts w:ascii="Times New Roman" w:hAnsi="Times New Roman" w:cs="Times New Roman"/>
          <w:noProof/>
          <w:sz w:val="20"/>
          <w:szCs w:val="20"/>
        </w:rPr>
      </w:pPr>
      <w:r>
        <w:rPr>
          <w:rFonts w:ascii="Times New Roman" w:hAnsi="Times New Roman" w:cs="Times New Roman"/>
          <w:noProof/>
          <w:sz w:val="20"/>
          <w:szCs w:val="20"/>
        </w:rPr>
        <w:t xml:space="preserve">Table 4, data extracted from the Comitology Register, data may differ from that in the annual report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examination procedure is clearly the procedure applicable in the majority of cases, only about 10% of the opinions are adopted by advisory procedure. This reflects largely the split of management/regulatory versus advisory procedure under the previous regime.  </w:t>
      </w:r>
    </w:p>
    <w:p>
      <w:pPr>
        <w:pStyle w:val="ListParagraph"/>
        <w:ind w:left="360"/>
        <w:jc w:val="both"/>
        <w:rPr>
          <w:rFonts w:ascii="Times New Roman" w:hAnsi="Times New Roman" w:cs="Times New Roman"/>
          <w:b/>
          <w:noProof/>
          <w:sz w:val="24"/>
          <w:szCs w:val="24"/>
        </w:rPr>
      </w:pPr>
      <w:r>
        <w:rPr>
          <w:rFonts w:ascii="Times New Roman" w:hAnsi="Times New Roman" w:cs="Times New Roman"/>
          <w:b/>
          <w:noProof/>
          <w:sz w:val="24"/>
          <w:szCs w:val="24"/>
        </w:rPr>
        <w:t>3.5 The scrutiny right for the European Parliament and the Council in case of basic acts adopted under the ordinary legislative procedure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Both legislators must be properly and continuously informed of committee proceedings through the Comitology Register. The legislators have a right of scrutiny over draft implementing acts based on acts adopted under the ordinary legislative procedure. This means that at any stage of the procedure they can indicate to the Commission that the draft exceeds the implementing powers provided in the basic act. In such case the Commission has to review the draft and inform the European Parliament and the Council whether it intends to maintain, amend or withdraw it.   </w:t>
      </w:r>
    </w:p>
    <w:p>
      <w:pPr>
        <w:jc w:val="both"/>
        <w:rPr>
          <w:rFonts w:ascii="Times New Roman" w:hAnsi="Times New Roman" w:cs="Times New Roman"/>
          <w:noProof/>
          <w:sz w:val="24"/>
          <w:szCs w:val="24"/>
        </w:rPr>
      </w:pPr>
      <w:r>
        <w:rPr>
          <w:rFonts w:ascii="Times New Roman" w:hAnsi="Times New Roman" w:cs="Times New Roman"/>
          <w:noProof/>
          <w:sz w:val="24"/>
          <w:szCs w:val="24"/>
        </w:rPr>
        <w:t>The two main differences here in relation to the situation before are that there is no fixed scrutiny period any longer and that now the scrutiny right also applies to the Council. The abolition of the one month standstill period has brought efficiency gains and has not proved problematic, especially given the fact that in practice the average time between the vote in the committee and the adoption of the implementing act lies between 30 and 50 days (thus in any case longer than the previous one month period). The scrutiny right has not been used by Council and only in 4 cases by the European Parliament by the end of January 2016</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In one of these, the European Parliament adopted a resolution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after the implementing act was adopted criticising the short timeline between the transmission to the committee and the adoption. </w:t>
      </w:r>
    </w:p>
    <w:p>
      <w:pPr>
        <w:pStyle w:val="ListParagraph"/>
        <w:ind w:left="360"/>
        <w:jc w:val="both"/>
        <w:rPr>
          <w:rFonts w:ascii="Times New Roman" w:hAnsi="Times New Roman" w:cs="Times New Roman"/>
          <w:b/>
          <w:noProof/>
          <w:sz w:val="24"/>
          <w:szCs w:val="24"/>
        </w:rPr>
      </w:pPr>
      <w:r>
        <w:rPr>
          <w:rFonts w:ascii="Times New Roman" w:hAnsi="Times New Roman" w:cs="Times New Roman"/>
          <w:b/>
          <w:noProof/>
          <w:sz w:val="24"/>
          <w:szCs w:val="24"/>
        </w:rPr>
        <w:t xml:space="preserve">3.6 The specific procedural requirements for trade defence measures (anti-dumping and countervailing measures)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novelty compared to the earlier system is that </w:t>
      </w:r>
      <w:r>
        <w:rPr>
          <w:rFonts w:ascii="Times New Roman" w:hAnsi="Times New Roman" w:cs="Times New Roman"/>
          <w:noProof/>
          <w:sz w:val="24"/>
          <w:szCs w:val="24"/>
          <w:lang w:val="en-US"/>
        </w:rPr>
        <w:t xml:space="preserve">trade defense measures (anti-dumping and countervailing measures) are now </w:t>
      </w:r>
      <w:r>
        <w:rPr>
          <w:rFonts w:ascii="Times New Roman" w:hAnsi="Times New Roman" w:cs="Times New Roman"/>
          <w:noProof/>
          <w:sz w:val="24"/>
          <w:szCs w:val="24"/>
        </w:rPr>
        <w:t xml:space="preserve">also </w:t>
      </w:r>
      <w:r>
        <w:rPr>
          <w:rFonts w:ascii="Times New Roman" w:hAnsi="Times New Roman" w:cs="Times New Roman"/>
          <w:noProof/>
          <w:sz w:val="24"/>
          <w:szCs w:val="24"/>
          <w:lang w:val="en-US"/>
        </w:rPr>
        <w:t xml:space="preserve">submitted to committee control, albeit with </w:t>
      </w:r>
      <w:r>
        <w:rPr>
          <w:rFonts w:ascii="Times New Roman" w:hAnsi="Times New Roman" w:cs="Times New Roman"/>
          <w:noProof/>
          <w:sz w:val="24"/>
          <w:szCs w:val="24"/>
        </w:rPr>
        <w:t xml:space="preserve">specific safeguards. First, in case of antidumping and countervailing measures in which the committee delivers no opinion and a simple majority opposes the draft implementing act the appeal committee must be seized. A consultation process of Member States and specific shorter timeframes are also foreseen. Second, at the stage of the appeal committee specific rules are in place blocking the Commission from the adoption of definitive multilateral safeguard measures in the absence of a positive opinion.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practice, before these changes could take effect, the respective trade legislation had to be adapted to make decisions in this field subject to the procedures for the control of the Commission's implementing acts by Member States. This was not the case before, so the alignment provisions in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182/2011 could not yet apply. Regulation (EU) 182/2011 thus only started applying with the adoption of respective alignment legislation in January 2014</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The experiences with the specific provisions are therefore relatively limited until now and relate to the activities of one committee only, the Trade Defence Instruments Committee (C 44100).</w:t>
      </w:r>
    </w:p>
    <w:tbl>
      <w:tblPr>
        <w:tblStyle w:val="TableGrid"/>
        <w:tblW w:w="5000" w:type="pct"/>
        <w:tblLook w:val="04A0" w:firstRow="1" w:lastRow="0" w:firstColumn="1" w:lastColumn="0" w:noHBand="0" w:noVBand="1"/>
      </w:tblPr>
      <w:tblGrid>
        <w:gridCol w:w="842"/>
        <w:gridCol w:w="1328"/>
        <w:gridCol w:w="1811"/>
        <w:gridCol w:w="1328"/>
        <w:gridCol w:w="1328"/>
        <w:gridCol w:w="1328"/>
        <w:gridCol w:w="1323"/>
      </w:tblGrid>
      <w:tr>
        <w:tc>
          <w:tcPr>
            <w:tcW w:w="453"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 </w:t>
            </w:r>
          </w:p>
        </w:tc>
        <w:tc>
          <w:tcPr>
            <w:tcW w:w="715"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Opinions</w:t>
            </w:r>
          </w:p>
        </w:tc>
        <w:tc>
          <w:tcPr>
            <w:tcW w:w="975"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Measures adopted* </w:t>
            </w:r>
          </w:p>
        </w:tc>
        <w:tc>
          <w:tcPr>
            <w:tcW w:w="715"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Positive opinions</w:t>
            </w:r>
          </w:p>
        </w:tc>
        <w:tc>
          <w:tcPr>
            <w:tcW w:w="715"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No opinions</w:t>
            </w:r>
          </w:p>
        </w:tc>
        <w:tc>
          <w:tcPr>
            <w:tcW w:w="715"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Negative </w:t>
            </w:r>
          </w:p>
          <w:p>
            <w:pPr>
              <w:jc w:val="both"/>
              <w:rPr>
                <w:rFonts w:ascii="Times New Roman" w:hAnsi="Times New Roman" w:cs="Times New Roman"/>
                <w:noProof/>
                <w:sz w:val="24"/>
                <w:szCs w:val="24"/>
              </w:rPr>
            </w:pPr>
            <w:r>
              <w:rPr>
                <w:rFonts w:ascii="Times New Roman" w:hAnsi="Times New Roman" w:cs="Times New Roman"/>
                <w:noProof/>
                <w:sz w:val="24"/>
                <w:szCs w:val="24"/>
              </w:rPr>
              <w:t>opinions</w:t>
            </w:r>
          </w:p>
        </w:tc>
        <w:tc>
          <w:tcPr>
            <w:tcW w:w="713" w:type="pct"/>
            <w:shd w:val="clear" w:color="auto" w:fill="EEECE1" w:themeFill="background2"/>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 Appeal Committee </w:t>
            </w:r>
          </w:p>
        </w:tc>
      </w:tr>
      <w:tr>
        <w:tc>
          <w:tcPr>
            <w:tcW w:w="453" w:type="pct"/>
          </w:tcPr>
          <w:p>
            <w:pPr>
              <w:jc w:val="center"/>
              <w:rPr>
                <w:rFonts w:ascii="Times New Roman" w:hAnsi="Times New Roman" w:cs="Times New Roman"/>
                <w:noProof/>
                <w:sz w:val="24"/>
                <w:szCs w:val="24"/>
              </w:rPr>
            </w:pPr>
            <w:r>
              <w:rPr>
                <w:rFonts w:ascii="Times New Roman" w:hAnsi="Times New Roman" w:cs="Times New Roman"/>
                <w:noProof/>
                <w:sz w:val="24"/>
                <w:szCs w:val="24"/>
              </w:rPr>
              <w:t>2014</w:t>
            </w:r>
          </w:p>
        </w:tc>
        <w:tc>
          <w:tcPr>
            <w:tcW w:w="715" w:type="pct"/>
          </w:tcPr>
          <w:p>
            <w:pPr>
              <w:jc w:val="center"/>
              <w:rPr>
                <w:rFonts w:ascii="Times New Roman" w:hAnsi="Times New Roman" w:cs="Times New Roman"/>
                <w:noProof/>
                <w:sz w:val="24"/>
                <w:szCs w:val="24"/>
              </w:rPr>
            </w:pPr>
            <w:r>
              <w:rPr>
                <w:rFonts w:ascii="Times New Roman" w:hAnsi="Times New Roman" w:cs="Times New Roman"/>
                <w:noProof/>
                <w:sz w:val="24"/>
                <w:szCs w:val="24"/>
              </w:rPr>
              <w:t>35</w:t>
            </w:r>
          </w:p>
        </w:tc>
        <w:tc>
          <w:tcPr>
            <w:tcW w:w="975" w:type="pct"/>
          </w:tcPr>
          <w:p>
            <w:pPr>
              <w:jc w:val="center"/>
              <w:rPr>
                <w:rFonts w:ascii="Times New Roman" w:hAnsi="Times New Roman" w:cs="Times New Roman"/>
                <w:noProof/>
                <w:sz w:val="24"/>
                <w:szCs w:val="24"/>
              </w:rPr>
            </w:pPr>
            <w:r>
              <w:rPr>
                <w:rFonts w:ascii="Times New Roman" w:hAnsi="Times New Roman" w:cs="Times New Roman"/>
                <w:noProof/>
                <w:sz w:val="24"/>
                <w:szCs w:val="24"/>
              </w:rPr>
              <w:t>30</w:t>
            </w:r>
          </w:p>
        </w:tc>
        <w:tc>
          <w:tcPr>
            <w:tcW w:w="715" w:type="pct"/>
          </w:tcPr>
          <w:p>
            <w:pPr>
              <w:jc w:val="center"/>
              <w:rPr>
                <w:rFonts w:ascii="Times New Roman" w:hAnsi="Times New Roman" w:cs="Times New Roman"/>
                <w:noProof/>
                <w:sz w:val="24"/>
                <w:szCs w:val="24"/>
              </w:rPr>
            </w:pPr>
            <w:r>
              <w:rPr>
                <w:rFonts w:ascii="Times New Roman" w:hAnsi="Times New Roman" w:cs="Times New Roman"/>
                <w:noProof/>
                <w:sz w:val="24"/>
                <w:szCs w:val="24"/>
              </w:rPr>
              <w:t>25</w:t>
            </w:r>
          </w:p>
        </w:tc>
        <w:tc>
          <w:tcPr>
            <w:tcW w:w="715" w:type="pct"/>
          </w:tcPr>
          <w:p>
            <w:pPr>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715" w:type="pct"/>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713" w:type="pct"/>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r>
      <w:tr>
        <w:tc>
          <w:tcPr>
            <w:tcW w:w="453" w:type="pct"/>
          </w:tcPr>
          <w:p>
            <w:pPr>
              <w:jc w:val="center"/>
              <w:rPr>
                <w:rFonts w:ascii="Times New Roman" w:hAnsi="Times New Roman" w:cs="Times New Roman"/>
                <w:noProof/>
                <w:sz w:val="24"/>
                <w:szCs w:val="24"/>
              </w:rPr>
            </w:pPr>
            <w:r>
              <w:rPr>
                <w:rFonts w:ascii="Times New Roman" w:hAnsi="Times New Roman" w:cs="Times New Roman"/>
                <w:noProof/>
                <w:sz w:val="24"/>
                <w:szCs w:val="24"/>
              </w:rPr>
              <w:t>2015</w:t>
            </w:r>
          </w:p>
        </w:tc>
        <w:tc>
          <w:tcPr>
            <w:tcW w:w="715" w:type="pct"/>
          </w:tcPr>
          <w:p>
            <w:pPr>
              <w:jc w:val="center"/>
              <w:rPr>
                <w:rFonts w:ascii="Times New Roman" w:hAnsi="Times New Roman" w:cs="Times New Roman"/>
                <w:noProof/>
                <w:sz w:val="24"/>
                <w:szCs w:val="24"/>
              </w:rPr>
            </w:pPr>
            <w:r>
              <w:rPr>
                <w:rFonts w:ascii="Times New Roman" w:hAnsi="Times New Roman" w:cs="Times New Roman"/>
                <w:noProof/>
                <w:sz w:val="24"/>
                <w:szCs w:val="24"/>
              </w:rPr>
              <w:t>43</w:t>
            </w:r>
          </w:p>
        </w:tc>
        <w:tc>
          <w:tcPr>
            <w:tcW w:w="975" w:type="pct"/>
          </w:tcPr>
          <w:p>
            <w:pPr>
              <w:jc w:val="center"/>
              <w:rPr>
                <w:rFonts w:ascii="Times New Roman" w:hAnsi="Times New Roman" w:cs="Times New Roman"/>
                <w:noProof/>
                <w:sz w:val="24"/>
                <w:szCs w:val="24"/>
              </w:rPr>
            </w:pPr>
            <w:r>
              <w:rPr>
                <w:rFonts w:ascii="Times New Roman" w:hAnsi="Times New Roman" w:cs="Times New Roman"/>
                <w:noProof/>
                <w:sz w:val="24"/>
                <w:szCs w:val="24"/>
              </w:rPr>
              <w:t>43</w:t>
            </w:r>
          </w:p>
        </w:tc>
        <w:tc>
          <w:tcPr>
            <w:tcW w:w="715" w:type="pct"/>
          </w:tcPr>
          <w:p>
            <w:pPr>
              <w:jc w:val="center"/>
              <w:rPr>
                <w:rFonts w:ascii="Times New Roman" w:hAnsi="Times New Roman" w:cs="Times New Roman"/>
                <w:noProof/>
                <w:sz w:val="24"/>
                <w:szCs w:val="24"/>
              </w:rPr>
            </w:pPr>
            <w:r>
              <w:rPr>
                <w:rFonts w:ascii="Times New Roman" w:hAnsi="Times New Roman" w:cs="Times New Roman"/>
                <w:noProof/>
                <w:sz w:val="24"/>
                <w:szCs w:val="24"/>
              </w:rPr>
              <w:t>40</w:t>
            </w:r>
          </w:p>
        </w:tc>
        <w:tc>
          <w:tcPr>
            <w:tcW w:w="715" w:type="pct"/>
          </w:tcPr>
          <w:p>
            <w:pPr>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715" w:type="pct"/>
          </w:tcPr>
          <w:p>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713" w:type="pct"/>
          </w:tcPr>
          <w:p>
            <w:pPr>
              <w:jc w:val="center"/>
              <w:rPr>
                <w:rFonts w:ascii="Times New Roman" w:hAnsi="Times New Roman" w:cs="Times New Roman"/>
                <w:noProof/>
                <w:sz w:val="24"/>
                <w:szCs w:val="24"/>
              </w:rPr>
            </w:pPr>
            <w:r>
              <w:rPr>
                <w:rFonts w:ascii="Times New Roman" w:hAnsi="Times New Roman" w:cs="Times New Roman"/>
                <w:noProof/>
                <w:sz w:val="24"/>
                <w:szCs w:val="24"/>
              </w:rPr>
              <w:t>0</w:t>
            </w:r>
          </w:p>
        </w:tc>
      </w:tr>
    </w:tbl>
    <w:p>
      <w:pPr>
        <w:jc w:val="both"/>
        <w:rPr>
          <w:rFonts w:ascii="Times New Roman" w:hAnsi="Times New Roman" w:cs="Times New Roman"/>
          <w:noProof/>
          <w:sz w:val="20"/>
          <w:szCs w:val="20"/>
        </w:rPr>
      </w:pPr>
      <w:r>
        <w:rPr>
          <w:rFonts w:ascii="Times New Roman" w:hAnsi="Times New Roman" w:cs="Times New Roman"/>
          <w:noProof/>
          <w:sz w:val="20"/>
          <w:szCs w:val="20"/>
        </w:rPr>
        <w:t>Table 5, data extracted from the Comitology Register and the annual report*,</w:t>
      </w:r>
      <w:r>
        <w:rPr>
          <w:rFonts w:ascii="Times New Roman" w:hAnsi="Times New Roman" w:cs="Times New Roman"/>
          <w:noProof/>
          <w:sz w:val="24"/>
          <w:szCs w:val="24"/>
        </w:rPr>
        <w:t xml:space="preserve"> </w:t>
      </w:r>
      <w:r>
        <w:rPr>
          <w:rFonts w:ascii="Times New Roman" w:hAnsi="Times New Roman" w:cs="Times New Roman"/>
          <w:noProof/>
          <w:sz w:val="20"/>
          <w:szCs w:val="20"/>
        </w:rPr>
        <w:t xml:space="preserve">The total number of positive opinions delivered by committees may differ from the number of acts adopted by the Commission if opinions are delivered one year but the acts are not adopted until the following year.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cases of no opinions so far there has not been a simple majority against the draft implementing act and the appeal committee therefore has so far not been used.  </w:t>
      </w:r>
    </w:p>
    <w:p>
      <w:pPr>
        <w:pStyle w:val="ListParagraph"/>
        <w:ind w:left="360"/>
        <w:jc w:val="both"/>
        <w:rPr>
          <w:rFonts w:ascii="Times New Roman" w:hAnsi="Times New Roman" w:cs="Times New Roman"/>
          <w:b/>
          <w:noProof/>
          <w:sz w:val="24"/>
          <w:szCs w:val="24"/>
        </w:rPr>
      </w:pPr>
      <w:r>
        <w:rPr>
          <w:rFonts w:ascii="Times New Roman" w:hAnsi="Times New Roman" w:cs="Times New Roman"/>
          <w:b/>
          <w:noProof/>
          <w:sz w:val="24"/>
          <w:szCs w:val="24"/>
        </w:rPr>
        <w:t xml:space="preserve">3.7 Specific procedures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182/2011 foresees in Article 8 the possibility for the Commission to, on duly justified imperative grounds of urgency and if so provided in the basic act, adopt an implementing act without its prior submission to the committee. The committee's opinion is obtained afterwards and where the examination procedure applies the Commission must repeal the act in case of a negative opinion. Specific rules apply for provisional anti-dumping and countervailing measures. The Commission has only made use of this procedure in very few cases, mainly in the field of trade defence instruments under the advisory procedure.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Another provision, foreseeing for the possibility of adopting acts despite a negative or no opinion in order to avoid creating a significant disruption of the markets in the area of agriculture or a risk for the financial interest of the Union, is set out in Article 7. There has so far been no necessity to use this procedure. </w:t>
      </w:r>
    </w:p>
    <w:p>
      <w:pPr>
        <w:pStyle w:val="ListParagraph"/>
        <w:ind w:left="360"/>
        <w:jc w:val="both"/>
        <w:rPr>
          <w:rFonts w:ascii="Times New Roman" w:hAnsi="Times New Roman" w:cs="Times New Roman"/>
          <w:b/>
          <w:noProof/>
          <w:sz w:val="24"/>
          <w:szCs w:val="24"/>
        </w:rPr>
      </w:pPr>
      <w:r>
        <w:rPr>
          <w:rFonts w:ascii="Times New Roman" w:hAnsi="Times New Roman" w:cs="Times New Roman"/>
          <w:b/>
          <w:noProof/>
          <w:sz w:val="24"/>
          <w:szCs w:val="24"/>
        </w:rPr>
        <w:t xml:space="preserve">3.8 The alignment of the existing acquis to the new procedures </w:t>
      </w:r>
    </w:p>
    <w:p>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provides in its Article 13 for the automatic alignment of all references to existing committee procedures to the new procedures with the exception of the regulatory procedure with scrutiny. This automatic alignment has ensured a smooth changeover to the new system. </w:t>
      </w:r>
      <w:r>
        <w:rPr>
          <w:rFonts w:ascii="Times New Roman" w:hAnsi="Times New Roman" w:cs="Times New Roman"/>
          <w:noProof/>
          <w:sz w:val="24"/>
          <w:szCs w:val="24"/>
          <w:lang w:val="en-US"/>
        </w:rPr>
        <w:t xml:space="preserve">As regards legislative acts in force which currently contain references to the regulatory procedure with scrutiny, no automatic alignment was foreseen in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lang w:val="en-US"/>
        </w:rPr>
        <w:t>182/2011. The Commission made a commitment to review the provisions attached to this procedure, in order to adapt them in due course according to the criteria laid down in the Treaty on the Functioning of the European Union (a statement in this sense was published in the Official Journal together with the Comitology Regulation</w:t>
      </w:r>
      <w:r>
        <w:rPr>
          <w:rStyle w:val="FootnoteReference"/>
          <w:rFonts w:ascii="Times New Roman" w:hAnsi="Times New Roman" w:cs="Times New Roman"/>
          <w:noProof/>
          <w:sz w:val="24"/>
          <w:szCs w:val="24"/>
          <w:lang w:val="en-US"/>
        </w:rPr>
        <w:footnoteReference w:id="17"/>
      </w:r>
      <w:r>
        <w:rPr>
          <w:rFonts w:ascii="Times New Roman" w:hAnsi="Times New Roman" w:cs="Times New Roman"/>
          <w:noProof/>
          <w:sz w:val="24"/>
          <w:szCs w:val="24"/>
          <w:lang w:val="en-US"/>
        </w:rPr>
        <w:t xml:space="preserve">). In line with this commitment </w:t>
      </w:r>
      <w:r>
        <w:rPr>
          <w:rFonts w:ascii="Times New Roman" w:hAnsi="Times New Roman" w:cs="Times New Roman"/>
          <w:noProof/>
          <w:sz w:val="24"/>
          <w:szCs w:val="24"/>
        </w:rPr>
        <w:t>the Commission made three horizontal alignment legislative proposals in 2013</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Due to the stagnation of the interinstitutional negotiations on these files, the Commission, as  announced in its 2015 </w:t>
      </w:r>
      <w:hyperlink r:id="rId16" w:history="1">
        <w:r>
          <w:rPr>
            <w:rFonts w:ascii="Times New Roman" w:hAnsi="Times New Roman" w:cs="Times New Roman"/>
            <w:noProof/>
            <w:sz w:val="24"/>
            <w:szCs w:val="24"/>
          </w:rPr>
          <w:t>Work Programme</w:t>
        </w:r>
      </w:hyperlink>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withdrew them</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In the Interinstitutional Agreement on Better Law-Making</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the Commission committed to submit by the end of 2016 a new proposal for the alignment of </w:t>
      </w:r>
      <w:r>
        <w:rPr>
          <w:rFonts w:ascii="Times New Roman" w:hAnsi="Times New Roman" w:cs="Times New Roman"/>
          <w:noProof/>
          <w:sz w:val="24"/>
          <w:szCs w:val="24"/>
          <w:lang w:val="en-US"/>
        </w:rPr>
        <w:t xml:space="preserve">legislative acts which still contain references to the regulatory procedure with scrutiny. </w:t>
      </w:r>
      <w:r>
        <w:rPr>
          <w:rFonts w:ascii="Times New Roman" w:hAnsi="Times New Roman" w:cs="Times New Roman"/>
          <w:noProof/>
          <w:sz w:val="24"/>
          <w:szCs w:val="24"/>
        </w:rPr>
        <w:t>Pending this, a large number of measures are still adopted under the regulatory procedure with scrutiny (see table 1)</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In the interim, whenever the Commission makes a proposal for an amendment of the substantive provisions of an individual legislative act making reference to the </w:t>
      </w:r>
      <w:r>
        <w:rPr>
          <w:rFonts w:ascii="Times New Roman" w:hAnsi="Times New Roman" w:cs="Times New Roman"/>
          <w:noProof/>
          <w:sz w:val="24"/>
          <w:szCs w:val="24"/>
          <w:lang w:val="en-US"/>
        </w:rPr>
        <w:t xml:space="preserve">regulatory procedure with scrutiny that proposal also contains an alignment of the provisions referring to the regulatory procedure with scrutiny to the new regime.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4.  Conclusions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 xml:space="preserve">182/2011 has allowed over the last five years the effective use of the Commission's implementing powers under the control of Member States. The existing framework allows for an efficient and constructive cooperation between the Commission and Member States. The Commission has not identified issues that would require or warrant a legislative proposal to amend Regulation </w:t>
      </w:r>
      <w:r>
        <w:rPr>
          <w:rFonts w:ascii="Times New Roman" w:hAnsi="Times New Roman" w:cs="Times New Roman"/>
          <w:noProof/>
          <w:sz w:val="24"/>
          <w:szCs w:val="24"/>
          <w:lang w:val="en"/>
        </w:rPr>
        <w:t xml:space="preserve">(EU) </w:t>
      </w:r>
      <w:r>
        <w:rPr>
          <w:rFonts w:ascii="Times New Roman" w:hAnsi="Times New Roman" w:cs="Times New Roman"/>
          <w:noProof/>
          <w:sz w:val="24"/>
          <w:szCs w:val="24"/>
        </w:rPr>
        <w:t>182/2011 at this point of time. The Commission invites the European Parliament and the Council to take note of this report.</w:t>
      </w:r>
    </w:p>
    <w:p>
      <w:pPr>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7821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r>
      <w:r>
        <w:rPr>
          <w:bCs/>
          <w:lang w:val="en"/>
        </w:rPr>
        <w:t xml:space="preserve">Regulation (EU) No 182/2011 of the European Parliament and of the Council of 16 February 2011 laying down the rules and general principles concerning mechanisms for control by Member States of the Commission’s exercise of implementing powers, </w:t>
      </w:r>
      <w:r>
        <w:rPr>
          <w:bCs/>
          <w:iCs/>
          <w:lang w:val="en"/>
        </w:rPr>
        <w:t>OJ L 55, 28.2.2011, p. 13–18</w:t>
      </w:r>
    </w:p>
  </w:footnote>
  <w:footnote w:id="2">
    <w:p>
      <w:pPr>
        <w:pStyle w:val="FootnoteText"/>
        <w:ind w:left="284" w:hanging="284"/>
      </w:pPr>
      <w:r>
        <w:rPr>
          <w:rStyle w:val="FootnoteReference"/>
        </w:rPr>
        <w:footnoteRef/>
      </w:r>
      <w:r>
        <w:t xml:space="preserve"> </w:t>
      </w:r>
      <w:r>
        <w:tab/>
        <w:t>OJ C 206, 12.7.2011, p.11</w:t>
      </w:r>
    </w:p>
  </w:footnote>
  <w:footnote w:id="3">
    <w:p>
      <w:pPr>
        <w:pStyle w:val="FootnoteText"/>
        <w:ind w:left="284" w:hanging="284"/>
      </w:pPr>
      <w:r>
        <w:rPr>
          <w:rStyle w:val="FootnoteReference"/>
        </w:rPr>
        <w:footnoteRef/>
      </w:r>
      <w:r>
        <w:t xml:space="preserve"> </w:t>
      </w:r>
      <w:r>
        <w:tab/>
        <w:t xml:space="preserve">Annual reports on the functioning of the committees, available on </w:t>
      </w:r>
      <w:hyperlink r:id="rId1" w:history="1">
        <w:r>
          <w:rPr>
            <w:rStyle w:val="Hyperlink"/>
          </w:rPr>
          <w:t>http://ec.europa.eu/transparency/regcomitology/index.cfm?do=Report.Report</w:t>
        </w:r>
      </w:hyperlink>
      <w:r>
        <w:t xml:space="preserve"> </w:t>
      </w:r>
    </w:p>
  </w:footnote>
  <w:footnote w:id="4">
    <w:p>
      <w:pPr>
        <w:pStyle w:val="FootnoteText"/>
        <w:ind w:left="284" w:hanging="284"/>
      </w:pPr>
      <w:r>
        <w:rPr>
          <w:rStyle w:val="FootnoteReference"/>
        </w:rPr>
        <w:footnoteRef/>
      </w:r>
      <w:r>
        <w:t xml:space="preserve"> </w:t>
      </w:r>
      <w:r>
        <w:tab/>
        <w:t>See Article 12 of Regulation</w:t>
      </w:r>
      <w:r>
        <w:rPr>
          <w:lang w:val="en"/>
        </w:rPr>
        <w:t>(EU)</w:t>
      </w:r>
      <w:r>
        <w:t xml:space="preserve"> 182/2011</w:t>
      </w:r>
    </w:p>
  </w:footnote>
  <w:footnote w:id="5">
    <w:p>
      <w:pPr>
        <w:pStyle w:val="FootnoteText"/>
        <w:ind w:left="284" w:hanging="284"/>
      </w:pPr>
      <w:r>
        <w:rPr>
          <w:rStyle w:val="FootnoteReference"/>
        </w:rPr>
        <w:footnoteRef/>
      </w:r>
      <w:r>
        <w:t xml:space="preserve"> </w:t>
      </w:r>
      <w:r>
        <w:tab/>
        <w:t xml:space="preserve">Based on COM(2015) 216 final </w:t>
      </w:r>
    </w:p>
  </w:footnote>
  <w:footnote w:id="6">
    <w:p>
      <w:pPr>
        <w:pStyle w:val="FootnoteText"/>
        <w:ind w:left="284" w:hanging="284"/>
      </w:pPr>
      <w:r>
        <w:rPr>
          <w:rStyle w:val="FootnoteReference"/>
        </w:rPr>
        <w:footnoteRef/>
      </w:r>
      <w:r>
        <w:t xml:space="preserve"> </w:t>
      </w:r>
      <w:r>
        <w:tab/>
        <w:t xml:space="preserve">The signature of the Interinstututional Agreement by the three institutions is expected to follow the formal approval by the European Parliament in the coming weeks </w:t>
      </w:r>
    </w:p>
  </w:footnote>
  <w:footnote w:id="7">
    <w:p>
      <w:pPr>
        <w:pStyle w:val="FootnoteText"/>
        <w:ind w:left="284" w:hanging="284"/>
      </w:pPr>
      <w:r>
        <w:rPr>
          <w:rStyle w:val="FootnoteReference"/>
        </w:rPr>
        <w:footnoteRef/>
      </w:r>
      <w:r>
        <w:t xml:space="preserve"> </w:t>
      </w:r>
      <w:r>
        <w:tab/>
        <w:t>COM(2015) 215 of 19.05.2015</w:t>
      </w:r>
    </w:p>
  </w:footnote>
  <w:footnote w:id="8">
    <w:p>
      <w:pPr>
        <w:pStyle w:val="FootnoteText"/>
        <w:ind w:left="284" w:hanging="284"/>
        <w:jc w:val="both"/>
      </w:pPr>
      <w:r>
        <w:rPr>
          <w:rStyle w:val="FootnoteReference"/>
        </w:rPr>
        <w:footnoteRef/>
      </w:r>
      <w:r>
        <w:t xml:space="preserve"> </w:t>
      </w:r>
      <w:r>
        <w:tab/>
        <w:t xml:space="preserve">A no opinion has a blocking effect in the cases listed in Article 5(4) of Regulation </w:t>
      </w:r>
      <w:r>
        <w:rPr>
          <w:lang w:val="en"/>
        </w:rPr>
        <w:t xml:space="preserve">(EU) </w:t>
      </w:r>
      <w:r>
        <w:t>182/2011, i.e. in the areas of taxation, financial services, the protection of the health or safety of humans, animals or plants, or definitive multilateral safeguard measures, the basic act provides that the draft implementing act may not be adopted where no opinion is delivered; or a simple majority of the component members of the committee opposes it.</w:t>
      </w:r>
    </w:p>
  </w:footnote>
  <w:footnote w:id="9">
    <w:p>
      <w:pPr>
        <w:pStyle w:val="FootnoteText"/>
        <w:ind w:left="284" w:hanging="284"/>
      </w:pPr>
      <w:r>
        <w:rPr>
          <w:rStyle w:val="FootnoteReference"/>
        </w:rPr>
        <w:footnoteRef/>
      </w:r>
      <w:r>
        <w:t xml:space="preserve"> </w:t>
      </w:r>
      <w:r>
        <w:tab/>
        <w:t>COM(2014) 572 final</w:t>
      </w:r>
    </w:p>
  </w:footnote>
  <w:footnote w:id="10">
    <w:p>
      <w:pPr>
        <w:pStyle w:val="FootnoteText"/>
        <w:ind w:left="284" w:hanging="284"/>
      </w:pPr>
      <w:r>
        <w:rPr>
          <w:rStyle w:val="FootnoteReference"/>
        </w:rPr>
        <w:footnoteRef/>
      </w:r>
      <w:r>
        <w:t xml:space="preserve"> </w:t>
      </w:r>
      <w:r>
        <w:tab/>
        <w:t>COM(2015) 176 final</w:t>
      </w:r>
    </w:p>
  </w:footnote>
  <w:footnote w:id="11">
    <w:p>
      <w:pPr>
        <w:pStyle w:val="FootnoteText"/>
        <w:ind w:left="284" w:hanging="284"/>
        <w:jc w:val="both"/>
      </w:pPr>
      <w:r>
        <w:rPr>
          <w:rStyle w:val="FootnoteReference"/>
        </w:rPr>
        <w:footnoteRef/>
      </w:r>
      <w:r>
        <w:t xml:space="preserve"> </w:t>
      </w:r>
      <w:r>
        <w:tab/>
      </w:r>
      <w:r>
        <w:rPr>
          <w:bCs/>
          <w:lang w:val="en"/>
        </w:rPr>
        <w:t>Proposal for a Regulation of the European Parliament and of the Council amending Regulation (EC) No 1829/2003 as regards the possibility for the Member States to restrict or prohibit the use of genetically modified food and feed on their territory,</w:t>
      </w:r>
      <w:r>
        <w:rPr>
          <w:lang w:val="en"/>
        </w:rPr>
        <w:t xml:space="preserve"> </w:t>
      </w:r>
      <w:r>
        <w:rPr>
          <w:bCs/>
          <w:lang w:val="en"/>
        </w:rPr>
        <w:t xml:space="preserve">COM/2015/0177 final of 22.04.2015 </w:t>
      </w:r>
    </w:p>
  </w:footnote>
  <w:footnote w:id="12">
    <w:p>
      <w:pPr>
        <w:pStyle w:val="FootnoteText"/>
        <w:ind w:left="284" w:hanging="284"/>
      </w:pPr>
      <w:r>
        <w:rPr>
          <w:rStyle w:val="FootnoteReference"/>
        </w:rPr>
        <w:footnoteRef/>
      </w:r>
      <w:r>
        <w:t xml:space="preserve"> </w:t>
      </w:r>
      <w:r>
        <w:tab/>
        <w:t>One of them was the draft Commission Implementing Regulation amending Implementing Regulation (EU) No 29/2012 on marketing standards for olive oil, which the Commission decided not to adopt.</w:t>
      </w:r>
    </w:p>
  </w:footnote>
  <w:footnote w:id="13">
    <w:p>
      <w:pPr>
        <w:pStyle w:val="FootnoteText"/>
        <w:ind w:left="284" w:hanging="284"/>
        <w:rPr>
          <w:lang w:val="sv-SE"/>
        </w:rPr>
      </w:pPr>
      <w:r>
        <w:rPr>
          <w:rStyle w:val="FootnoteReference"/>
        </w:rPr>
        <w:footnoteRef/>
      </w:r>
      <w:r>
        <w:rPr>
          <w:lang w:val="sv-SE"/>
        </w:rPr>
        <w:t xml:space="preserve"> </w:t>
      </w:r>
      <w:r>
        <w:rPr>
          <w:lang w:val="sv-SE"/>
        </w:rPr>
        <w:tab/>
      </w:r>
      <w:r>
        <w:rPr>
          <w:rFonts w:cs="Times New Roman"/>
          <w:lang w:val="sv-SE"/>
        </w:rPr>
        <w:t>2010/0390(COD)</w:t>
      </w:r>
    </w:p>
  </w:footnote>
  <w:footnote w:id="14">
    <w:p>
      <w:pPr>
        <w:pStyle w:val="FootnoteText"/>
        <w:ind w:left="284" w:hanging="284"/>
        <w:rPr>
          <w:lang w:val="sv-SE"/>
        </w:rPr>
      </w:pPr>
      <w:r>
        <w:rPr>
          <w:rStyle w:val="FootnoteReference"/>
        </w:rPr>
        <w:footnoteRef/>
      </w:r>
      <w:r>
        <w:rPr>
          <w:lang w:val="sv-SE"/>
        </w:rPr>
        <w:t xml:space="preserve"> </w:t>
      </w:r>
      <w:r>
        <w:rPr>
          <w:lang w:val="sv-SE"/>
        </w:rPr>
        <w:tab/>
        <w:t xml:space="preserve">P7_TA(2014)0096, P8_TA(2015)0409, </w:t>
      </w:r>
      <w:r>
        <w:rPr>
          <w:bCs/>
          <w:lang w:val="sv-SE"/>
        </w:rPr>
        <w:t>P8_TA-PROV(2015)0456 and P8_TA-PROV(2015)0455</w:t>
      </w:r>
    </w:p>
  </w:footnote>
  <w:footnote w:id="15">
    <w:p>
      <w:pPr>
        <w:pStyle w:val="FootnoteText"/>
        <w:ind w:left="284" w:hanging="284"/>
      </w:pPr>
      <w:r>
        <w:rPr>
          <w:rStyle w:val="FootnoteReference"/>
        </w:rPr>
        <w:footnoteRef/>
      </w:r>
      <w:r>
        <w:t xml:space="preserve"> </w:t>
      </w:r>
      <w:r>
        <w:tab/>
        <w:t xml:space="preserve">P7_TA(2014)0096 </w:t>
      </w:r>
    </w:p>
  </w:footnote>
  <w:footnote w:id="16">
    <w:p>
      <w:pPr>
        <w:pStyle w:val="FootnoteText"/>
        <w:ind w:left="284" w:hanging="284"/>
      </w:pPr>
      <w:r>
        <w:rPr>
          <w:rStyle w:val="FootnoteReference"/>
        </w:rPr>
        <w:footnoteRef/>
      </w:r>
      <w:r>
        <w:t xml:space="preserve"> </w:t>
      </w:r>
      <w:r>
        <w:tab/>
      </w:r>
      <w:r>
        <w:rPr>
          <w:bCs/>
          <w:lang w:val="en"/>
        </w:rPr>
        <w:t>Regulation (EU) No 37/2014 of the European Parliament and of the Council of 15 January 2014 amending certain regulations relating to the common commercial policy as regards the procedures for the adoption of certain measures,</w:t>
      </w:r>
      <w:r>
        <w:rPr>
          <w:b/>
          <w:bCs/>
          <w:lang w:val="en"/>
        </w:rPr>
        <w:t xml:space="preserve">  </w:t>
      </w:r>
      <w:r>
        <w:rPr>
          <w:iCs/>
          <w:lang w:val="en"/>
        </w:rPr>
        <w:t>OJ L 18, 21.1.2014, p. 1–51</w:t>
      </w:r>
    </w:p>
  </w:footnote>
  <w:footnote w:id="17">
    <w:p>
      <w:pPr>
        <w:pStyle w:val="FootnoteText"/>
        <w:ind w:left="284" w:hanging="284"/>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r>
        <w:rPr>
          <w:rFonts w:cs="Times New Roman"/>
          <w:lang w:val="pt-PT"/>
        </w:rPr>
        <w:t>OJ L 55 of 28.2.2011, p. 19</w:t>
      </w:r>
    </w:p>
  </w:footnote>
  <w:footnote w:id="18">
    <w:p>
      <w:pPr>
        <w:pStyle w:val="FootnoteText"/>
        <w:ind w:left="284" w:hanging="284"/>
        <w:rPr>
          <w:lang w:val="pt-PT"/>
        </w:rPr>
      </w:pPr>
      <w:r>
        <w:rPr>
          <w:rStyle w:val="FootnoteReference"/>
        </w:rPr>
        <w:footnoteRef/>
      </w:r>
      <w:r>
        <w:rPr>
          <w:lang w:val="pt-PT"/>
        </w:rPr>
        <w:t xml:space="preserve"> </w:t>
      </w:r>
      <w:r>
        <w:rPr>
          <w:lang w:val="pt-PT"/>
        </w:rPr>
        <w:tab/>
        <w:t>COM(2013) 451 final,  COM(2013) 452 final and COM(2013) 751 final</w:t>
      </w:r>
    </w:p>
  </w:footnote>
  <w:footnote w:id="19">
    <w:p>
      <w:pPr>
        <w:pStyle w:val="FootnoteText"/>
        <w:ind w:left="284" w:hanging="284"/>
        <w:rPr>
          <w:lang w:val="pt-PT"/>
        </w:rPr>
      </w:pPr>
      <w:r>
        <w:rPr>
          <w:rStyle w:val="FootnoteReference"/>
        </w:rPr>
        <w:footnoteRef/>
      </w:r>
      <w:r>
        <w:rPr>
          <w:lang w:val="pt-PT"/>
        </w:rPr>
        <w:t xml:space="preserve"> </w:t>
      </w:r>
      <w:r>
        <w:rPr>
          <w:lang w:val="pt-PT"/>
        </w:rPr>
        <w:tab/>
        <w:t>COM(2014) 910 final</w:t>
      </w:r>
    </w:p>
  </w:footnote>
  <w:footnote w:id="20">
    <w:p>
      <w:pPr>
        <w:pStyle w:val="FootnoteText"/>
        <w:ind w:left="284" w:hanging="284"/>
        <w:rPr>
          <w:lang w:val="pt-PT"/>
        </w:rPr>
      </w:pPr>
      <w:r>
        <w:rPr>
          <w:rStyle w:val="FootnoteReference"/>
        </w:rPr>
        <w:footnoteRef/>
      </w:r>
      <w:r>
        <w:rPr>
          <w:lang w:val="pt-PT"/>
        </w:rPr>
        <w:t xml:space="preserve"> </w:t>
      </w:r>
      <w:r>
        <w:rPr>
          <w:lang w:val="pt-PT"/>
        </w:rPr>
        <w:tab/>
        <w:t>(2015/C 80/08), OJ C 80 of 7.02.2015, p. 17</w:t>
      </w:r>
    </w:p>
  </w:footnote>
  <w:footnote w:id="21">
    <w:p>
      <w:pPr>
        <w:pStyle w:val="FootnoteText"/>
      </w:pPr>
      <w:r>
        <w:rPr>
          <w:rStyle w:val="FootnoteReference"/>
        </w:rPr>
        <w:footnoteRef/>
      </w:r>
      <w:r>
        <w:t xml:space="preserve"> See footnote 6</w:t>
      </w:r>
    </w:p>
  </w:footnote>
  <w:footnote w:id="22">
    <w:p>
      <w:pPr>
        <w:pStyle w:val="FootnoteText"/>
        <w:ind w:left="284" w:hanging="284"/>
      </w:pPr>
      <w:r>
        <w:rPr>
          <w:rStyle w:val="FootnoteReference"/>
        </w:rPr>
        <w:footnoteRef/>
      </w:r>
      <w:r>
        <w:t xml:space="preserve"> </w:t>
      </w:r>
      <w:r>
        <w:tab/>
        <w:t>The alignment of some 160 basic acts which had not been aligned to the regulatory procedure with scrutiny (mainly basic acts which were not under the co-decision procedure before the entry into force of the Lisbon Treaty) is being progressively carried out and has been achieved with few exceptions.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1E96"/>
    <w:multiLevelType w:val="hybridMultilevel"/>
    <w:tmpl w:val="11043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12F6E"/>
    <w:multiLevelType w:val="hybridMultilevel"/>
    <w:tmpl w:val="57E44D30"/>
    <w:lvl w:ilvl="0" w:tplc="0809000B">
      <w:start w:val="1"/>
      <w:numFmt w:val="bullet"/>
      <w:lvlText w:val=""/>
      <w:lvlJc w:val="left"/>
      <w:pPr>
        <w:ind w:left="2400" w:hanging="360"/>
      </w:pPr>
      <w:rPr>
        <w:rFonts w:ascii="Wingdings" w:hAnsi="Wingdings"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2">
    <w:nsid w:val="0BA8696C"/>
    <w:multiLevelType w:val="hybridMultilevel"/>
    <w:tmpl w:val="603A2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D50B0"/>
    <w:multiLevelType w:val="hybridMultilevel"/>
    <w:tmpl w:val="87846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3529D7"/>
    <w:multiLevelType w:val="hybridMultilevel"/>
    <w:tmpl w:val="C54A2A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60316A"/>
    <w:multiLevelType w:val="hybridMultilevel"/>
    <w:tmpl w:val="BA1E94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C482016"/>
    <w:multiLevelType w:val="hybridMultilevel"/>
    <w:tmpl w:val="543035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14D2D99"/>
    <w:multiLevelType w:val="hybridMultilevel"/>
    <w:tmpl w:val="335CD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1B970C3"/>
    <w:multiLevelType w:val="hybridMultilevel"/>
    <w:tmpl w:val="96B05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D4F8D"/>
    <w:multiLevelType w:val="hybridMultilevel"/>
    <w:tmpl w:val="2FDEC9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330E7C"/>
    <w:multiLevelType w:val="hybridMultilevel"/>
    <w:tmpl w:val="D97E6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DE50BD"/>
    <w:multiLevelType w:val="hybridMultilevel"/>
    <w:tmpl w:val="2000E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BF561D"/>
    <w:multiLevelType w:val="hybridMultilevel"/>
    <w:tmpl w:val="C876D9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4B2DC9"/>
    <w:multiLevelType w:val="hybridMultilevel"/>
    <w:tmpl w:val="4A3C54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773394"/>
    <w:multiLevelType w:val="hybridMultilevel"/>
    <w:tmpl w:val="DE6A0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5570092"/>
    <w:multiLevelType w:val="hybridMultilevel"/>
    <w:tmpl w:val="1BB65B02"/>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6">
    <w:nsid w:val="42766D5C"/>
    <w:multiLevelType w:val="hybridMultilevel"/>
    <w:tmpl w:val="5784F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FC2435"/>
    <w:multiLevelType w:val="hybridMultilevel"/>
    <w:tmpl w:val="84565A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1B4360"/>
    <w:multiLevelType w:val="hybridMultilevel"/>
    <w:tmpl w:val="DD047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3839DF"/>
    <w:multiLevelType w:val="hybridMultilevel"/>
    <w:tmpl w:val="B25613FE"/>
    <w:lvl w:ilvl="0" w:tplc="9072DF3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nsid w:val="76B72325"/>
    <w:multiLevelType w:val="hybridMultilevel"/>
    <w:tmpl w:val="115C4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933DC3"/>
    <w:multiLevelType w:val="hybridMultilevel"/>
    <w:tmpl w:val="60449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AE02E5"/>
    <w:multiLevelType w:val="hybridMultilevel"/>
    <w:tmpl w:val="83B2B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4"/>
  </w:num>
  <w:num w:numId="4">
    <w:abstractNumId w:val="17"/>
  </w:num>
  <w:num w:numId="5">
    <w:abstractNumId w:val="12"/>
  </w:num>
  <w:num w:numId="6">
    <w:abstractNumId w:val="13"/>
  </w:num>
  <w:num w:numId="7">
    <w:abstractNumId w:val="6"/>
  </w:num>
  <w:num w:numId="8">
    <w:abstractNumId w:val="0"/>
  </w:num>
  <w:num w:numId="9">
    <w:abstractNumId w:val="4"/>
  </w:num>
  <w:num w:numId="10">
    <w:abstractNumId w:val="20"/>
  </w:num>
  <w:num w:numId="11">
    <w:abstractNumId w:val="16"/>
  </w:num>
  <w:num w:numId="12">
    <w:abstractNumId w:val="11"/>
  </w:num>
  <w:num w:numId="13">
    <w:abstractNumId w:val="1"/>
  </w:num>
  <w:num w:numId="14">
    <w:abstractNumId w:val="8"/>
  </w:num>
  <w:num w:numId="15">
    <w:abstractNumId w:val="7"/>
  </w:num>
  <w:num w:numId="16">
    <w:abstractNumId w:val="21"/>
  </w:num>
  <w:num w:numId="17">
    <w:abstractNumId w:val="2"/>
  </w:num>
  <w:num w:numId="18">
    <w:abstractNumId w:val="18"/>
  </w:num>
  <w:num w:numId="19">
    <w:abstractNumId w:val="3"/>
  </w:num>
  <w:num w:numId="20">
    <w:abstractNumId w:val="10"/>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0AAF50366874DE19235C01FB7DB598D"/>
    <w:docVar w:name="LW_CROSSREFERENCE" w:val="&lt;UNUSED&gt;"/>
    <w:docVar w:name="LW_DocType" w:val="NORMAL"/>
    <w:docVar w:name="LW_EMISSION" w:val="26.2.2016"/>
    <w:docVar w:name="LW_EMISSION_ISODATE" w:val="2016-02-26"/>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92"/>
    <w:docVar w:name="LW_REF.INTERNE" w:val="&lt;UNUSED&gt;"/>
    <w:docVar w:name="LW_SOUS.TITRE.OBJ.CP" w:val="&lt;UNUSED&gt;"/>
    <w:docVar w:name="LW_SUPERTITRE" w:val="&lt;UNUSED&gt;"/>
    <w:docVar w:name="LW_TITRE.OBJ.CP" w:val="ON THE IMPLEMENTATION OF REGULATION (EU) 182/2011"/>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FooterCoverPageChar">
    <w:name w:val="Footer Cover Page Char"/>
    <w:basedOn w:val="DefaultParagraphFont"/>
    <w:link w:val="FooterCoverPage"/>
    <w:rPr>
      <w:rFonts w:ascii="Times New Roman" w:hAnsi="Times New Roman" w:cs="Times New Roman"/>
      <w: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DefaultParagraphFont"/>
    <w:link w:val="HeaderCoverPage"/>
    <w:rPr>
      <w:rFonts w:ascii="Times New Roman" w:hAnsi="Times New Roman" w:cs="Times New Roman"/>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FooterCoverPageChar">
    <w:name w:val="Footer Cover Page Char"/>
    <w:basedOn w:val="DefaultParagraphFont"/>
    <w:link w:val="FooterCoverPage"/>
    <w:rPr>
      <w:rFonts w:ascii="Times New Roman" w:hAnsi="Times New Roman" w:cs="Times New Roman"/>
      <w: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DefaultParagraphFont"/>
    <w:link w:val="HeaderCoverPage"/>
    <w:rPr>
      <w:rFonts w:ascii="Times New Roman" w:hAnsi="Times New Roman" w:cs="Times New Roman"/>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4362">
      <w:bodyDiv w:val="1"/>
      <w:marLeft w:val="0"/>
      <w:marRight w:val="0"/>
      <w:marTop w:val="0"/>
      <w:marBottom w:val="0"/>
      <w:divBdr>
        <w:top w:val="none" w:sz="0" w:space="0" w:color="auto"/>
        <w:left w:val="none" w:sz="0" w:space="0" w:color="auto"/>
        <w:bottom w:val="none" w:sz="0" w:space="0" w:color="auto"/>
        <w:right w:val="none" w:sz="0" w:space="0" w:color="auto"/>
      </w:divBdr>
      <w:divsChild>
        <w:div w:id="1736931517">
          <w:marLeft w:val="0"/>
          <w:marRight w:val="0"/>
          <w:marTop w:val="0"/>
          <w:marBottom w:val="0"/>
          <w:divBdr>
            <w:top w:val="none" w:sz="0" w:space="0" w:color="auto"/>
            <w:left w:val="none" w:sz="0" w:space="0" w:color="auto"/>
            <w:bottom w:val="none" w:sz="0" w:space="0" w:color="auto"/>
            <w:right w:val="none" w:sz="0" w:space="0" w:color="auto"/>
          </w:divBdr>
          <w:divsChild>
            <w:div w:id="207111746">
              <w:marLeft w:val="0"/>
              <w:marRight w:val="0"/>
              <w:marTop w:val="0"/>
              <w:marBottom w:val="0"/>
              <w:divBdr>
                <w:top w:val="none" w:sz="0" w:space="0" w:color="auto"/>
                <w:left w:val="none" w:sz="0" w:space="0" w:color="auto"/>
                <w:bottom w:val="none" w:sz="0" w:space="0" w:color="auto"/>
                <w:right w:val="none" w:sz="0" w:space="0" w:color="auto"/>
              </w:divBdr>
              <w:divsChild>
                <w:div w:id="1742096903">
                  <w:marLeft w:val="0"/>
                  <w:marRight w:val="0"/>
                  <w:marTop w:val="0"/>
                  <w:marBottom w:val="0"/>
                  <w:divBdr>
                    <w:top w:val="none" w:sz="0" w:space="0" w:color="auto"/>
                    <w:left w:val="none" w:sz="0" w:space="0" w:color="auto"/>
                    <w:bottom w:val="none" w:sz="0" w:space="0" w:color="auto"/>
                    <w:right w:val="none" w:sz="0" w:space="0" w:color="auto"/>
                  </w:divBdr>
                  <w:divsChild>
                    <w:div w:id="737359048">
                      <w:marLeft w:val="0"/>
                      <w:marRight w:val="0"/>
                      <w:marTop w:val="0"/>
                      <w:marBottom w:val="0"/>
                      <w:divBdr>
                        <w:top w:val="none" w:sz="0" w:space="0" w:color="auto"/>
                        <w:left w:val="none" w:sz="0" w:space="0" w:color="auto"/>
                        <w:bottom w:val="none" w:sz="0" w:space="0" w:color="auto"/>
                        <w:right w:val="none" w:sz="0" w:space="0" w:color="auto"/>
                      </w:divBdr>
                      <w:divsChild>
                        <w:div w:id="1426654536">
                          <w:marLeft w:val="0"/>
                          <w:marRight w:val="0"/>
                          <w:marTop w:val="0"/>
                          <w:marBottom w:val="0"/>
                          <w:divBdr>
                            <w:top w:val="none" w:sz="0" w:space="0" w:color="auto"/>
                            <w:left w:val="none" w:sz="0" w:space="0" w:color="auto"/>
                            <w:bottom w:val="none" w:sz="0" w:space="0" w:color="auto"/>
                            <w:right w:val="none" w:sz="0" w:space="0" w:color="auto"/>
                          </w:divBdr>
                          <w:divsChild>
                            <w:div w:id="1943803127">
                              <w:marLeft w:val="0"/>
                              <w:marRight w:val="0"/>
                              <w:marTop w:val="0"/>
                              <w:marBottom w:val="0"/>
                              <w:divBdr>
                                <w:top w:val="none" w:sz="0" w:space="0" w:color="auto"/>
                                <w:left w:val="none" w:sz="0" w:space="0" w:color="auto"/>
                                <w:bottom w:val="none" w:sz="0" w:space="0" w:color="auto"/>
                                <w:right w:val="none" w:sz="0" w:space="0" w:color="auto"/>
                              </w:divBdr>
                              <w:divsChild>
                                <w:div w:id="378168203">
                                  <w:marLeft w:val="0"/>
                                  <w:marRight w:val="0"/>
                                  <w:marTop w:val="0"/>
                                  <w:marBottom w:val="0"/>
                                  <w:divBdr>
                                    <w:top w:val="none" w:sz="0" w:space="0" w:color="auto"/>
                                    <w:left w:val="none" w:sz="0" w:space="0" w:color="auto"/>
                                    <w:bottom w:val="none" w:sz="0" w:space="0" w:color="auto"/>
                                    <w:right w:val="none" w:sz="0" w:space="0" w:color="auto"/>
                                  </w:divBdr>
                                  <w:divsChild>
                                    <w:div w:id="7819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801918">
      <w:bodyDiv w:val="1"/>
      <w:marLeft w:val="0"/>
      <w:marRight w:val="0"/>
      <w:marTop w:val="0"/>
      <w:marBottom w:val="0"/>
      <w:divBdr>
        <w:top w:val="none" w:sz="0" w:space="0" w:color="auto"/>
        <w:left w:val="none" w:sz="0" w:space="0" w:color="auto"/>
        <w:bottom w:val="none" w:sz="0" w:space="0" w:color="auto"/>
        <w:right w:val="none" w:sz="0" w:space="0" w:color="auto"/>
      </w:divBdr>
    </w:div>
    <w:div w:id="706836557">
      <w:bodyDiv w:val="1"/>
      <w:marLeft w:val="0"/>
      <w:marRight w:val="0"/>
      <w:marTop w:val="0"/>
      <w:marBottom w:val="0"/>
      <w:divBdr>
        <w:top w:val="none" w:sz="0" w:space="0" w:color="auto"/>
        <w:left w:val="none" w:sz="0" w:space="0" w:color="auto"/>
        <w:bottom w:val="none" w:sz="0" w:space="0" w:color="auto"/>
        <w:right w:val="none" w:sz="0" w:space="0" w:color="auto"/>
      </w:divBdr>
    </w:div>
    <w:div w:id="859900415">
      <w:bodyDiv w:val="1"/>
      <w:marLeft w:val="0"/>
      <w:marRight w:val="0"/>
      <w:marTop w:val="0"/>
      <w:marBottom w:val="0"/>
      <w:divBdr>
        <w:top w:val="none" w:sz="0" w:space="0" w:color="auto"/>
        <w:left w:val="none" w:sz="0" w:space="0" w:color="auto"/>
        <w:bottom w:val="none" w:sz="0" w:space="0" w:color="auto"/>
        <w:right w:val="none" w:sz="0" w:space="0" w:color="auto"/>
      </w:divBdr>
    </w:div>
    <w:div w:id="865867389">
      <w:bodyDiv w:val="1"/>
      <w:marLeft w:val="0"/>
      <w:marRight w:val="0"/>
      <w:marTop w:val="0"/>
      <w:marBottom w:val="0"/>
      <w:divBdr>
        <w:top w:val="none" w:sz="0" w:space="0" w:color="auto"/>
        <w:left w:val="none" w:sz="0" w:space="0" w:color="auto"/>
        <w:bottom w:val="none" w:sz="0" w:space="0" w:color="auto"/>
        <w:right w:val="none" w:sz="0" w:space="0" w:color="auto"/>
      </w:divBdr>
    </w:div>
    <w:div w:id="948514811">
      <w:bodyDiv w:val="1"/>
      <w:marLeft w:val="0"/>
      <w:marRight w:val="0"/>
      <w:marTop w:val="0"/>
      <w:marBottom w:val="0"/>
      <w:divBdr>
        <w:top w:val="none" w:sz="0" w:space="0" w:color="auto"/>
        <w:left w:val="none" w:sz="0" w:space="0" w:color="auto"/>
        <w:bottom w:val="none" w:sz="0" w:space="0" w:color="auto"/>
        <w:right w:val="none" w:sz="0" w:space="0" w:color="auto"/>
      </w:divBdr>
    </w:div>
    <w:div w:id="1249970889">
      <w:bodyDiv w:val="1"/>
      <w:marLeft w:val="0"/>
      <w:marRight w:val="0"/>
      <w:marTop w:val="0"/>
      <w:marBottom w:val="0"/>
      <w:divBdr>
        <w:top w:val="none" w:sz="0" w:space="0" w:color="auto"/>
        <w:left w:val="none" w:sz="0" w:space="0" w:color="auto"/>
        <w:bottom w:val="none" w:sz="0" w:space="0" w:color="auto"/>
        <w:right w:val="none" w:sz="0" w:space="0" w:color="auto"/>
      </w:divBdr>
    </w:div>
    <w:div w:id="1380401991">
      <w:bodyDiv w:val="1"/>
      <w:marLeft w:val="0"/>
      <w:marRight w:val="0"/>
      <w:marTop w:val="0"/>
      <w:marBottom w:val="0"/>
      <w:divBdr>
        <w:top w:val="none" w:sz="0" w:space="0" w:color="auto"/>
        <w:left w:val="none" w:sz="0" w:space="0" w:color="auto"/>
        <w:bottom w:val="none" w:sz="0" w:space="0" w:color="auto"/>
        <w:right w:val="none" w:sz="0" w:space="0" w:color="auto"/>
      </w:divBdr>
      <w:divsChild>
        <w:div w:id="1920746049">
          <w:marLeft w:val="0"/>
          <w:marRight w:val="0"/>
          <w:marTop w:val="0"/>
          <w:marBottom w:val="0"/>
          <w:divBdr>
            <w:top w:val="none" w:sz="0" w:space="0" w:color="auto"/>
            <w:left w:val="none" w:sz="0" w:space="0" w:color="auto"/>
            <w:bottom w:val="none" w:sz="0" w:space="0" w:color="auto"/>
            <w:right w:val="none" w:sz="0" w:space="0" w:color="auto"/>
          </w:divBdr>
          <w:divsChild>
            <w:div w:id="1092631949">
              <w:marLeft w:val="0"/>
              <w:marRight w:val="0"/>
              <w:marTop w:val="0"/>
              <w:marBottom w:val="0"/>
              <w:divBdr>
                <w:top w:val="none" w:sz="0" w:space="0" w:color="auto"/>
                <w:left w:val="none" w:sz="0" w:space="0" w:color="auto"/>
                <w:bottom w:val="none" w:sz="0" w:space="0" w:color="auto"/>
                <w:right w:val="none" w:sz="0" w:space="0" w:color="auto"/>
              </w:divBdr>
              <w:divsChild>
                <w:div w:id="1871382857">
                  <w:marLeft w:val="0"/>
                  <w:marRight w:val="0"/>
                  <w:marTop w:val="0"/>
                  <w:marBottom w:val="0"/>
                  <w:divBdr>
                    <w:top w:val="none" w:sz="0" w:space="0" w:color="auto"/>
                    <w:left w:val="none" w:sz="0" w:space="0" w:color="auto"/>
                    <w:bottom w:val="none" w:sz="0" w:space="0" w:color="auto"/>
                    <w:right w:val="none" w:sz="0" w:space="0" w:color="auto"/>
                  </w:divBdr>
                  <w:divsChild>
                    <w:div w:id="1152989207">
                      <w:marLeft w:val="1"/>
                      <w:marRight w:val="1"/>
                      <w:marTop w:val="0"/>
                      <w:marBottom w:val="0"/>
                      <w:divBdr>
                        <w:top w:val="none" w:sz="0" w:space="0" w:color="auto"/>
                        <w:left w:val="none" w:sz="0" w:space="0" w:color="auto"/>
                        <w:bottom w:val="none" w:sz="0" w:space="0" w:color="auto"/>
                        <w:right w:val="none" w:sz="0" w:space="0" w:color="auto"/>
                      </w:divBdr>
                      <w:divsChild>
                        <w:div w:id="1453986122">
                          <w:marLeft w:val="0"/>
                          <w:marRight w:val="0"/>
                          <w:marTop w:val="0"/>
                          <w:marBottom w:val="0"/>
                          <w:divBdr>
                            <w:top w:val="none" w:sz="0" w:space="0" w:color="auto"/>
                            <w:left w:val="none" w:sz="0" w:space="0" w:color="auto"/>
                            <w:bottom w:val="none" w:sz="0" w:space="0" w:color="auto"/>
                            <w:right w:val="none" w:sz="0" w:space="0" w:color="auto"/>
                          </w:divBdr>
                          <w:divsChild>
                            <w:div w:id="472912396">
                              <w:marLeft w:val="0"/>
                              <w:marRight w:val="0"/>
                              <w:marTop w:val="0"/>
                              <w:marBottom w:val="360"/>
                              <w:divBdr>
                                <w:top w:val="none" w:sz="0" w:space="0" w:color="auto"/>
                                <w:left w:val="none" w:sz="0" w:space="0" w:color="auto"/>
                                <w:bottom w:val="none" w:sz="0" w:space="0" w:color="auto"/>
                                <w:right w:val="none" w:sz="0" w:space="0" w:color="auto"/>
                              </w:divBdr>
                              <w:divsChild>
                                <w:div w:id="756484477">
                                  <w:marLeft w:val="0"/>
                                  <w:marRight w:val="0"/>
                                  <w:marTop w:val="0"/>
                                  <w:marBottom w:val="0"/>
                                  <w:divBdr>
                                    <w:top w:val="none" w:sz="0" w:space="0" w:color="auto"/>
                                    <w:left w:val="none" w:sz="0" w:space="0" w:color="auto"/>
                                    <w:bottom w:val="none" w:sz="0" w:space="0" w:color="auto"/>
                                    <w:right w:val="none" w:sz="0" w:space="0" w:color="auto"/>
                                  </w:divBdr>
                                  <w:divsChild>
                                    <w:div w:id="4314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242317">
      <w:bodyDiv w:val="1"/>
      <w:marLeft w:val="0"/>
      <w:marRight w:val="0"/>
      <w:marTop w:val="0"/>
      <w:marBottom w:val="0"/>
      <w:divBdr>
        <w:top w:val="none" w:sz="0" w:space="0" w:color="auto"/>
        <w:left w:val="none" w:sz="0" w:space="0" w:color="auto"/>
        <w:bottom w:val="none" w:sz="0" w:space="0" w:color="auto"/>
        <w:right w:val="none" w:sz="0" w:space="0" w:color="auto"/>
      </w:divBdr>
      <w:divsChild>
        <w:div w:id="339936732">
          <w:marLeft w:val="0"/>
          <w:marRight w:val="0"/>
          <w:marTop w:val="0"/>
          <w:marBottom w:val="0"/>
          <w:divBdr>
            <w:top w:val="none" w:sz="0" w:space="0" w:color="auto"/>
            <w:left w:val="none" w:sz="0" w:space="0" w:color="auto"/>
            <w:bottom w:val="none" w:sz="0" w:space="0" w:color="auto"/>
            <w:right w:val="none" w:sz="0" w:space="0" w:color="auto"/>
          </w:divBdr>
          <w:divsChild>
            <w:div w:id="1617522936">
              <w:marLeft w:val="0"/>
              <w:marRight w:val="0"/>
              <w:marTop w:val="0"/>
              <w:marBottom w:val="0"/>
              <w:divBdr>
                <w:top w:val="none" w:sz="0" w:space="0" w:color="auto"/>
                <w:left w:val="none" w:sz="0" w:space="0" w:color="auto"/>
                <w:bottom w:val="none" w:sz="0" w:space="0" w:color="auto"/>
                <w:right w:val="none" w:sz="0" w:space="0" w:color="auto"/>
              </w:divBdr>
              <w:divsChild>
                <w:div w:id="733625314">
                  <w:marLeft w:val="0"/>
                  <w:marRight w:val="0"/>
                  <w:marTop w:val="0"/>
                  <w:marBottom w:val="0"/>
                  <w:divBdr>
                    <w:top w:val="none" w:sz="0" w:space="0" w:color="auto"/>
                    <w:left w:val="none" w:sz="0" w:space="0" w:color="auto"/>
                    <w:bottom w:val="none" w:sz="0" w:space="0" w:color="auto"/>
                    <w:right w:val="none" w:sz="0" w:space="0" w:color="auto"/>
                  </w:divBdr>
                  <w:divsChild>
                    <w:div w:id="763958788">
                      <w:marLeft w:val="1"/>
                      <w:marRight w:val="1"/>
                      <w:marTop w:val="0"/>
                      <w:marBottom w:val="0"/>
                      <w:divBdr>
                        <w:top w:val="none" w:sz="0" w:space="0" w:color="auto"/>
                        <w:left w:val="none" w:sz="0" w:space="0" w:color="auto"/>
                        <w:bottom w:val="none" w:sz="0" w:space="0" w:color="auto"/>
                        <w:right w:val="none" w:sz="0" w:space="0" w:color="auto"/>
                      </w:divBdr>
                      <w:divsChild>
                        <w:div w:id="2082436135">
                          <w:marLeft w:val="0"/>
                          <w:marRight w:val="0"/>
                          <w:marTop w:val="0"/>
                          <w:marBottom w:val="0"/>
                          <w:divBdr>
                            <w:top w:val="none" w:sz="0" w:space="0" w:color="auto"/>
                            <w:left w:val="none" w:sz="0" w:space="0" w:color="auto"/>
                            <w:bottom w:val="none" w:sz="0" w:space="0" w:color="auto"/>
                            <w:right w:val="none" w:sz="0" w:space="0" w:color="auto"/>
                          </w:divBdr>
                          <w:divsChild>
                            <w:div w:id="1631547596">
                              <w:marLeft w:val="0"/>
                              <w:marRight w:val="0"/>
                              <w:marTop w:val="0"/>
                              <w:marBottom w:val="360"/>
                              <w:divBdr>
                                <w:top w:val="none" w:sz="0" w:space="0" w:color="auto"/>
                                <w:left w:val="none" w:sz="0" w:space="0" w:color="auto"/>
                                <w:bottom w:val="none" w:sz="0" w:space="0" w:color="auto"/>
                                <w:right w:val="none" w:sz="0" w:space="0" w:color="auto"/>
                              </w:divBdr>
                              <w:divsChild>
                                <w:div w:id="476266366">
                                  <w:marLeft w:val="0"/>
                                  <w:marRight w:val="0"/>
                                  <w:marTop w:val="0"/>
                                  <w:marBottom w:val="0"/>
                                  <w:divBdr>
                                    <w:top w:val="none" w:sz="0" w:space="0" w:color="auto"/>
                                    <w:left w:val="none" w:sz="0" w:space="0" w:color="auto"/>
                                    <w:bottom w:val="none" w:sz="0" w:space="0" w:color="auto"/>
                                    <w:right w:val="none" w:sz="0" w:space="0" w:color="auto"/>
                                  </w:divBdr>
                                  <w:divsChild>
                                    <w:div w:id="41104492">
                                      <w:marLeft w:val="0"/>
                                      <w:marRight w:val="0"/>
                                      <w:marTop w:val="0"/>
                                      <w:marBottom w:val="0"/>
                                      <w:divBdr>
                                        <w:top w:val="none" w:sz="0" w:space="0" w:color="auto"/>
                                        <w:left w:val="none" w:sz="0" w:space="0" w:color="auto"/>
                                        <w:bottom w:val="none" w:sz="0" w:space="0" w:color="auto"/>
                                        <w:right w:val="none" w:sz="0" w:space="0" w:color="auto"/>
                                      </w:divBdr>
                                      <w:divsChild>
                                        <w:div w:id="1087194310">
                                          <w:marLeft w:val="0"/>
                                          <w:marRight w:val="0"/>
                                          <w:marTop w:val="0"/>
                                          <w:marBottom w:val="0"/>
                                          <w:divBdr>
                                            <w:top w:val="none" w:sz="0" w:space="0" w:color="auto"/>
                                            <w:left w:val="none" w:sz="0" w:space="0" w:color="auto"/>
                                            <w:bottom w:val="none" w:sz="0" w:space="0" w:color="auto"/>
                                            <w:right w:val="none" w:sz="0" w:space="0" w:color="auto"/>
                                          </w:divBdr>
                                          <w:divsChild>
                                            <w:div w:id="1732919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 w:id="1531913719">
      <w:bodyDiv w:val="1"/>
      <w:marLeft w:val="0"/>
      <w:marRight w:val="0"/>
      <w:marTop w:val="0"/>
      <w:marBottom w:val="0"/>
      <w:divBdr>
        <w:top w:val="none" w:sz="0" w:space="0" w:color="auto"/>
        <w:left w:val="none" w:sz="0" w:space="0" w:color="auto"/>
        <w:bottom w:val="none" w:sz="0" w:space="0" w:color="auto"/>
        <w:right w:val="none" w:sz="0" w:space="0" w:color="auto"/>
      </w:divBdr>
    </w:div>
    <w:div w:id="16603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atwork/key-documents/index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comitology/index.cfm?do=Repor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D6C0-4D44-4ABF-BBA5-61A4A849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3474</Words>
  <Characters>18033</Characters>
  <Application>Microsoft Office Word</Application>
  <DocSecurity>0</DocSecurity>
  <Lines>462</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2016-02-15T16:56:00Z</cp:lastPrinted>
  <dcterms:created xsi:type="dcterms:W3CDTF">2016-02-18T14:11:00Z</dcterms:created>
  <dcterms:modified xsi:type="dcterms:W3CDTF">2016-02-25T08:19:00Z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