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0646BB10FA348B78A25F49F26FF0DA3" style="width:451.25pt;height:392.6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tabs>
          <w:tab w:val="left" w:pos="360"/>
        </w:tabs>
        <w:rPr>
          <w:b/>
          <w:bCs/>
          <w:noProof/>
        </w:rPr>
      </w:pPr>
      <w:r>
        <w:rPr>
          <w:b/>
          <w:noProof/>
        </w:rPr>
        <w:t>1. Контекст</w:t>
      </w:r>
    </w:p>
    <w:p>
      <w:pPr>
        <w:rPr>
          <w:noProof/>
        </w:rPr>
      </w:pPr>
      <w:r>
        <w:rPr>
          <w:noProof/>
        </w:rPr>
        <w:t>Агенцията на Европейския съюз за основните права (наричана по-нататък „Агенцията“) е създадена с Регламент (ЕО) № 168/2007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 по-нататък „Регламентът“). </w:t>
      </w:r>
    </w:p>
    <w:p>
      <w:pPr>
        <w:rPr>
          <w:noProof/>
        </w:rPr>
      </w:pPr>
      <w:r>
        <w:rPr>
          <w:noProof/>
        </w:rPr>
        <w:t>Съгласно член 2 от Регламента целта на Агенцията е да предоставя на съответните институции, органи, служби и агенции на Съюза и неговите държави членки при прилагане на правото на Съюза помощ и специализирани познания относно основните права.</w:t>
      </w:r>
    </w:p>
    <w:p>
      <w:pPr>
        <w:rPr>
          <w:noProof/>
        </w:rPr>
      </w:pPr>
      <w:r>
        <w:rPr>
          <w:noProof/>
        </w:rPr>
        <w:t>В съответствие с член 28, параграф 1 от Регламента Агенцията е открита за участие на страни кандидатки в качеството на наблюдатели. В член 28, параграф 2 от Регламента се предвижда, че участието, както и съответните ред и условия се определят с решение на съответния Съвет за асоцииране. Това решение посочва по-специално естеството, степента и начина, по които страната ще участва в работата на Агенцията, в рамките, определени в членове 4 и 5 от Регламента. След решението на Съвета за асоцииране Агенцията ще може да работи по въпроси в областта на основните права в рамките на приложното поле на член 3, параграф 1 в съответната страна кандидатка, доколкото това е необходимо за постепенното привеждане на законодателството на съответната страна в съответствие с това на Съюза.</w:t>
      </w:r>
    </w:p>
    <w:p>
      <w:pPr>
        <w:spacing w:before="240"/>
        <w:jc w:val="left"/>
        <w:rPr>
          <w:b/>
          <w:bCs/>
          <w:noProof/>
        </w:rPr>
      </w:pPr>
      <w:r>
        <w:rPr>
          <w:b/>
          <w:noProof/>
        </w:rPr>
        <w:t>2. Предложението за решение</w:t>
      </w:r>
    </w:p>
    <w:p>
      <w:pPr>
        <w:rPr>
          <w:noProof/>
        </w:rPr>
      </w:pPr>
      <w:r>
        <w:rPr>
          <w:noProof/>
        </w:rPr>
        <w:t xml:space="preserve">Комисията предлага на Съвета да приеме решение относно позицията на Съюза в Съвета за стабилизиране и асоцииране ЕС—Република Албания за участието на Република Албания като наблюдател в дейностите на Агенцията и за реда и условията на това участие. В предложеното решение, съдържащо един-единствен член, се посочва, че позицията на Съюза е определената в проекта на решение на Съвета за стабилизиране и асоцииране ЕС—Република Албания (наричан по-нататък „проектът на Решение“), приложен към решението на Съвета. Към предложението на Комисията е приложено също така предложение за такъв проект на Решение. Предложението е изготвено съгласно изискванията на член 28 от Регламента. </w:t>
      </w:r>
    </w:p>
    <w:p>
      <w:pPr>
        <w:rPr>
          <w:noProof/>
        </w:rPr>
      </w:pPr>
      <w:r>
        <w:rPr>
          <w:noProof/>
        </w:rPr>
        <w:t xml:space="preserve">В съответствие с един от основните принципи на Регламента (а именно, че Агенцията работи чрез възприемането на тематичен подход, а не на отделен подход към всяка страна) проектът на Решение дава възможност на Агенцията да изпълнява в Република Албания задачите, предвидени в членове 4 и 5 от Регламента. </w:t>
      </w:r>
    </w:p>
    <w:p>
      <w:pPr>
        <w:rPr>
          <w:noProof/>
        </w:rPr>
      </w:pPr>
      <w:r>
        <w:rPr>
          <w:noProof/>
        </w:rPr>
        <w:t>В проекта на Решение се предвижда също така, че Република Албания назначава наблюдател и негов заместник в управителния съвет на Агенцията. Тези лица трябва да отговарят на критериите, предвидени в член 12, параграф 1 от Регламента. Те участват в работата на управителния съвет на равни начала с членовете и техните заместници, назначени от държавите членки, но без право на глас.</w:t>
      </w:r>
    </w:p>
    <w:p>
      <w:pPr>
        <w:rPr>
          <w:noProof/>
        </w:rPr>
      </w:pPr>
      <w:r>
        <w:rPr>
          <w:noProof/>
        </w:rPr>
        <w:t xml:space="preserve">Проектът на Решение съдържа разпоредби относно финансовото участие на Република Албания и персонала (приложение I). Към проекта на Решение е приложена финансова обосновка. </w:t>
      </w:r>
    </w:p>
    <w:p>
      <w:pPr>
        <w:rPr>
          <w:noProof/>
        </w:rPr>
      </w:pPr>
      <w:r>
        <w:rPr>
          <w:noProof/>
        </w:rPr>
        <w:lastRenderedPageBreak/>
        <w:t>Проектът на Решение е в съответствие с Правилника за длъжностните лица на Европейския съюз и с Условията за работа на другите служители на Европейския съюз, както са определени с Регламент (ЕИО, Евратом, ЕОВС) № 259/68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2016/0065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 на Съюза в Съвета за стабилизиране и асоцииране ЕС—Република Албания относно участието на Република Албания като наблюдател в работата на Агенцията на Европейския съюз за основните права и съответния ред и условия за това в съответствие с рамката, определена в Регламент (ЕО) № 168/2007 на Съвета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352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Комисията,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bookmarkStart w:id="1" w:name="DQPStarAt1DQPStarAt5FDA66DAB6DA412CB702C"/>
      <w:bookmarkEnd w:id="1"/>
      <w:r>
        <w:t>(1)</w:t>
      </w:r>
      <w:r>
        <w:tab/>
      </w:r>
      <w:r>
        <w:rPr>
          <w:noProof/>
        </w:rPr>
        <w:t>На заседанието си в Люксембург през декември 1997 г. Европейският съвет определи участието в агенциите на Съюза като начин за ускоряване на изпълнението на предприсъединителната стратегия. В заключенията на Европейския съвет се предвижда, че „агенциите на Съюза, в които страните кандидатки могат да участват, ще бъдат определени конкретно за всяка отделна страна“.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В Регламент (ЕО) № 168/2007 на Съвета за създаване на Агенция на Европейския съюз за основните права (наричан по-нататък „Регламентът“) се предвижда, че Агенцията е открита за участие на страни кандидатки в качеството им на наблюдатели.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Република Албания споделя целите и задачите във връзка с работата на Агенцията, посочени в Регламента, и се включва в задачите на Агенцията и нейните области на дейност по силата на членове 4 и 5 от Регламента.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Крайната цел на Република Албания е да стане член на Европейския съюз и участието ѝ в Агенцията на Европейския съюз за основните права ще ѝ помогне да постигне тази цел,</w:t>
      </w:r>
    </w:p>
    <w:p>
      <w:pPr>
        <w:pStyle w:val="Formuledadoption"/>
        <w:spacing w:before="100" w:beforeAutospacing="1" w:after="100" w:afterAutospacing="1"/>
        <w:outlineLvl w:val="0"/>
        <w:rPr>
          <w:noProof/>
        </w:rPr>
      </w:pPr>
      <w:r>
        <w:rPr>
          <w:noProof/>
        </w:rPr>
        <w:t>РЕШИ:</w:t>
      </w:r>
    </w:p>
    <w:p>
      <w:pPr>
        <w:pStyle w:val="Titrearticle"/>
        <w:rPr>
          <w:noProof/>
        </w:rPr>
      </w:pPr>
      <w:r>
        <w:rPr>
          <w:noProof/>
        </w:rPr>
        <w:t>Член единствен</w:t>
      </w:r>
    </w:p>
    <w:p>
      <w:pPr>
        <w:keepNext/>
        <w:keepLines/>
        <w:rPr>
          <w:noProof/>
        </w:rPr>
      </w:pPr>
      <w:r>
        <w:rPr>
          <w:noProof/>
        </w:rPr>
        <w:t xml:space="preserve">Позицията на Европейския съюз в Съвета за стабилизиране и асоцииране ЕС—Република Албания относно участието на Република Албания като наблюдател в работата на Агенцията на Европейския съюз за основните права и съответният ред и условия за това са посочени в проекта на Решение на Съвета за стабилизиране и асоцииране ЕС—Република Албания, приложен към настоящото Решение. </w:t>
      </w:r>
    </w:p>
    <w:p>
      <w:pPr>
        <w:pStyle w:val="Fait"/>
        <w:rPr>
          <w:noProof/>
        </w:rPr>
      </w:pPr>
      <w:r>
        <w:rPr>
          <w:noProof/>
        </w:rPr>
        <w:lastRenderedPageBreak/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bookmarkStart w:id="2" w:name="_CopyToNewDocument_"/>
      <w:bookmarkEnd w:id="2"/>
    </w:p>
    <w:sectPr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168/2007 на Съвета от 15 февруари 2007 г. за създаване на Агенция на Европейския съюз за основните права, ОВ L 53, 22.2.2007 г., стр. 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OВ L 56, 4.3.1968 г., стр. 1, последно изменен с Регламент (ЕС, Евратом) № 1023/2013 на Европейския парламент и на Съвета от 22 октомври 2013 г., OВ L 287, 29.10.2013 г., стр. 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DD5905"/>
    <w:multiLevelType w:val="singleLevel"/>
    <w:tmpl w:val="6CB4B73E"/>
    <w:name w:val="7.919872E-0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>
    <w:nsid w:val="40315490"/>
    <w:multiLevelType w:val="singleLevel"/>
    <w:tmpl w:val="1F86C700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>
    <w:nsid w:val="596D67A1"/>
    <w:multiLevelType w:val="singleLevel"/>
    <w:tmpl w:val="9AC8831A"/>
    <w:name w:val="0.682686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5F8C3B69"/>
    <w:multiLevelType w:val="multilevel"/>
    <w:tmpl w:val="9B14DAA8"/>
    <w:name w:val="0.917141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2A8042C"/>
    <w:multiLevelType w:val="singleLevel"/>
    <w:tmpl w:val="CCF20C06"/>
    <w:name w:val="0.4071012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6A6901C1"/>
    <w:multiLevelType w:val="singleLevel"/>
    <w:tmpl w:val="208841AE"/>
    <w:name w:val="0.8913494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3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4">
    <w:nsid w:val="78A241BD"/>
    <w:multiLevelType w:val="singleLevel"/>
    <w:tmpl w:val="53C4DF3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5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7">
    <w:nsid w:val="7D8820A0"/>
    <w:multiLevelType w:val="singleLevel"/>
    <w:tmpl w:val="54F6C7B4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8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25"/>
  </w:num>
  <w:num w:numId="4">
    <w:abstractNumId w:val="5"/>
  </w:num>
  <w:num w:numId="5">
    <w:abstractNumId w:val="1"/>
  </w:num>
  <w:num w:numId="6">
    <w:abstractNumId w:val="0"/>
  </w:num>
  <w:num w:numId="7">
    <w:abstractNumId w:val="23"/>
  </w:num>
  <w:num w:numId="8">
    <w:abstractNumId w:val="22"/>
  </w:num>
  <w:num w:numId="9">
    <w:abstractNumId w:val="2"/>
  </w:num>
  <w:num w:numId="10">
    <w:abstractNumId w:val="8"/>
  </w:num>
  <w:num w:numId="11">
    <w:abstractNumId w:val="28"/>
  </w:num>
  <w:num w:numId="12">
    <w:abstractNumId w:val="9"/>
  </w:num>
  <w:num w:numId="13">
    <w:abstractNumId w:val="19"/>
  </w:num>
  <w:num w:numId="14">
    <w:abstractNumId w:val="14"/>
  </w:num>
  <w:num w:numId="15">
    <w:abstractNumId w:val="24"/>
  </w:num>
  <w:num w:numId="16">
    <w:abstractNumId w:val="27"/>
  </w:num>
  <w:num w:numId="17">
    <w:abstractNumId w:val="26"/>
    <w:lvlOverride w:ilvl="0">
      <w:startOverride w:val="1"/>
    </w:lvlOverride>
  </w:num>
  <w:num w:numId="18">
    <w:abstractNumId w:val="17"/>
  </w:num>
  <w:num w:numId="19">
    <w:abstractNumId w:val="10"/>
  </w:num>
  <w:num w:numId="20">
    <w:abstractNumId w:val="21"/>
  </w:num>
  <w:num w:numId="21">
    <w:abstractNumId w:val="7"/>
  </w:num>
  <w:num w:numId="22">
    <w:abstractNumId w:val="11"/>
  </w:num>
  <w:num w:numId="23">
    <w:abstractNumId w:val="4"/>
  </w:num>
  <w:num w:numId="24">
    <w:abstractNumId w:val="20"/>
  </w:num>
  <w:num w:numId="25">
    <w:abstractNumId w:val="3"/>
  </w:num>
  <w:num w:numId="26">
    <w:abstractNumId w:val="12"/>
  </w:num>
  <w:num w:numId="27">
    <w:abstractNumId w:val="15"/>
  </w:num>
  <w:num w:numId="28">
    <w:abstractNumId w:val="16"/>
  </w:num>
  <w:num w:numId="29">
    <w:abstractNumId w:val="6"/>
  </w:num>
  <w:num w:numId="30">
    <w:abstractNumId w:val="13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3-07 12:29:0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ist Number" w:val="List Number__2"/>
    <w:docVar w:name="LW_CONFIDENCE" w:val=" "/>
    <w:docVar w:name="LW_CONST_RESTREINT_UE" w:val="RESTREINT UE"/>
    <w:docVar w:name="LW_CORRIGENDUM" w:val="&lt;UNUSED&gt;"/>
    <w:docVar w:name="LW_COVERPAGE_GUID" w:val="30646BB10FA348B78A25F49F26FF0DA3"/>
    <w:docVar w:name="LW_CROSSREFERENCE" w:val="&lt;UNUSED&gt;"/>
    <w:docVar w:name="LW_DocType" w:val="COM"/>
    <w:docVar w:name="LW_EMISSION" w:val="7.3.2016"/>
    <w:docVar w:name="LW_EMISSION_ISODATE" w:val="2016-03-07"/>
    <w:docVar w:name="LW_EMISSION_LOCATION" w:val="BRX"/>
    <w:docVar w:name="LW_EMISSION_PREFIX" w:val="Брюксел, "/>
    <w:docVar w:name="LW_EMISSION_SUFFIX" w:val=" \u1075?."/>
    <w:docVar w:name="LW_FAITA" w:val="Done at Brussels, 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ST.SIGNE" w:val="_x0009_For the Council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PERS.SIGNE" w:val="_x0009_The President_x000b__x0009_"/>
    <w:docVar w:name="LW_REF.II.NEW.CP" w:val="NLE"/>
    <w:docVar w:name="LW_REF.II.NEW.CP_NUMBER" w:val="0065"/>
    <w:docVar w:name="LW_REF.II.NEW.CP_YEAR" w:val="2016"/>
    <w:docVar w:name="LW_REF.INST.NEW" w:val="COM"/>
    <w:docVar w:name="LW_REF.INST.NEW_ADOPTED" w:val="final"/>
    <w:docVar w:name="LW_REF.INST.NEW_TEXT" w:val="(2016) 118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 \u1085?\u1072? \u1057?\u1098?\u1102?\u1079?\u1072? \u1074? \u1057?\u1098?\u1074?\u1077?\u1090?\u1072? \u1079?\u1072? \u1089?\u1090?\u1072?\u1073?\u1080?\u1083?\u1080?\u1079?\u1080?\u1088?\u1072?\u1085?\u1077? \u1080? \u1072?\u1089?\u1086?\u1094?\u1080?\u1080?\u1088?\u1072?\u1085?\u1077? \u1045?\u1057?\u8212?\u1056?\u1077?\u1087?\u1091?\u1073?\u1083?\u1080?\u1082?\u1072? \u1040?\u1083?\u1073?\u1072?\u1085?\u1080?\u1103? \u1086?\u1090?\u1085?\u1086?\u1089?\u1085?\u1086? \u1091?\u1095?\u1072?\u1089?\u1090?\u1080?\u1077?\u1090?\u1086? \u1085?\u1072? \u1056?\u1077?\u1087?\u1091?\u1073?\u1083?\u1080?\u1082?\u1072? \u1040?\u1083?\u1073?\u1072?\u1085?\u1080?\u1103? \u1082?\u1072?\u1090?\u1086? \u1085?\u1072?\u1073?\u1083?\u1102?\u1076?\u1072?\u1090?\u1077?\u1083? \u1074? \u1088?\u1072?\u1073?\u1086?\u1090?\u1072?\u1090?\u1072? \u1085?\u1072? \u1040?\u1075?\u1077?\u1085?\u1094?\u1080?\u1103?\u1090?\u1072? \u1085?\u1072? \u1045?\u1074?\u1088?\u1086?\u1087?\u1077?\u1081?\u1089?\u1082?\u1080?\u1103? \u1089?\u1098?\u1102?\u1079? \u1079?\u1072? \u1086?\u1089?\u1085?\u1086?\u1074?\u1085?\u1080?\u1090?\u1077? \u1087?\u1088?\u1072?\u1074?\u1072? \u1080? \u1089?\u1098?\u1086?\u1090?\u1074?\u1077?\u1090?\u1085?\u1080?\u1103? \u1088?\u1077?\u1076? \u1080? \u1091?\u1089?\u1083?\u1086?\u1074?\u1080?\u1103? \u1079?\u1072? \u1090?\u1086?\u1074?\u1072? \u1074? \u1089?\u1098?\u1086?\u1090?\u1074?\u1077?\u1090?\u1089?\u1090?\u1074?\u1080?\u1077? \u1089? \u1088?\u1072?\u1084?\u1082?\u1072?\u1090?\u1072?, \u1086?\u1087?\u1088?\u1077?\u1076?\u1077?\u1083?\u1077?\u1085?\u1072? \u1074? \u1056?\u1077?\u1075?\u1083?\u1072?\u1084?\u1077?\u1085?\u1090? (\u1045?\u1054?) \u8470? 168/2007 \u1085?\u1072? \u1057?\u1098?\u1074?\u1077?\u1090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pPr>
      <w:numPr>
        <w:numId w:val="9"/>
      </w:numPr>
    </w:pPr>
    <w:rPr>
      <w:rFonts w:eastAsia="Times New Roman"/>
      <w:szCs w:val="24"/>
    </w:rPr>
  </w:style>
  <w:style w:type="paragraph" w:styleId="ListNumber">
    <w:name w:val="List Number"/>
    <w:basedOn w:val="Normal"/>
    <w:pPr>
      <w:numPr>
        <w:numId w:val="2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8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13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2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2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2"/>
      </w:numPr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rFonts w:eastAsia="Times New Roman"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table" w:styleId="TableGrid">
    <w:name w:val="Table Grid"/>
    <w:basedOn w:val="TableNormal"/>
    <w:pPr>
      <w:spacing w:before="120"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ListNumber1">
    <w:name w:val="List Number 1"/>
    <w:basedOn w:val="Text1"/>
    <w:pPr>
      <w:numPr>
        <w:numId w:val="3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4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5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6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1"/>
        <w:numId w:val="3"/>
      </w:numPr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1"/>
        <w:numId w:val="4"/>
      </w:numPr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1"/>
        <w:numId w:val="5"/>
      </w:numPr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1"/>
        <w:numId w:val="6"/>
      </w:numPr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3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4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5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6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numPr>
        <w:ilvl w:val="3"/>
        <w:numId w:val="3"/>
      </w:numPr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numPr>
        <w:ilvl w:val="3"/>
        <w:numId w:val="4"/>
      </w:numPr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numPr>
        <w:ilvl w:val="3"/>
        <w:numId w:val="5"/>
      </w:numPr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numPr>
        <w:ilvl w:val="3"/>
        <w:numId w:val="6"/>
      </w:numPr>
    </w:pPr>
    <w:rPr>
      <w:rFonts w:eastAsia="Times New Roman"/>
      <w:szCs w:val="24"/>
    </w:rPr>
  </w:style>
  <w:style w:type="paragraph" w:styleId="ListBullet">
    <w:name w:val="List Bullet"/>
    <w:basedOn w:val="Normal"/>
    <w:pPr>
      <w:numPr>
        <w:numId w:val="7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0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1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2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6"/>
      </w:numPr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8"/>
      </w:numPr>
    </w:pPr>
  </w:style>
  <w:style w:type="paragraph" w:customStyle="1" w:styleId="Tiret1">
    <w:name w:val="Tiret 1"/>
    <w:basedOn w:val="Point1"/>
    <w:pPr>
      <w:numPr>
        <w:numId w:val="19"/>
      </w:numPr>
    </w:pPr>
  </w:style>
  <w:style w:type="paragraph" w:customStyle="1" w:styleId="Tiret2">
    <w:name w:val="Tiret 2"/>
    <w:basedOn w:val="Point2"/>
    <w:pPr>
      <w:numPr>
        <w:numId w:val="20"/>
      </w:numPr>
    </w:pPr>
  </w:style>
  <w:style w:type="paragraph" w:customStyle="1" w:styleId="Tiret3">
    <w:name w:val="Tiret 3"/>
    <w:basedOn w:val="Point3"/>
    <w:pPr>
      <w:numPr>
        <w:numId w:val="21"/>
      </w:numPr>
    </w:pPr>
  </w:style>
  <w:style w:type="paragraph" w:customStyle="1" w:styleId="Tiret4">
    <w:name w:val="Tiret 4"/>
    <w:basedOn w:val="Point4"/>
    <w:pPr>
      <w:numPr>
        <w:numId w:val="2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5"/>
      </w:numPr>
    </w:pPr>
  </w:style>
  <w:style w:type="paragraph" w:customStyle="1" w:styleId="Point1number">
    <w:name w:val="Point 1 (number)"/>
    <w:basedOn w:val="Normal"/>
    <w:pPr>
      <w:numPr>
        <w:ilvl w:val="2"/>
        <w:numId w:val="25"/>
      </w:numPr>
    </w:pPr>
  </w:style>
  <w:style w:type="paragraph" w:customStyle="1" w:styleId="Point2number">
    <w:name w:val="Point 2 (number)"/>
    <w:basedOn w:val="Normal"/>
    <w:pPr>
      <w:numPr>
        <w:ilvl w:val="4"/>
        <w:numId w:val="25"/>
      </w:numPr>
    </w:pPr>
  </w:style>
  <w:style w:type="paragraph" w:customStyle="1" w:styleId="Point3number">
    <w:name w:val="Point 3 (number)"/>
    <w:basedOn w:val="Normal"/>
    <w:pPr>
      <w:numPr>
        <w:ilvl w:val="6"/>
        <w:numId w:val="25"/>
      </w:numPr>
    </w:pPr>
  </w:style>
  <w:style w:type="paragraph" w:customStyle="1" w:styleId="Point0letter">
    <w:name w:val="Point 0 (letter)"/>
    <w:basedOn w:val="Normal"/>
    <w:pPr>
      <w:numPr>
        <w:ilvl w:val="1"/>
        <w:numId w:val="25"/>
      </w:numPr>
    </w:pPr>
  </w:style>
  <w:style w:type="paragraph" w:customStyle="1" w:styleId="Point1letter">
    <w:name w:val="Point 1 (letter)"/>
    <w:basedOn w:val="Normal"/>
    <w:pPr>
      <w:numPr>
        <w:ilvl w:val="3"/>
        <w:numId w:val="25"/>
      </w:numPr>
    </w:pPr>
  </w:style>
  <w:style w:type="paragraph" w:customStyle="1" w:styleId="Point2letter">
    <w:name w:val="Point 2 (letter)"/>
    <w:basedOn w:val="Normal"/>
    <w:pPr>
      <w:numPr>
        <w:ilvl w:val="5"/>
        <w:numId w:val="25"/>
      </w:numPr>
    </w:pPr>
  </w:style>
  <w:style w:type="paragraph" w:customStyle="1" w:styleId="Point3letter">
    <w:name w:val="Point 3 (letter)"/>
    <w:basedOn w:val="Normal"/>
    <w:pPr>
      <w:numPr>
        <w:ilvl w:val="7"/>
        <w:numId w:val="25"/>
      </w:numPr>
    </w:pPr>
  </w:style>
  <w:style w:type="paragraph" w:customStyle="1" w:styleId="Point4letter">
    <w:name w:val="Point 4 (letter)"/>
    <w:basedOn w:val="Normal"/>
    <w:pPr>
      <w:numPr>
        <w:ilvl w:val="8"/>
        <w:numId w:val="25"/>
      </w:numPr>
    </w:pPr>
  </w:style>
  <w:style w:type="paragraph" w:customStyle="1" w:styleId="Bullet0">
    <w:name w:val="Bullet 0"/>
    <w:basedOn w:val="Normal"/>
    <w:pPr>
      <w:numPr>
        <w:numId w:val="26"/>
      </w:numPr>
    </w:pPr>
  </w:style>
  <w:style w:type="paragraph" w:customStyle="1" w:styleId="Bullet1">
    <w:name w:val="Bullet 1"/>
    <w:basedOn w:val="Normal"/>
    <w:pPr>
      <w:numPr>
        <w:numId w:val="27"/>
      </w:numPr>
    </w:pPr>
  </w:style>
  <w:style w:type="paragraph" w:customStyle="1" w:styleId="Bullet2">
    <w:name w:val="Bullet 2"/>
    <w:basedOn w:val="Normal"/>
    <w:pPr>
      <w:numPr>
        <w:numId w:val="28"/>
      </w:numPr>
    </w:pPr>
  </w:style>
  <w:style w:type="paragraph" w:customStyle="1" w:styleId="Bullet3">
    <w:name w:val="Bullet 3"/>
    <w:basedOn w:val="Normal"/>
    <w:pPr>
      <w:numPr>
        <w:numId w:val="29"/>
      </w:numPr>
    </w:pPr>
  </w:style>
  <w:style w:type="paragraph" w:customStyle="1" w:styleId="Bullet4">
    <w:name w:val="Bullet 4"/>
    <w:basedOn w:val="Normal"/>
    <w:pPr>
      <w:numPr>
        <w:numId w:val="3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D88C-E0A5-4143-A462-F6550B54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778</Words>
  <Characters>4300</Characters>
  <Application>Microsoft Office Word</Application>
  <DocSecurity>0</DocSecurity>
  <Lines>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2015-11-13T13:25:00Z</cp:lastPrinted>
  <dcterms:created xsi:type="dcterms:W3CDTF">2016-03-04T12:00:00Z</dcterms:created>
  <dcterms:modified xsi:type="dcterms:W3CDTF">2016-03-07T11:29:00Z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_NewReviewCycle">
    <vt:lpwstr/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SJ-019</vt:lpwstr>
  </property>
  <property fmtid="{D5CDD505-2E9C-101B-9397-08002B2CF9AE}" pid="11" name="DQCStatus">
    <vt:lpwstr>Green (DQC version 03)</vt:lpwstr>
  </property>
</Properties>
</file>