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C91E32140384FD69F07B799F21EC32A" style="width:451.25pt;height:510.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t>ПРИЛОЖЕНИЕ</w:t>
      </w:r>
    </w:p>
    <w:p>
      <w:pPr>
        <w:pStyle w:val="Titreobjet"/>
        <w:rPr>
          <w:noProof/>
        </w:rPr>
      </w:pPr>
      <w:r>
        <w:rPr>
          <w:noProof/>
        </w:rPr>
        <w:t>РЕШЕНИЕ № .../ относно участието на Република Албания като наблюдател в работата на Агенцията на Европейския съюз за основните права и съответния ред и условия за това в съответствие с рамката, определена в Регламент (ЕО) № 168/2007 на Съвета</w:t>
      </w:r>
    </w:p>
    <w:p>
      <w:pPr>
        <w:pStyle w:val="Accompagnant"/>
        <w:rPr>
          <w:noProof/>
        </w:rPr>
      </w:pPr>
      <w:r>
        <w:rPr>
          <w:noProof/>
        </w:rPr>
        <w:t>придружаващо</w:t>
      </w:r>
    </w:p>
    <w:p>
      <w:pPr>
        <w:pStyle w:val="Typeacteprincipal"/>
        <w:rPr>
          <w:noProof/>
        </w:rPr>
      </w:pPr>
      <w:r>
        <w:rPr>
          <w:noProof/>
        </w:rPr>
        <w:t>Решение на Съвета</w:t>
      </w:r>
    </w:p>
    <w:p>
      <w:pPr>
        <w:pStyle w:val="Objetacteprincipal"/>
        <w:spacing w:after="240"/>
        <w:rPr>
          <w:noProof/>
        </w:rPr>
      </w:pPr>
      <w:r>
        <w:rPr>
          <w:noProof/>
        </w:rPr>
        <w:t>относно позицията на Съюза в Съвета за стабилизиране и асоцииране ЕС—Република Албания относно участието на Република Албания като наблюдател в работата на Агенцията на Европейския съюз за основните права и съответния ред и условия за това в съответствие с рамката, определена в Регламент (ЕО) № 168/2007 на Съвета</w:t>
      </w:r>
      <w:r>
        <w:rPr>
          <w:noProof/>
        </w:rPr>
        <w:br/>
      </w:r>
    </w:p>
    <w:p>
      <w:pPr>
        <w:spacing w:before="75" w:after="75"/>
        <w:jc w:val="left"/>
        <w:rPr>
          <w:b/>
          <w:noProof/>
        </w:rPr>
      </w:pPr>
      <w:r>
        <w:rPr>
          <w:noProof/>
        </w:rPr>
        <w:t xml:space="preserve">СЪВЕТЪТ ЗА СТАБИЛИЗИРАНЕ И АСОЦИИРАНЕ ЕС—РЕПУБЛИКА АЛБАНИЯ, </w:t>
      </w:r>
    </w:p>
    <w:p>
      <w:pPr>
        <w:spacing w:before="60" w:after="60"/>
        <w:rPr>
          <w:noProof/>
        </w:rPr>
      </w:pPr>
      <w:r>
        <w:rPr>
          <w:noProof/>
        </w:rPr>
        <w:t xml:space="preserve">като взе предвид </w:t>
      </w:r>
      <w:hyperlink r:id="rId16" w:anchor="fyrom">
        <w:r>
          <w:rPr>
            <w:noProof/>
          </w:rPr>
          <w:t>Споразумението за стабилизиране и асоцииране</w:t>
        </w:r>
      </w:hyperlink>
      <w:r>
        <w:rPr>
          <w:noProof/>
        </w:rPr>
        <w:t xml:space="preserve"> между Европейския съюз, от една страна, и Република Албания, от друга страна,</w:t>
      </w:r>
    </w:p>
    <w:p>
      <w:pPr>
        <w:spacing w:before="60" w:after="60"/>
        <w:rPr>
          <w:noProof/>
        </w:rPr>
      </w:pPr>
      <w:r>
        <w:rPr>
          <w:noProof/>
        </w:rPr>
        <w:t>като взе предвид Регламент (ЕО) № 168/2007 на Съвета за създаване на Агенция на Европейския съюз за основните права, и по-специално член 28 от него,</w:t>
      </w:r>
    </w:p>
    <w:p>
      <w:pPr>
        <w:spacing w:before="60" w:after="60"/>
        <w:outlineLvl w:val="0"/>
        <w:rPr>
          <w:noProof/>
        </w:rPr>
      </w:pPr>
      <w:r>
        <w:rPr>
          <w:noProof/>
        </w:rPr>
        <w:t>като има предвид, че:</w:t>
      </w:r>
    </w:p>
    <w:p>
      <w:pPr>
        <w:spacing w:before="60" w:after="60"/>
        <w:rPr>
          <w:noProof/>
        </w:rPr>
      </w:pPr>
      <w:r>
        <w:rPr>
          <w:noProof/>
        </w:rPr>
        <w:t xml:space="preserve">(1) На заседанието си в Люксембург през декември 1997 г. Европейският съвет определи участието в агенциите на Съюза като начин за ускоряване на изпълнението на предприсъединителната стратегия. В заключенията на Европейския съвет се предвижда, че „агенциите, в които страните кандидатки могат да участват, ще бъдат определени конкретно за всяка отделна страна“. </w:t>
      </w:r>
    </w:p>
    <w:p>
      <w:pPr>
        <w:autoSpaceDE w:val="0"/>
        <w:autoSpaceDN w:val="0"/>
        <w:adjustRightInd w:val="0"/>
        <w:spacing w:before="60" w:after="60"/>
        <w:rPr>
          <w:iCs/>
          <w:noProof/>
        </w:rPr>
      </w:pPr>
      <w:r>
        <w:rPr>
          <w:noProof/>
        </w:rPr>
        <w:t>(2) Република Албания споделя целите и задачите, предвидени за Агенцията на Европейския съюз за основните права (наричана по-нататък „Агенцията“), и приема приложното поле и описанието на задачите на Агенцията така, както са предвидени в Регламент (ЕО) № 168/2007 на Съвета.</w:t>
      </w:r>
    </w:p>
    <w:p>
      <w:pPr>
        <w:autoSpaceDE w:val="0"/>
        <w:autoSpaceDN w:val="0"/>
        <w:adjustRightInd w:val="0"/>
        <w:spacing w:before="60" w:after="60"/>
        <w:jc w:val="left"/>
        <w:rPr>
          <w:iCs/>
          <w:noProof/>
          <w:spacing w:val="-2"/>
        </w:rPr>
      </w:pPr>
      <w:r>
        <w:rPr>
          <w:noProof/>
          <w:spacing w:val="-2"/>
        </w:rPr>
        <w:t>(3) Целесъобразно е също така Агенцията да работи по въпроси в областта на основните права в Република Албания в рамките на приложното поле на член 3, параграф 1 от Регламент (ЕО) № 168/2007 на Съвета, доколкото това е необходимо за постепенното привеждане на законодателството на страната в съответствие с това на Съюза.</w:t>
      </w:r>
    </w:p>
    <w:p>
      <w:pPr>
        <w:autoSpaceDE w:val="0"/>
        <w:autoSpaceDN w:val="0"/>
        <w:adjustRightInd w:val="0"/>
        <w:spacing w:before="60" w:after="60"/>
        <w:rPr>
          <w:iCs/>
          <w:noProof/>
        </w:rPr>
      </w:pPr>
      <w:r>
        <w:rPr>
          <w:noProof/>
        </w:rPr>
        <w:t xml:space="preserve">(4) Поради това е необходимо да се даде възможност на Република Албания да участва като наблюдател в работата на Агенцията и да се предвидят редът и условията за такова участие, включително разпоредби за участието в инициативи, предприети от Агенцията, за финансовото участие и за служителите. </w:t>
      </w:r>
    </w:p>
    <w:p>
      <w:pPr>
        <w:spacing w:before="60" w:after="60"/>
        <w:rPr>
          <w:noProof/>
        </w:rPr>
      </w:pPr>
      <w:r>
        <w:rPr>
          <w:noProof/>
        </w:rPr>
        <w:t>(5) В съответствие с член 12, параграф 2, буква а) и член 82, параграф 3, буква а) от Условията за работа на другите служители на Европейския съюз, предвидени в Регламент (ЕИО, Евратом, ЕОВС) № 259/68 на Съвета</w:t>
      </w:r>
      <w:r>
        <w:rPr>
          <w:rStyle w:val="FootnoteReference"/>
          <w:noProof/>
        </w:rPr>
        <w:footnoteReference w:id="1"/>
      </w:r>
      <w:r>
        <w:rPr>
          <w:noProof/>
        </w:rPr>
        <w:t>, директорът на Агенцията може по изключение да разреши назначаването на граждани на Република Албания, които не са лишени от граждански права.</w:t>
      </w:r>
    </w:p>
    <w:p>
      <w:pPr>
        <w:outlineLvl w:val="0"/>
        <w:rPr>
          <w:noProof/>
        </w:rPr>
      </w:pPr>
      <w:r>
        <w:rPr>
          <w:noProof/>
        </w:rPr>
        <w:br w:type="page"/>
        <w:t>РЕШИ:</w:t>
      </w:r>
    </w:p>
    <w:p>
      <w:pPr>
        <w:pStyle w:val="Titrearticle"/>
        <w:rPr>
          <w:noProof/>
        </w:rPr>
      </w:pPr>
      <w:r>
        <w:rPr>
          <w:noProof/>
        </w:rPr>
        <w:t>Член 1</w:t>
      </w:r>
    </w:p>
    <w:p>
      <w:pPr>
        <w:rPr>
          <w:noProof/>
        </w:rPr>
      </w:pPr>
      <w:r>
        <w:rPr>
          <w:noProof/>
        </w:rPr>
        <w:t xml:space="preserve">В качеството си на страна кандидатка Република Албания участва като наблюдател в работата на Агенцията на Европейския съюз за основните права, създадена с Регламент (ЕО) № 168/2007 на Съвета. </w:t>
      </w:r>
    </w:p>
    <w:p>
      <w:pPr>
        <w:pStyle w:val="Titrearticle"/>
        <w:rPr>
          <w:noProof/>
        </w:rPr>
      </w:pPr>
      <w:r>
        <w:rPr>
          <w:noProof/>
        </w:rPr>
        <w:t>Член 2</w:t>
      </w:r>
    </w:p>
    <w:p>
      <w:pPr>
        <w:rPr>
          <w:noProof/>
        </w:rPr>
      </w:pPr>
      <w:r>
        <w:rPr>
          <w:noProof/>
        </w:rPr>
        <w:t>1. Агенцията може да работи по въпроси в областта на основните права в Република Албания в рамките на приложното поле на член 3, параграф 1 от Регламент (ЕО) № 168/2007 на Съвета, доколкото това е необходимо за постепенното привеждане на законодателството на страната в съответствие с това на Съюза.</w:t>
      </w:r>
    </w:p>
    <w:p>
      <w:pPr>
        <w:rPr>
          <w:noProof/>
        </w:rPr>
      </w:pPr>
      <w:r>
        <w:rPr>
          <w:noProof/>
        </w:rPr>
        <w:t>2. За тази цел Агенцията ще може да изпълнява в Република Албания задачите, предвидени в членове 4 и 5 от Регламент (ЕО) № 168/2007 на Съвета.</w:t>
      </w:r>
    </w:p>
    <w:p>
      <w:pPr>
        <w:pStyle w:val="Titrearticle"/>
        <w:rPr>
          <w:noProof/>
        </w:rPr>
      </w:pPr>
      <w:r>
        <w:rPr>
          <w:noProof/>
        </w:rPr>
        <w:t>Член 3</w:t>
      </w:r>
    </w:p>
    <w:p>
      <w:pPr>
        <w:rPr>
          <w:noProof/>
        </w:rPr>
      </w:pPr>
      <w:r>
        <w:rPr>
          <w:noProof/>
        </w:rPr>
        <w:t>Република Албания участва във финансирането на дейностите на Агенцията, посочени в член 4 от Регламент (ЕО) № 168/2007, в съответствие с разпоредбите на приложението към настоящото Решение.</w:t>
      </w:r>
    </w:p>
    <w:p>
      <w:pPr>
        <w:pStyle w:val="Titrearticle"/>
        <w:rPr>
          <w:noProof/>
        </w:rPr>
      </w:pPr>
      <w:r>
        <w:rPr>
          <w:noProof/>
        </w:rPr>
        <w:t>Член 4</w:t>
      </w:r>
    </w:p>
    <w:p>
      <w:pPr>
        <w:rPr>
          <w:noProof/>
        </w:rPr>
      </w:pPr>
      <w:r>
        <w:rPr>
          <w:noProof/>
        </w:rPr>
        <w:t>1. Република Албания назначава като наблюдател и заместник-наблюдател съответно лица, които отговарят на критериите, предвидени в член 12, параграф 1 от Регламент (ЕО) № 168/2007 на Съвета. Те могат да участват в работата на управителния съвет на равни начала с членовете и заместник-членовете, назначени от държавите членки, но без право на глас.</w:t>
      </w:r>
    </w:p>
    <w:p>
      <w:pPr>
        <w:rPr>
          <w:noProof/>
        </w:rPr>
      </w:pPr>
      <w:r>
        <w:rPr>
          <w:noProof/>
        </w:rPr>
        <w:t>2. Република Албания определя един държавен служител за национален служител за връзка, както е посочено в член 8, параграф 1 от Регламент (ЕО) № 168/2007 на Съвета.</w:t>
      </w:r>
    </w:p>
    <w:p>
      <w:pPr>
        <w:rPr>
          <w:noProof/>
        </w:rPr>
      </w:pPr>
      <w:r>
        <w:rPr>
          <w:noProof/>
        </w:rPr>
        <w:t>3. В срок от четири месеца след влизането в сила на настоящото Решение Република Албания съобщава на Европейската комисия имената, квалификациите и координатите за връзка на лицата, посочени в параграфи 1 и 2.</w:t>
      </w:r>
    </w:p>
    <w:p>
      <w:pPr>
        <w:pStyle w:val="Titrearticle"/>
        <w:rPr>
          <w:noProof/>
        </w:rPr>
      </w:pPr>
      <w:r>
        <w:rPr>
          <w:noProof/>
        </w:rPr>
        <w:t>Член 5</w:t>
      </w:r>
    </w:p>
    <w:p>
      <w:pPr>
        <w:rPr>
          <w:noProof/>
        </w:rPr>
      </w:pPr>
      <w:r>
        <w:rPr>
          <w:noProof/>
        </w:rPr>
        <w:t>Данните, предоставяни на Агенцията или разпространявани от нея, могат да бъдат публикувани и се предоставят на обществеността, при условие че поверителната информация се ползва със същата степен на защита в Република Албания, с каквато се ползва в рамките на Съюза.</w:t>
      </w:r>
    </w:p>
    <w:p>
      <w:pPr>
        <w:pStyle w:val="Titrearticle"/>
        <w:rPr>
          <w:noProof/>
        </w:rPr>
      </w:pPr>
      <w:r>
        <w:rPr>
          <w:noProof/>
        </w:rPr>
        <w:t>Член 6</w:t>
      </w:r>
    </w:p>
    <w:p>
      <w:pPr>
        <w:autoSpaceDE w:val="0"/>
        <w:autoSpaceDN w:val="0"/>
        <w:adjustRightInd w:val="0"/>
        <w:spacing w:before="0" w:after="0"/>
        <w:rPr>
          <w:bCs/>
          <w:noProof/>
        </w:rPr>
      </w:pPr>
      <w:r>
        <w:rPr>
          <w:noProof/>
        </w:rPr>
        <w:t>Агенцията се ползва в Република Албания със същата правоспособност, каквато се предоставя на правните субекти съгласно правото на Република Албания.</w:t>
      </w:r>
    </w:p>
    <w:p>
      <w:pPr>
        <w:pStyle w:val="Titrearticle"/>
        <w:rPr>
          <w:noProof/>
        </w:rPr>
      </w:pPr>
      <w:r>
        <w:rPr>
          <w:noProof/>
        </w:rPr>
        <w:t>Член 7</w:t>
      </w:r>
    </w:p>
    <w:p>
      <w:pPr>
        <w:rPr>
          <w:noProof/>
        </w:rPr>
      </w:pPr>
      <w:r>
        <w:rPr>
          <w:noProof/>
        </w:rPr>
        <w:t xml:space="preserve">За да могат Агенцията и нейният персонал да изпълняват задачите си, Република Албания им предоставя същите привилегии и имунитети, както посочените в членове 1—4, член 5, член 6, членове 10—13, член 15, член 17 и член 18 от Протокола (№ 7) за привилегиите и имунитетите на Европейския съюз, приложен към Договора за Европейския съюз и Договора за функционирането на Европейския съюз. </w:t>
      </w:r>
    </w:p>
    <w:p>
      <w:pPr>
        <w:pStyle w:val="Titrearticle"/>
        <w:rPr>
          <w:noProof/>
        </w:rPr>
      </w:pPr>
      <w:r>
        <w:rPr>
          <w:noProof/>
        </w:rPr>
        <w:t>Член 8</w:t>
      </w:r>
    </w:p>
    <w:p>
      <w:pPr>
        <w:rPr>
          <w:noProof/>
        </w:rPr>
      </w:pPr>
      <w:r>
        <w:rPr>
          <w:noProof/>
        </w:rPr>
        <w:t xml:space="preserve">Всяка от страните предприема всички необходими общи или специфични мерки за изпълнение на задълженията си по настоящото Решение и уведомява Съвета за стабилизиране и асоцииране за тях. </w:t>
      </w:r>
    </w:p>
    <w:p>
      <w:pPr>
        <w:pStyle w:val="Titrearticle"/>
        <w:rPr>
          <w:noProof/>
        </w:rPr>
      </w:pPr>
      <w:r>
        <w:rPr>
          <w:noProof/>
        </w:rPr>
        <w:t>Член 9</w:t>
      </w:r>
    </w:p>
    <w:p>
      <w:pPr>
        <w:rPr>
          <w:noProof/>
        </w:rPr>
      </w:pPr>
      <w:r>
        <w:rPr>
          <w:noProof/>
        </w:rPr>
        <w:t xml:space="preserve">Настоящото Решение влиза в сила на първия ден от втория месец след датата на приемането му. </w:t>
      </w:r>
    </w:p>
    <w:p>
      <w:pPr>
        <w:rPr>
          <w:noProof/>
        </w:rPr>
        <w:sectPr>
          <w:footerReference w:type="default" r:id="rId17"/>
          <w:footerReference w:type="first" r:id="rId18"/>
          <w:pgSz w:w="11907" w:h="16840" w:code="9"/>
          <w:pgMar w:top="1134" w:right="1418" w:bottom="1134" w:left="1418" w:header="709" w:footer="709" w:gutter="0"/>
          <w:cols w:space="708"/>
          <w:docGrid w:linePitch="360"/>
        </w:sectPr>
      </w:pPr>
    </w:p>
    <w:p>
      <w:pPr>
        <w:pStyle w:val="NormalCentered"/>
        <w:rPr>
          <w:noProof/>
        </w:rPr>
      </w:pPr>
      <w:r>
        <w:rPr>
          <w:noProof/>
        </w:rPr>
        <w:t>ПРИЛОЖЕНИЕ I</w:t>
      </w:r>
    </w:p>
    <w:p>
      <w:pPr>
        <w:jc w:val="center"/>
        <w:rPr>
          <w:b/>
          <w:noProof/>
        </w:rPr>
      </w:pPr>
      <w:r>
        <w:rPr>
          <w:b/>
          <w:noProof/>
        </w:rPr>
        <w:t>ФИНАНСОВО УЧАСТИЕ НА РЕПУБЛИКА АЛБАНИЯ В АГЕНЦИЯТА НА ЕВРОПЕЙСКИЯ СЪЮЗ ЗА ОСНОВНИТЕ ПРАВА</w:t>
      </w:r>
    </w:p>
    <w:p>
      <w:pPr>
        <w:pStyle w:val="NumPar1"/>
        <w:numPr>
          <w:ilvl w:val="0"/>
          <w:numId w:val="5"/>
        </w:numPr>
        <w:rPr>
          <w:noProof/>
        </w:rPr>
      </w:pPr>
      <w:r>
        <w:rPr>
          <w:noProof/>
        </w:rPr>
        <w:t>Финансовото участие, което Република Албания трябва да заплати към бюджета на Европейския съюз, за да участва в работата на Агенцията на Европейския съюз за основните права (наричана по-нататък „Агенцията“), установено в точка 2, представлява пълният размер на разходите за участието ѝ в Агенцията за първите три години. От четвъртата година размерът на финансовото участие ще се определя в съответствие с точка 6.</w:t>
      </w:r>
    </w:p>
    <w:p>
      <w:pPr>
        <w:pStyle w:val="NumPar1"/>
        <w:rPr>
          <w:noProof/>
        </w:rPr>
      </w:pPr>
      <w:r>
        <w:rPr>
          <w:noProof/>
        </w:rPr>
        <w:t>Финансовото участие, което Република Албания трябва да заплати към бюджета на Европейския съюз за първите три години, е, както следва: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7"/>
      </w:tblGrid>
      <w:tr>
        <w:trPr>
          <w:jc w:val="center"/>
        </w:trPr>
        <w:tc>
          <w:tcPr>
            <w:tcW w:w="4606" w:type="dxa"/>
            <w:shd w:val="clear" w:color="auto" w:fill="auto"/>
          </w:tcPr>
          <w:p>
            <w:pPr>
              <w:spacing w:before="0" w:after="0"/>
              <w:rPr>
                <w:noProof/>
              </w:rPr>
            </w:pPr>
            <w:r>
              <w:rPr>
                <w:noProof/>
              </w:rPr>
              <w:t>Година 1:</w:t>
            </w:r>
          </w:p>
        </w:tc>
        <w:tc>
          <w:tcPr>
            <w:tcW w:w="4607" w:type="dxa"/>
            <w:shd w:val="clear" w:color="auto" w:fill="auto"/>
          </w:tcPr>
          <w:p>
            <w:pPr>
              <w:spacing w:before="0" w:after="0"/>
              <w:rPr>
                <w:noProof/>
              </w:rPr>
            </w:pPr>
            <w:r>
              <w:rPr>
                <w:noProof/>
              </w:rPr>
              <w:t xml:space="preserve">160 000 EUR </w:t>
            </w:r>
          </w:p>
          <w:p>
            <w:pPr>
              <w:spacing w:before="0" w:after="0"/>
              <w:rPr>
                <w:noProof/>
              </w:rPr>
            </w:pPr>
          </w:p>
        </w:tc>
      </w:tr>
      <w:tr>
        <w:trPr>
          <w:jc w:val="center"/>
        </w:trPr>
        <w:tc>
          <w:tcPr>
            <w:tcW w:w="4606" w:type="dxa"/>
            <w:shd w:val="clear" w:color="auto" w:fill="auto"/>
          </w:tcPr>
          <w:p>
            <w:pPr>
              <w:spacing w:before="0" w:after="0"/>
              <w:rPr>
                <w:noProof/>
              </w:rPr>
            </w:pPr>
            <w:r>
              <w:rPr>
                <w:noProof/>
              </w:rPr>
              <w:t>Година 2:</w:t>
            </w:r>
          </w:p>
        </w:tc>
        <w:tc>
          <w:tcPr>
            <w:tcW w:w="4607" w:type="dxa"/>
            <w:shd w:val="clear" w:color="auto" w:fill="auto"/>
          </w:tcPr>
          <w:p>
            <w:pPr>
              <w:spacing w:before="0" w:after="0"/>
              <w:rPr>
                <w:noProof/>
              </w:rPr>
            </w:pPr>
            <w:r>
              <w:rPr>
                <w:noProof/>
              </w:rPr>
              <w:t>163 000 EUR</w:t>
            </w:r>
          </w:p>
          <w:p>
            <w:pPr>
              <w:spacing w:before="0" w:after="0"/>
              <w:rPr>
                <w:noProof/>
              </w:rPr>
            </w:pPr>
          </w:p>
        </w:tc>
      </w:tr>
      <w:tr>
        <w:trPr>
          <w:jc w:val="center"/>
        </w:trPr>
        <w:tc>
          <w:tcPr>
            <w:tcW w:w="4606" w:type="dxa"/>
            <w:shd w:val="clear" w:color="auto" w:fill="auto"/>
          </w:tcPr>
          <w:p>
            <w:pPr>
              <w:spacing w:before="0" w:after="0"/>
              <w:rPr>
                <w:noProof/>
              </w:rPr>
            </w:pPr>
            <w:r>
              <w:rPr>
                <w:noProof/>
              </w:rPr>
              <w:t>Година 3:</w:t>
            </w:r>
          </w:p>
          <w:p>
            <w:pPr>
              <w:spacing w:before="0" w:after="0"/>
              <w:rPr>
                <w:noProof/>
              </w:rPr>
            </w:pPr>
          </w:p>
        </w:tc>
        <w:tc>
          <w:tcPr>
            <w:tcW w:w="4607" w:type="dxa"/>
            <w:shd w:val="clear" w:color="auto" w:fill="auto"/>
          </w:tcPr>
          <w:p>
            <w:pPr>
              <w:spacing w:before="0" w:after="0"/>
              <w:rPr>
                <w:noProof/>
              </w:rPr>
            </w:pPr>
            <w:r>
              <w:rPr>
                <w:noProof/>
              </w:rPr>
              <w:t>166 000 EUR</w:t>
            </w:r>
          </w:p>
        </w:tc>
      </w:tr>
    </w:tbl>
    <w:p>
      <w:pPr>
        <w:pStyle w:val="NumPar1"/>
        <w:ind w:left="851"/>
        <w:rPr>
          <w:noProof/>
        </w:rPr>
      </w:pPr>
      <w:r>
        <w:rPr>
          <w:noProof/>
        </w:rPr>
        <w:t>Възможната финансова подкрепа по програми на Съюза за подпомагане ще се договаря отделно съгласно съответната програма на Съюза.</w:t>
      </w:r>
    </w:p>
    <w:p>
      <w:pPr>
        <w:pStyle w:val="NumPar1"/>
        <w:rPr>
          <w:noProof/>
        </w:rPr>
      </w:pPr>
      <w:r>
        <w:rPr>
          <w:noProof/>
        </w:rPr>
        <w:t xml:space="preserve">Финансовото участие на Република Албания ще се управлява в съответствие с Финансовия регламент, приложим към общия бюджет на Европейския съюз. </w:t>
      </w:r>
    </w:p>
    <w:p>
      <w:pPr>
        <w:pStyle w:val="NumPar1"/>
        <w:rPr>
          <w:noProof/>
        </w:rPr>
      </w:pPr>
      <w:r>
        <w:rPr>
          <w:noProof/>
        </w:rPr>
        <w:t>Пътните и дневните разноски на представителите и експертите на Република Албания, направени с цел участие в работата на Агенцията или в срещи, свързани с изпълнението на работната програма на Агенцията, се възстановяват от Агенцията на същите основания и в съответствие с процедурите, които са понастоящем в сила за държавите — членки на Европейския съюз.</w:t>
      </w:r>
    </w:p>
    <w:p>
      <w:pPr>
        <w:pStyle w:val="NumPar1"/>
        <w:rPr>
          <w:noProof/>
        </w:rPr>
      </w:pPr>
      <w:r>
        <w:rPr>
          <w:noProof/>
        </w:rPr>
        <w:t>След влизането в сила на настоящото Решение и в началото на всяка следваща година Комисията ще изпраща на Република Албания покана за внасяне на средства в размер, съответстващ на финансовото ѝ участие в Агенцията съгласно настоящото Решение. За първата календарна година от участието си Република Албания ще плати вноска, изчислена пропорционално от датата на включването ѝ до края на годината. За следващите години финансовото участие ще се определя в съответствие с таблицата в точка 2. От четвъртата година финансовото участие ще се адаптира в контекста на увеличаването или намаляването на субсидията на Агенцията с цел да се поддържа едно и също съотношение между участието на Република Албания и бюджета на Агенцията за ЕС-28. Финансовото участие може да бъде преразгледано през следващите финансови години въз основа на най-новите статистически данни, публикувани от Статистическата служба на Европейския съюз (Евростат).</w:t>
      </w:r>
    </w:p>
    <w:p>
      <w:pPr>
        <w:pStyle w:val="NumPar1"/>
        <w:rPr>
          <w:noProof/>
        </w:rPr>
      </w:pPr>
      <w:r>
        <w:rPr>
          <w:noProof/>
        </w:rPr>
        <w:t>Това финансово участие се изразява в евро и плащанията се извършват по банкова сметка в евро на Комисията на Европейския съюз.</w:t>
      </w:r>
    </w:p>
    <w:p>
      <w:pPr>
        <w:pStyle w:val="NumPar1"/>
        <w:rPr>
          <w:noProof/>
        </w:rPr>
      </w:pPr>
      <w:r>
        <w:rPr>
          <w:noProof/>
        </w:rPr>
        <w:t>Република Албания ще плаща своята вноска в съответствие с поканата за внасяне на средства за своята част най-късно 30 дни, след като поканата за внасяне на средства е изпратена от Комисията.</w:t>
      </w:r>
    </w:p>
    <w:p>
      <w:pPr>
        <w:pStyle w:val="NumPar1"/>
        <w:rPr>
          <w:noProof/>
          <w:spacing w:val="-2"/>
        </w:rPr>
      </w:pPr>
      <w:r>
        <w:rPr>
          <w:noProof/>
          <w:spacing w:val="-2"/>
        </w:rPr>
        <w:t>Всяко забавяне в плащането на вноската дава основание за плащане от страна на Република Албания на лихва върху дължимата сума, считано от датата на падежа. Лихвеният процент съответства на процента, прилаган към датата на падежа от Европейската централна банка за нейните операции в евро, увеличен с 1,5 процентни пункта.</w:t>
      </w:r>
    </w:p>
    <w:p>
      <w:pPr>
        <w:rPr>
          <w:rFonts w:eastAsia="Times New Roman"/>
          <w:noProof/>
        </w:rPr>
        <w:sectPr>
          <w:pgSz w:w="12240" w:h="15840"/>
          <w:pgMar w:top="794" w:right="907" w:bottom="851" w:left="1361" w:header="510" w:footer="454" w:gutter="0"/>
          <w:cols w:space="720"/>
          <w:docGrid w:linePitch="326"/>
        </w:sectPr>
      </w:pPr>
    </w:p>
    <w:p>
      <w:pPr>
        <w:jc w:val="center"/>
        <w:rPr>
          <w:rFonts w:eastAsia="Times New Roman"/>
          <w:b/>
          <w:noProof/>
          <w:u w:val="single"/>
        </w:rPr>
      </w:pPr>
      <w:r>
        <w:rPr>
          <w:b/>
          <w:noProof/>
          <w:u w:val="single"/>
        </w:rPr>
        <w:t xml:space="preserve">ЗАКОНОДАТЕЛНА ФИНАНСОВА ОБОСНОВКА </w:t>
      </w:r>
    </w:p>
    <w:p>
      <w:pPr>
        <w:keepNext/>
        <w:tabs>
          <w:tab w:val="left" w:pos="850"/>
        </w:tabs>
        <w:spacing w:before="360"/>
        <w:ind w:left="850" w:hanging="850"/>
        <w:outlineLvl w:val="0"/>
        <w:rPr>
          <w:rFonts w:eastAsia="Times New Roman"/>
          <w:b/>
          <w:smallCaps/>
          <w:noProof/>
        </w:rPr>
      </w:pPr>
      <w:r>
        <w:rPr>
          <w:b/>
          <w:smallCaps/>
          <w:noProof/>
        </w:rPr>
        <w:t>1.</w:t>
      </w:r>
      <w:r>
        <w:rPr>
          <w:noProof/>
        </w:rPr>
        <w:tab/>
      </w:r>
      <w:r>
        <w:rPr>
          <w:b/>
          <w:smallCaps/>
          <w:noProof/>
        </w:rPr>
        <w:t xml:space="preserve">РАМКА НА ПРЕДЛОЖЕНИЕТО/ИНИЦИАТИВАТА </w:t>
      </w:r>
    </w:p>
    <w:p>
      <w:pPr>
        <w:keepNext/>
        <w:tabs>
          <w:tab w:val="left" w:pos="850"/>
        </w:tabs>
        <w:ind w:left="850" w:hanging="850"/>
        <w:outlineLvl w:val="1"/>
        <w:rPr>
          <w:rFonts w:eastAsia="Times New Roman"/>
          <w:noProof/>
        </w:rPr>
      </w:pPr>
      <w:r>
        <w:rPr>
          <w:noProof/>
        </w:rPr>
        <w:tab/>
        <w:t>1.1.</w:t>
      </w:r>
      <w:r>
        <w:rPr>
          <w:noProof/>
        </w:rPr>
        <w:tab/>
        <w:t xml:space="preserve">Наименование на предложението/инициативата </w:t>
      </w:r>
    </w:p>
    <w:p>
      <w:pPr>
        <w:keepNext/>
        <w:tabs>
          <w:tab w:val="left" w:pos="850"/>
        </w:tabs>
        <w:ind w:left="850" w:hanging="850"/>
        <w:outlineLvl w:val="1"/>
        <w:rPr>
          <w:rFonts w:eastAsia="Times New Roman"/>
          <w:noProof/>
        </w:rPr>
      </w:pPr>
      <w:r>
        <w:rPr>
          <w:noProof/>
        </w:rPr>
        <w:tab/>
        <w:t>1.2.</w:t>
      </w:r>
      <w:r>
        <w:rPr>
          <w:noProof/>
        </w:rPr>
        <w:tab/>
        <w:t>Съответни области на политиката в структурата на УД/БД</w:t>
      </w:r>
    </w:p>
    <w:p>
      <w:pPr>
        <w:keepNext/>
        <w:tabs>
          <w:tab w:val="left" w:pos="850"/>
        </w:tabs>
        <w:ind w:left="850" w:hanging="850"/>
        <w:outlineLvl w:val="1"/>
        <w:rPr>
          <w:rFonts w:eastAsia="Times New Roman"/>
          <w:noProof/>
        </w:rPr>
      </w:pPr>
      <w:r>
        <w:rPr>
          <w:noProof/>
        </w:rPr>
        <w:tab/>
        <w:t>1.3.</w:t>
      </w:r>
      <w:r>
        <w:rPr>
          <w:noProof/>
        </w:rPr>
        <w:tab/>
        <w:t xml:space="preserve">Естество на предложението/инициативата </w:t>
      </w:r>
    </w:p>
    <w:p>
      <w:pPr>
        <w:keepNext/>
        <w:tabs>
          <w:tab w:val="left" w:pos="850"/>
        </w:tabs>
        <w:ind w:left="850" w:hanging="850"/>
        <w:outlineLvl w:val="1"/>
        <w:rPr>
          <w:rFonts w:eastAsia="Times New Roman"/>
          <w:noProof/>
        </w:rPr>
      </w:pPr>
      <w:r>
        <w:rPr>
          <w:noProof/>
        </w:rPr>
        <w:tab/>
        <w:t>1.4.</w:t>
      </w:r>
      <w:r>
        <w:rPr>
          <w:noProof/>
        </w:rPr>
        <w:tab/>
        <w:t xml:space="preserve">Цели </w:t>
      </w:r>
    </w:p>
    <w:p>
      <w:pPr>
        <w:keepNext/>
        <w:tabs>
          <w:tab w:val="left" w:pos="850"/>
        </w:tabs>
        <w:ind w:left="850" w:hanging="850"/>
        <w:outlineLvl w:val="1"/>
        <w:rPr>
          <w:rFonts w:eastAsia="Times New Roman"/>
          <w:noProof/>
        </w:rPr>
      </w:pPr>
      <w:r>
        <w:rPr>
          <w:noProof/>
        </w:rPr>
        <w:tab/>
        <w:t>1.5.</w:t>
      </w:r>
      <w:r>
        <w:rPr>
          <w:noProof/>
        </w:rPr>
        <w:tab/>
        <w:t xml:space="preserve">Мотиви за предложението/инициативата </w:t>
      </w:r>
    </w:p>
    <w:p>
      <w:pPr>
        <w:keepNext/>
        <w:tabs>
          <w:tab w:val="left" w:pos="850"/>
        </w:tabs>
        <w:ind w:left="850" w:hanging="850"/>
        <w:outlineLvl w:val="1"/>
        <w:rPr>
          <w:rFonts w:eastAsia="Times New Roman"/>
          <w:noProof/>
        </w:rPr>
      </w:pPr>
      <w:r>
        <w:rPr>
          <w:noProof/>
        </w:rPr>
        <w:tab/>
        <w:t>1.6.</w:t>
      </w:r>
      <w:r>
        <w:rPr>
          <w:noProof/>
        </w:rPr>
        <w:tab/>
        <w:t xml:space="preserve">Срок на действие и финансово отражение </w:t>
      </w:r>
    </w:p>
    <w:p>
      <w:pPr>
        <w:keepNext/>
        <w:tabs>
          <w:tab w:val="left" w:pos="850"/>
        </w:tabs>
        <w:ind w:left="850" w:hanging="850"/>
        <w:outlineLvl w:val="1"/>
        <w:rPr>
          <w:rFonts w:eastAsia="Times New Roman"/>
          <w:noProof/>
        </w:rPr>
      </w:pPr>
      <w:r>
        <w:rPr>
          <w:noProof/>
        </w:rPr>
        <w:tab/>
        <w:t>1.7.</w:t>
      </w:r>
      <w:r>
        <w:rPr>
          <w:noProof/>
        </w:rPr>
        <w:tab/>
        <w:t xml:space="preserve">Предвидени методи на управление </w:t>
      </w:r>
    </w:p>
    <w:p>
      <w:pPr>
        <w:keepNext/>
        <w:tabs>
          <w:tab w:val="left" w:pos="850"/>
        </w:tabs>
        <w:spacing w:before="360"/>
        <w:ind w:left="850" w:hanging="850"/>
        <w:outlineLvl w:val="0"/>
        <w:rPr>
          <w:rFonts w:eastAsia="Times New Roman"/>
          <w:b/>
          <w:smallCaps/>
          <w:noProof/>
        </w:rPr>
      </w:pPr>
      <w:r>
        <w:rPr>
          <w:b/>
          <w:smallCaps/>
          <w:noProof/>
        </w:rPr>
        <w:t>2.</w:t>
      </w:r>
      <w:r>
        <w:rPr>
          <w:noProof/>
        </w:rPr>
        <w:tab/>
      </w:r>
      <w:r>
        <w:rPr>
          <w:b/>
          <w:smallCaps/>
          <w:noProof/>
        </w:rPr>
        <w:t xml:space="preserve">МЕРКИ ЗА УПРАВЛЕНИЕ </w:t>
      </w:r>
    </w:p>
    <w:p>
      <w:pPr>
        <w:keepNext/>
        <w:tabs>
          <w:tab w:val="left" w:pos="850"/>
        </w:tabs>
        <w:ind w:left="850" w:hanging="850"/>
        <w:outlineLvl w:val="1"/>
        <w:rPr>
          <w:rFonts w:eastAsia="Times New Roman"/>
          <w:noProof/>
        </w:rPr>
      </w:pPr>
      <w:r>
        <w:rPr>
          <w:noProof/>
        </w:rPr>
        <w:tab/>
        <w:t>2.1.</w:t>
      </w:r>
      <w:r>
        <w:rPr>
          <w:noProof/>
        </w:rPr>
        <w:tab/>
        <w:t xml:space="preserve">Правила за мониторинг и докладване </w:t>
      </w:r>
    </w:p>
    <w:p>
      <w:pPr>
        <w:keepNext/>
        <w:tabs>
          <w:tab w:val="left" w:pos="850"/>
        </w:tabs>
        <w:ind w:left="850" w:hanging="850"/>
        <w:outlineLvl w:val="1"/>
        <w:rPr>
          <w:rFonts w:eastAsia="Times New Roman"/>
          <w:noProof/>
        </w:rPr>
      </w:pPr>
      <w:r>
        <w:rPr>
          <w:noProof/>
        </w:rPr>
        <w:tab/>
        <w:t>2.2.</w:t>
      </w:r>
      <w:r>
        <w:rPr>
          <w:noProof/>
        </w:rPr>
        <w:tab/>
        <w:t xml:space="preserve">Система за управление и контрол </w:t>
      </w:r>
    </w:p>
    <w:p>
      <w:pPr>
        <w:keepNext/>
        <w:tabs>
          <w:tab w:val="left" w:pos="850"/>
        </w:tabs>
        <w:ind w:left="850" w:hanging="850"/>
        <w:outlineLvl w:val="1"/>
        <w:rPr>
          <w:rFonts w:eastAsia="Times New Roman"/>
          <w:noProof/>
        </w:rPr>
      </w:pPr>
      <w:r>
        <w:rPr>
          <w:noProof/>
        </w:rPr>
        <w:tab/>
        <w:t>2.3.</w:t>
      </w:r>
      <w:r>
        <w:rPr>
          <w:noProof/>
        </w:rPr>
        <w:tab/>
        <w:t xml:space="preserve">Мерки за предотвратяване на измами и нередности </w:t>
      </w:r>
    </w:p>
    <w:p>
      <w:pPr>
        <w:keepNext/>
        <w:tabs>
          <w:tab w:val="left" w:pos="850"/>
        </w:tabs>
        <w:spacing w:before="360"/>
        <w:ind w:left="850" w:hanging="850"/>
        <w:outlineLvl w:val="0"/>
        <w:rPr>
          <w:rFonts w:eastAsia="Times New Roman"/>
          <w:b/>
          <w:smallCaps/>
          <w:noProof/>
        </w:rPr>
      </w:pPr>
      <w:r>
        <w:rPr>
          <w:b/>
          <w:smallCaps/>
          <w:noProof/>
        </w:rPr>
        <w:t>3.</w:t>
      </w:r>
      <w:r>
        <w:rPr>
          <w:noProof/>
        </w:rPr>
        <w:tab/>
      </w:r>
      <w:r>
        <w:rPr>
          <w:b/>
          <w:smallCaps/>
          <w:noProof/>
        </w:rPr>
        <w:t xml:space="preserve">ОЧАКВАНО ФИНАНСОВО ОТРАЖЕНИЕ НА ПРЕДЛОЖЕНИЕТО/ИНИЦИАТИВАТА </w:t>
      </w:r>
    </w:p>
    <w:p>
      <w:pPr>
        <w:keepNext/>
        <w:tabs>
          <w:tab w:val="left" w:pos="850"/>
        </w:tabs>
        <w:ind w:left="850" w:hanging="850"/>
        <w:outlineLvl w:val="1"/>
        <w:rPr>
          <w:rFonts w:eastAsia="Times New Roman"/>
          <w:noProof/>
        </w:rPr>
      </w:pPr>
      <w:r>
        <w:rPr>
          <w:noProof/>
        </w:rPr>
        <w:tab/>
        <w:t>3.1.</w:t>
      </w:r>
      <w:r>
        <w:rPr>
          <w:noProof/>
        </w:rPr>
        <w:tab/>
        <w:t xml:space="preserve">Съответни функции от многогодишната финансова рамка и разходни бюджетни редове </w:t>
      </w:r>
    </w:p>
    <w:p>
      <w:pPr>
        <w:keepNext/>
        <w:tabs>
          <w:tab w:val="left" w:pos="850"/>
        </w:tabs>
        <w:ind w:left="850" w:hanging="850"/>
        <w:outlineLvl w:val="1"/>
        <w:rPr>
          <w:rFonts w:eastAsia="Times New Roman"/>
          <w:b/>
          <w:noProof/>
        </w:rPr>
      </w:pPr>
      <w:r>
        <w:rPr>
          <w:noProof/>
        </w:rPr>
        <w:tab/>
        <w:t>3.2.</w:t>
      </w:r>
      <w:r>
        <w:rPr>
          <w:noProof/>
        </w:rPr>
        <w:tab/>
        <w:t>Очаквано отражение върху разходите</w:t>
      </w:r>
      <w:r>
        <w:rPr>
          <w:b/>
          <w:noProof/>
        </w:rPr>
        <w:t xml:space="preserve"> </w:t>
      </w:r>
    </w:p>
    <w:p>
      <w:pPr>
        <w:keepNext/>
        <w:tabs>
          <w:tab w:val="left" w:pos="850"/>
        </w:tabs>
        <w:ind w:left="850" w:hanging="850"/>
        <w:outlineLvl w:val="2"/>
        <w:rPr>
          <w:rFonts w:eastAsia="Times New Roman"/>
          <w:i/>
          <w:noProof/>
        </w:rPr>
      </w:pPr>
      <w:r>
        <w:rPr>
          <w:noProof/>
        </w:rPr>
        <w:tab/>
      </w:r>
      <w:r>
        <w:rPr>
          <w:i/>
          <w:noProof/>
        </w:rPr>
        <w:t>3.2.1.</w:t>
      </w:r>
      <w:r>
        <w:rPr>
          <w:noProof/>
        </w:rPr>
        <w:tab/>
      </w:r>
      <w:r>
        <w:rPr>
          <w:i/>
          <w:noProof/>
        </w:rPr>
        <w:t xml:space="preserve">Обобщение на очакваното отражение върху разходите </w:t>
      </w:r>
    </w:p>
    <w:p>
      <w:pPr>
        <w:keepNext/>
        <w:tabs>
          <w:tab w:val="left" w:pos="850"/>
        </w:tabs>
        <w:ind w:left="850" w:hanging="850"/>
        <w:outlineLvl w:val="2"/>
        <w:rPr>
          <w:rFonts w:eastAsia="Times New Roman"/>
          <w:i/>
          <w:noProof/>
        </w:rPr>
      </w:pPr>
      <w:r>
        <w:rPr>
          <w:noProof/>
        </w:rPr>
        <w:tab/>
      </w:r>
      <w:r>
        <w:rPr>
          <w:i/>
          <w:noProof/>
        </w:rPr>
        <w:t>3.2.2.</w:t>
      </w:r>
      <w:r>
        <w:rPr>
          <w:noProof/>
        </w:rPr>
        <w:tab/>
      </w:r>
      <w:r>
        <w:rPr>
          <w:i/>
          <w:noProof/>
        </w:rPr>
        <w:t xml:space="preserve">Очаквано отражение върху бюджетните кредити на Агенцията </w:t>
      </w:r>
    </w:p>
    <w:p>
      <w:pPr>
        <w:keepNext/>
        <w:tabs>
          <w:tab w:val="left" w:pos="850"/>
        </w:tabs>
        <w:ind w:left="850" w:hanging="850"/>
        <w:outlineLvl w:val="2"/>
        <w:rPr>
          <w:rFonts w:eastAsia="Times New Roman"/>
          <w:i/>
          <w:noProof/>
        </w:rPr>
      </w:pPr>
      <w:r>
        <w:rPr>
          <w:noProof/>
        </w:rPr>
        <w:tab/>
      </w:r>
      <w:r>
        <w:rPr>
          <w:i/>
          <w:noProof/>
        </w:rPr>
        <w:t>3.2.3.</w:t>
      </w:r>
      <w:r>
        <w:rPr>
          <w:noProof/>
        </w:rPr>
        <w:tab/>
      </w:r>
      <w:r>
        <w:rPr>
          <w:i/>
          <w:noProof/>
        </w:rPr>
        <w:t>Очаквано отражение върху човешките ресурси на Агенцията</w:t>
      </w:r>
    </w:p>
    <w:p>
      <w:pPr>
        <w:keepNext/>
        <w:tabs>
          <w:tab w:val="left" w:pos="850"/>
        </w:tabs>
        <w:ind w:left="850" w:hanging="850"/>
        <w:outlineLvl w:val="2"/>
        <w:rPr>
          <w:rFonts w:eastAsia="Times New Roman"/>
          <w:i/>
          <w:noProof/>
        </w:rPr>
      </w:pPr>
      <w:r>
        <w:rPr>
          <w:noProof/>
        </w:rPr>
        <w:tab/>
      </w:r>
      <w:r>
        <w:rPr>
          <w:i/>
          <w:noProof/>
        </w:rPr>
        <w:t>3.2.4.</w:t>
      </w:r>
      <w:r>
        <w:rPr>
          <w:noProof/>
        </w:rPr>
        <w:tab/>
      </w:r>
      <w:r>
        <w:rPr>
          <w:i/>
          <w:noProof/>
        </w:rPr>
        <w:t>Съвместимост с настоящата многогодишна финансова рамка</w:t>
      </w:r>
    </w:p>
    <w:p>
      <w:pPr>
        <w:keepNext/>
        <w:tabs>
          <w:tab w:val="left" w:pos="850"/>
        </w:tabs>
        <w:ind w:left="850" w:hanging="850"/>
        <w:outlineLvl w:val="2"/>
        <w:rPr>
          <w:rFonts w:eastAsia="Times New Roman"/>
          <w:i/>
          <w:noProof/>
        </w:rPr>
      </w:pPr>
      <w:r>
        <w:rPr>
          <w:noProof/>
        </w:rPr>
        <w:tab/>
      </w:r>
      <w:r>
        <w:rPr>
          <w:i/>
          <w:noProof/>
        </w:rPr>
        <w:t>3.2.5.</w:t>
      </w:r>
      <w:r>
        <w:rPr>
          <w:noProof/>
        </w:rPr>
        <w:tab/>
      </w:r>
      <w:r>
        <w:rPr>
          <w:i/>
          <w:noProof/>
        </w:rPr>
        <w:t xml:space="preserve">Участие на трети страни във финансирането </w:t>
      </w:r>
    </w:p>
    <w:p>
      <w:pPr>
        <w:keepNext/>
        <w:tabs>
          <w:tab w:val="left" w:pos="850"/>
        </w:tabs>
        <w:ind w:left="850" w:hanging="850"/>
        <w:jc w:val="left"/>
        <w:outlineLvl w:val="1"/>
        <w:rPr>
          <w:rFonts w:eastAsia="Times New Roman"/>
          <w:noProof/>
        </w:rPr>
      </w:pPr>
      <w:r>
        <w:rPr>
          <w:noProof/>
        </w:rPr>
        <w:tab/>
        <w:t>3.3.</w:t>
      </w:r>
      <w:r>
        <w:rPr>
          <w:noProof/>
        </w:rPr>
        <w:tab/>
        <w:t>Очаквано отражение върху приходите</w:t>
      </w:r>
    </w:p>
    <w:p>
      <w:pPr>
        <w:rPr>
          <w:rFonts w:eastAsia="Times New Roman"/>
          <w:b/>
          <w:noProof/>
          <w:u w:val="single"/>
        </w:rPr>
        <w:sectPr>
          <w:pgSz w:w="12240" w:h="15840"/>
          <w:pgMar w:top="794" w:right="907" w:bottom="851" w:left="1361" w:header="510" w:footer="454" w:gutter="0"/>
          <w:cols w:space="720"/>
          <w:docGrid w:linePitch="326"/>
        </w:sectPr>
      </w:pPr>
    </w:p>
    <w:p>
      <w:pPr>
        <w:jc w:val="center"/>
        <w:rPr>
          <w:rFonts w:eastAsia="Times New Roman"/>
          <w:b/>
          <w:noProof/>
          <w:u w:val="single"/>
        </w:rPr>
      </w:pPr>
      <w:r>
        <w:rPr>
          <w:b/>
          <w:noProof/>
          <w:u w:val="single"/>
        </w:rPr>
        <w:t xml:space="preserve">ЗАКОНОДАТЕЛНА ФИНАНСОВА ОБОСНОВКА </w:t>
      </w:r>
    </w:p>
    <w:p>
      <w:pPr>
        <w:pStyle w:val="Heading1"/>
        <w:numPr>
          <w:ilvl w:val="0"/>
          <w:numId w:val="13"/>
        </w:numPr>
        <w:rPr>
          <w:rFonts w:eastAsia="Times New Roman"/>
          <w:noProof/>
          <w:szCs w:val="24"/>
        </w:rPr>
      </w:pPr>
      <w:r>
        <w:rPr>
          <w:noProof/>
        </w:rPr>
        <w:t xml:space="preserve">РАМКА НА ПРЕДЛОЖЕНИЕТО/ИНИЦИАТИВАТА </w:t>
      </w:r>
    </w:p>
    <w:p>
      <w:pPr>
        <w:pStyle w:val="Heading2"/>
        <w:rPr>
          <w:rFonts w:eastAsia="Times New Roman"/>
          <w:noProof/>
          <w:szCs w:val="24"/>
        </w:rPr>
      </w:pPr>
      <w:r>
        <w:rPr>
          <w:noProof/>
        </w:rPr>
        <w:t xml:space="preserve">Наименование на предложението/инициативата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Решение на Съвета относно позицията на Съюза относно участието на Република Албания като наблюдател в работата на Агенцията на Европейския съюз за основните права и съответния ред и условия за това в съответствие с рамката, определена в Регламент (ЕО) № 168/2007 на Съвета.</w:t>
      </w:r>
    </w:p>
    <w:p>
      <w:pPr>
        <w:pStyle w:val="Heading2"/>
        <w:rPr>
          <w:noProof/>
        </w:rPr>
      </w:pPr>
      <w:r>
        <w:rPr>
          <w:noProof/>
        </w:rPr>
        <w:t>Съответни области на политиката в структурата на УД/БД</w:t>
      </w:r>
      <w:r>
        <w:rPr>
          <w:rStyle w:val="FootnoteReference"/>
          <w:noProof/>
        </w:rPr>
        <w:footnoteReference w:id="2"/>
      </w:r>
      <w:r>
        <w:rPr>
          <w:noProof/>
        </w:rPr>
        <w:t xml:space="preserve">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u w:val="single"/>
        </w:rPr>
        <w:t>Област на политиката</w:t>
      </w:r>
      <w:r>
        <w:rPr>
          <w:noProof/>
        </w:rPr>
        <w:t xml:space="preserve">: </w:t>
      </w:r>
      <w:r>
        <w:rPr>
          <w:noProof/>
        </w:rPr>
        <w:tab/>
        <w:t>33</w:t>
      </w:r>
      <w:r>
        <w:rPr>
          <w:noProof/>
        </w:rPr>
        <w:tab/>
        <w:t>„Правосъдие и потребители“</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u w:val="single"/>
        </w:rPr>
        <w:t>Дейност</w:t>
      </w:r>
      <w:r>
        <w:rPr>
          <w:noProof/>
        </w:rPr>
        <w:t xml:space="preserve">: </w:t>
      </w:r>
      <w:r>
        <w:rPr>
          <w:noProof/>
        </w:rPr>
        <w:tab/>
        <w:t>33 02</w:t>
      </w:r>
      <w:r>
        <w:rPr>
          <w:noProof/>
        </w:rPr>
        <w:tab/>
        <w:t>„Права, равенство и гражданство“</w:t>
      </w:r>
    </w:p>
    <w:p>
      <w:pPr>
        <w:pStyle w:val="Heading2"/>
        <w:rPr>
          <w:noProof/>
        </w:rPr>
      </w:pPr>
      <w:r>
        <w:rPr>
          <w:noProof/>
        </w:rPr>
        <w:t xml:space="preserve">Естество на предложението/инициативата </w:t>
      </w:r>
    </w:p>
    <w:p>
      <w:pPr>
        <w:ind w:left="850"/>
        <w:rPr>
          <w:rFonts w:eastAsia="Times New Roman"/>
          <w:b/>
          <w:noProof/>
        </w:rPr>
      </w:pPr>
      <w:r>
        <w:rPr>
          <w:noProof/>
        </w:rPr>
        <w:t xml:space="preserve">Предложението/инициативата е във връзка с </w:t>
      </w:r>
      <w:r>
        <w:rPr>
          <w:b/>
          <w:noProof/>
        </w:rPr>
        <w:t xml:space="preserve">нова дейност </w:t>
      </w:r>
    </w:p>
    <w:p>
      <w:pPr>
        <w:pStyle w:val="Heading2"/>
        <w:rPr>
          <w:noProof/>
        </w:rPr>
      </w:pPr>
      <w:r>
        <w:rPr>
          <w:noProof/>
        </w:rPr>
        <w:t>Цели</w:t>
      </w:r>
    </w:p>
    <w:p>
      <w:pPr>
        <w:pStyle w:val="Heading3"/>
        <w:rPr>
          <w:rFonts w:eastAsia="Times New Roman"/>
          <w:noProof/>
          <w:szCs w:val="24"/>
        </w:rPr>
      </w:pPr>
      <w:r>
        <w:rPr>
          <w:noProof/>
        </w:rPr>
        <w:t xml:space="preserve">Многогодишни стратегически цели на Комисията, за чието изпълнение е предназначено предложението/инициативата </w:t>
      </w:r>
    </w:p>
    <w:p>
      <w:pPr>
        <w:pBdr>
          <w:top w:val="single" w:sz="4" w:space="1" w:color="auto"/>
          <w:left w:val="single" w:sz="4" w:space="4" w:color="auto"/>
          <w:bottom w:val="single" w:sz="4" w:space="1" w:color="auto"/>
          <w:right w:val="single" w:sz="4" w:space="4" w:color="auto"/>
        </w:pBdr>
        <w:ind w:left="850"/>
        <w:rPr>
          <w:rFonts w:eastAsia="Times New Roman"/>
          <w:noProof/>
          <w:color w:val="0000FF"/>
        </w:rPr>
      </w:pPr>
      <w:r>
        <w:rPr>
          <w:noProof/>
        </w:rPr>
        <w:t>Участието на Република Албания като наблюдател в работата на Агенцията ще допринесе за постепенното привеждане на законодателството на страната в съответствие с това на Съюза и за успешната ѝ подготовка за членство в Европейския съюз.</w:t>
      </w:r>
    </w:p>
    <w:p>
      <w:pPr>
        <w:pStyle w:val="Heading3"/>
        <w:rPr>
          <w:noProof/>
        </w:rPr>
      </w:pPr>
      <w:r>
        <w:rPr>
          <w:noProof/>
        </w:rPr>
        <w:t xml:space="preserve">Конкретни цели и съответни дейности във връзка с УД/БД  </w:t>
      </w:r>
    </w:p>
    <w:p>
      <w:pPr>
        <w:pBdr>
          <w:top w:val="single" w:sz="4" w:space="1" w:color="auto"/>
          <w:left w:val="single" w:sz="4" w:space="4" w:color="auto"/>
          <w:bottom w:val="single" w:sz="4" w:space="1" w:color="auto"/>
          <w:right w:val="single" w:sz="4" w:space="4" w:color="auto"/>
        </w:pBdr>
        <w:ind w:left="850"/>
        <w:rPr>
          <w:rFonts w:eastAsia="Times New Roman"/>
          <w:noProof/>
          <w:u w:val="single"/>
        </w:rPr>
      </w:pPr>
      <w:r>
        <w:rPr>
          <w:noProof/>
          <w:u w:val="single"/>
        </w:rPr>
        <w:t>Конкретна цел:</w:t>
      </w:r>
    </w:p>
    <w:p>
      <w:pPr>
        <w:pBdr>
          <w:top w:val="single" w:sz="4" w:space="1" w:color="auto"/>
          <w:left w:val="single" w:sz="4" w:space="4" w:color="auto"/>
          <w:bottom w:val="single" w:sz="4" w:space="1" w:color="auto"/>
          <w:right w:val="single" w:sz="4" w:space="4" w:color="auto"/>
        </w:pBdr>
        <w:ind w:left="850"/>
        <w:rPr>
          <w:rFonts w:eastAsia="Times New Roman"/>
          <w:noProof/>
          <w:color w:val="0000FF"/>
        </w:rPr>
      </w:pPr>
      <w:r>
        <w:rPr>
          <w:noProof/>
        </w:rPr>
        <w:t>Предложеното Решение ще даде възможност на Република Албания да участва като наблюдател в работата на Агенцията, а на Агенцията — да работи по въпроси в областта на основните права в Република Албания.</w:t>
      </w:r>
    </w:p>
    <w:p>
      <w:pPr>
        <w:pBdr>
          <w:top w:val="single" w:sz="4" w:space="1" w:color="auto"/>
          <w:left w:val="single" w:sz="4" w:space="4" w:color="auto"/>
          <w:bottom w:val="single" w:sz="4" w:space="1" w:color="auto"/>
          <w:right w:val="single" w:sz="4" w:space="4" w:color="auto"/>
        </w:pBdr>
        <w:ind w:left="850"/>
        <w:rPr>
          <w:rFonts w:eastAsia="Times New Roman"/>
          <w:noProof/>
          <w:u w:val="single"/>
        </w:rPr>
      </w:pPr>
      <w:r>
        <w:rPr>
          <w:noProof/>
          <w:u w:val="single"/>
        </w:rPr>
        <w:t xml:space="preserve">Съответни дейности във връзка с УД/БД </w:t>
      </w:r>
    </w:p>
    <w:p>
      <w:pPr>
        <w:pBdr>
          <w:top w:val="single" w:sz="4" w:space="1" w:color="auto"/>
          <w:left w:val="single" w:sz="4" w:space="4" w:color="auto"/>
          <w:bottom w:val="single" w:sz="4" w:space="1" w:color="auto"/>
          <w:right w:val="single" w:sz="4" w:space="4" w:color="auto"/>
        </w:pBdr>
        <w:ind w:left="850"/>
        <w:rPr>
          <w:rFonts w:eastAsia="Times New Roman"/>
          <w:noProof/>
          <w:color w:val="0000FF"/>
        </w:rPr>
      </w:pPr>
      <w:r>
        <w:rPr>
          <w:noProof/>
        </w:rPr>
        <w:t xml:space="preserve">33 02 </w:t>
      </w:r>
      <w:r>
        <w:rPr>
          <w:noProof/>
        </w:rPr>
        <w:tab/>
        <w:t>„Права, равенство и гражданство“.</w:t>
      </w:r>
    </w:p>
    <w:p>
      <w:pPr>
        <w:pStyle w:val="Heading3"/>
        <w:rPr>
          <w:noProof/>
        </w:rPr>
      </w:pPr>
      <w:r>
        <w:rPr>
          <w:noProof/>
        </w:rPr>
        <w:t>Очаквани резултати и отражение</w:t>
      </w:r>
    </w:p>
    <w:p>
      <w:pPr>
        <w:ind w:left="850"/>
        <w:rPr>
          <w:rFonts w:eastAsia="Times New Roman"/>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Bdr>
          <w:top w:val="single" w:sz="4" w:space="1" w:color="auto"/>
          <w:left w:val="single" w:sz="4" w:space="4" w:color="auto"/>
          <w:bottom w:val="single" w:sz="4" w:space="1" w:color="auto"/>
          <w:right w:val="single" w:sz="4" w:space="4" w:color="auto"/>
        </w:pBdr>
        <w:ind w:left="850"/>
        <w:rPr>
          <w:rFonts w:eastAsia="Times New Roman"/>
          <w:noProof/>
          <w:color w:val="0000FF"/>
        </w:rPr>
      </w:pPr>
      <w:r>
        <w:rPr>
          <w:noProof/>
        </w:rPr>
        <w:t>Участието на Република Албания като наблюдател в работата на Агенцията ще допринесе за постепенното привеждане на законодателството на страната в съответствие с това на Съюза и за успешната ѝ подготовка за членство в Европейския съюз.</w:t>
      </w:r>
    </w:p>
    <w:p>
      <w:pPr>
        <w:pStyle w:val="Heading3"/>
        <w:rPr>
          <w:noProof/>
        </w:rPr>
      </w:pPr>
      <w:r>
        <w:rPr>
          <w:noProof/>
        </w:rPr>
        <w:t xml:space="preserve">Показатели за резултатите и за отражението </w:t>
      </w:r>
    </w:p>
    <w:p>
      <w:pPr>
        <w:ind w:left="850"/>
        <w:rPr>
          <w:rFonts w:eastAsia="Times New Roman"/>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xml:space="preserve">Предложеното Решение ще даде възможност на Агенцията да изпълнява в Република Албания задачите, предвидени в членове 4 и 5 от Регламент (ЕО) № 168/2007 на Съвета (наричан по-нататък „Регламентът“). </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В центъра на дейностите на Агенцията по планиране, наблюдение, оценяване и докладване стоят показатели за изпълнението. Показателите са определени в Рамката за измерване на изпълнението и се използват за измерване на постигнатите от Агенцията общи резултати. Рамката за измерване на изпълнението съдържа показатели на равнище проект, които описват предвидения резултат от всяка дейност, както и краткосрочни и дългосрочни показатели и показатели с пожелателен характер, повечето от които се измерват след приключването на дейностите, и по-специално след приключването на планираната инициатива. Важно е да се отбележи, че тази рамка е обвързана както със стратегическия план, така и с годишните работни програми. Рамката за измерване на изпълнението на Агенцията съдържа логиката на действие и списък на показателите за изпълнение, както и съответстващата им цел, критерии за преценка, мерки, източници и инструменти. Тя предоставя по логичен начин цялата информация и данни, свързани с изпълнението.   Рамката за измерване на изпълнението на Агенцията е съставена по начин, който подпомага анализа на изпълнението (т.е. наблюдението, оценяването и докладването) на различните равнища на работа на Агенцията, а именно проект, действие, тематична област, и на стратегическо равнище, и ще бъде използвана за наблюдение на изпълнението на инициативата. По-специално показателите са разграничени по равнище на постигнатото (дали става въпрос за резултат, краткосрочни отражения, дългосрочни отражения и отражения с пожелателен характер), както и по равнищата на дейности, описани в логическия модел. Те се определят всяка година (и за съответната дейност във връзка с УД/БД, засегната от инициативата) в оперативните програми за работа на Агенцията (Програмния документ), а в съответния документ за докладване (Консолидиран годишен доклад за дейността) се описват наблюдението и оценяването на изпълнението.</w:t>
      </w:r>
    </w:p>
    <w:p>
      <w:pPr>
        <w:pStyle w:val="Heading2"/>
        <w:rPr>
          <w:noProof/>
        </w:rPr>
      </w:pPr>
      <w:r>
        <w:rPr>
          <w:noProof/>
        </w:rPr>
        <w:t xml:space="preserve">Мотиви за предложението/инициативата </w:t>
      </w:r>
    </w:p>
    <w:p>
      <w:pPr>
        <w:pStyle w:val="Heading3"/>
        <w:rPr>
          <w:noProof/>
        </w:rPr>
      </w:pPr>
      <w:r>
        <w:rPr>
          <w:noProof/>
        </w:rPr>
        <w:t xml:space="preserve">Нужди, които трябва да бъдат задоволени в краткосрочен или дългосрочен план </w:t>
      </w:r>
    </w:p>
    <w:p>
      <w:pPr>
        <w:pBdr>
          <w:top w:val="single" w:sz="4" w:space="1" w:color="auto"/>
          <w:left w:val="single" w:sz="4" w:space="4" w:color="auto"/>
          <w:bottom w:val="single" w:sz="4" w:space="1" w:color="auto"/>
          <w:right w:val="single" w:sz="4" w:space="4" w:color="auto"/>
        </w:pBdr>
        <w:ind w:left="850"/>
        <w:rPr>
          <w:rFonts w:eastAsia="Times New Roman"/>
          <w:bCs/>
          <w:noProof/>
          <w:szCs w:val="24"/>
        </w:rPr>
      </w:pPr>
      <w:r>
        <w:rPr>
          <w:noProof/>
        </w:rPr>
        <w:t>Предложеното Решение би трябвало да даде възможност на Република Албания да участва като наблюдател в работата на Агенцията, а на Агенцията — да работи по въпроси в областта на основните права в Република Албания, в рамките на приложното поле на Регламент (ЕО) № 168/2007 на Съвета.</w:t>
      </w:r>
    </w:p>
    <w:p>
      <w:pPr>
        <w:pStyle w:val="Heading3"/>
        <w:rPr>
          <w:noProof/>
        </w:rPr>
      </w:pPr>
      <w:r>
        <w:rPr>
          <w:noProof/>
        </w:rPr>
        <w:t>Добавена стойност от намесата на ЕС</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Участието на Република Албания като наблюдател в работата на Агенцията ще допринесе за постепенното привеждане на законодателството на страната в съответствие с това на ЕС.</w:t>
      </w:r>
    </w:p>
    <w:p>
      <w:pPr>
        <w:pStyle w:val="Heading3"/>
        <w:rPr>
          <w:noProof/>
        </w:rPr>
      </w:pPr>
      <w:r>
        <w:rPr>
          <w:noProof/>
        </w:rPr>
        <w:t>Изводи от подобен опит в миналото</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В предложението за Регламент (ЕО) № 168/2007 се съдържаше оценка на въздействието, в която се разглеждаше въпросът за географския обхват на дейностите на Агенцията.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Предшественикът на Агенцията на ЕС за основните права — Европейският център за мониторинг на расизма и ксенофобията (ЕЦМРК) — извършваше дейности по проекти PHARE в различни страни кандидатки (през 2003 г. в десетте страни кандидатки, които се присъединиха към ЕС през 2004 г., както и в Румъния, България, Турция и Хърватия), което се оказа много полезно както за страните кандидатки, така и за ЕЦМРК.</w:t>
      </w:r>
    </w:p>
    <w:p>
      <w:pPr>
        <w:pStyle w:val="Heading3"/>
        <w:rPr>
          <w:noProof/>
        </w:rPr>
      </w:pPr>
      <w:r>
        <w:rPr>
          <w:noProof/>
        </w:rPr>
        <w:t>Съвместимост и евентуална синергия с други подходящи инструменти</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Част от разходите за участието на Република Албания ще бъде поета от ИПП.</w:t>
      </w:r>
    </w:p>
    <w:p>
      <w:pPr>
        <w:pStyle w:val="Heading2"/>
        <w:rPr>
          <w:noProof/>
        </w:rPr>
      </w:pPr>
      <w:r>
        <w:rPr>
          <w:noProof/>
        </w:rPr>
        <w:t xml:space="preserve">Срок на действие и финансово отражение </w:t>
      </w:r>
    </w:p>
    <w:p>
      <w:pPr>
        <w:ind w:left="840"/>
        <w:rPr>
          <w:rFonts w:eastAsia="Times New Roman"/>
          <w:noProof/>
        </w:rPr>
      </w:pPr>
      <w:r>
        <w:rPr>
          <w:noProof/>
        </w:rPr>
        <w:t>Предложение/инициатива в сила от влизането в сила на Решението (вж. член 9 от него) до присъединяването на Република Албания към ЕС</w:t>
      </w:r>
    </w:p>
    <w:p>
      <w:pPr>
        <w:ind w:left="840"/>
        <w:rPr>
          <w:rFonts w:eastAsia="Times New Roman"/>
          <w:noProof/>
        </w:rPr>
      </w:pPr>
      <w:r>
        <w:rPr>
          <w:noProof/>
        </w:rPr>
        <w:t>Финансово отражение от влизането в сила на Решението до присъединяването на Република Албания към ЕС</w:t>
      </w:r>
    </w:p>
    <w:p>
      <w:pPr>
        <w:pStyle w:val="Heading2"/>
        <w:rPr>
          <w:noProof/>
        </w:rPr>
      </w:pPr>
      <w:r>
        <w:rPr>
          <w:noProof/>
        </w:rPr>
        <w:t>Планирани методи на управление</w:t>
      </w:r>
      <w:r>
        <w:rPr>
          <w:rStyle w:val="FootnoteReference"/>
          <w:noProof/>
        </w:rPr>
        <w:footnoteReference w:id="3"/>
      </w:r>
      <w:r>
        <w:rPr>
          <w:noProof/>
        </w:rPr>
        <w:t xml:space="preserve"> </w:t>
      </w:r>
    </w:p>
    <w:p>
      <w:pPr>
        <w:ind w:left="850"/>
        <w:rPr>
          <w:rFonts w:eastAsia="Times New Roman"/>
          <w:noProof/>
        </w:rPr>
      </w:pPr>
      <w:r>
        <w:rPr>
          <w:b/>
          <w:noProof/>
        </w:rPr>
        <w:t>Непряко управление</w:t>
      </w:r>
      <w:r>
        <w:rPr>
          <w:noProof/>
        </w:rPr>
        <w:t xml:space="preserve"> чрез възлагане на задачи по изпълнението на бюджета на органите, посочени в членове 208 и 209 от Финансовия регламент</w:t>
      </w:r>
    </w:p>
    <w:p>
      <w:pPr>
        <w:rPr>
          <w:rFonts w:eastAsia="Times New Roman"/>
          <w:noProof/>
        </w:rPr>
        <w:sectPr>
          <w:pgSz w:w="12240" w:h="15840"/>
          <w:pgMar w:top="794" w:right="907" w:bottom="851" w:left="1361" w:header="510" w:footer="454" w:gutter="0"/>
          <w:cols w:space="720"/>
          <w:docGrid w:linePitch="326"/>
        </w:sectPr>
      </w:pPr>
    </w:p>
    <w:p>
      <w:pPr>
        <w:pStyle w:val="Heading1"/>
        <w:rPr>
          <w:noProof/>
          <w:szCs w:val="26"/>
        </w:rPr>
      </w:pPr>
      <w:r>
        <w:rPr>
          <w:noProof/>
        </w:rPr>
        <w:t xml:space="preserve">МЕРКИ ЗА УПРАВЛЕНИЕ </w:t>
      </w:r>
    </w:p>
    <w:p>
      <w:pPr>
        <w:pStyle w:val="Heading2"/>
        <w:rPr>
          <w:noProof/>
        </w:rPr>
      </w:pPr>
      <w:r>
        <w:rPr>
          <w:noProof/>
        </w:rPr>
        <w:t xml:space="preserve">Правила за мониторинг и докладване </w:t>
      </w:r>
    </w:p>
    <w:p>
      <w:pPr>
        <w:ind w:left="850"/>
        <w:rPr>
          <w:rFonts w:eastAsia="Times New Roman"/>
          <w:i/>
          <w:noProof/>
          <w:sz w:val="20"/>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Работата на Агенцията на ЕС за основните права, в това число участието на страните кандидатки в дейностите на Агенцията, се оценяват редовно в съответствие с рамката, установена в Регламент (ЕО) № 168/2007 на Съвета, и като се вземат предвид многогодишната рамка и програмните документи на Агенцията.</w:t>
      </w:r>
    </w:p>
    <w:p>
      <w:pPr>
        <w:pStyle w:val="Heading2"/>
        <w:rPr>
          <w:noProof/>
        </w:rPr>
      </w:pPr>
      <w:r>
        <w:rPr>
          <w:noProof/>
        </w:rPr>
        <w:t xml:space="preserve">Система за управление и контрол </w:t>
      </w:r>
    </w:p>
    <w:p>
      <w:pPr>
        <w:pStyle w:val="Heading3"/>
        <w:rPr>
          <w:noProof/>
        </w:rPr>
      </w:pPr>
      <w:r>
        <w:rPr>
          <w:noProof/>
        </w:rPr>
        <w:t xml:space="preserve">Установени рискове </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(1) Познанията на персонала за съответния пазар.</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(2) Специфични проблеми при събирането на данни за основните права, дължащи се на липсата на доставчици на пазара.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(3) Отражение върху процеса на обществени поръчки, дължащо се на липсата на доставчици на услуги за събирането на данни за основните права.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(4) Отражение върху резултатите от научноизследователската дейност, дължащо се на недостатъчното количество събрани данни или на липсата на данни.</w:t>
      </w:r>
    </w:p>
    <w:p>
      <w:pPr>
        <w:pStyle w:val="Heading3"/>
        <w:rPr>
          <w:noProof/>
        </w:rPr>
      </w:pPr>
      <w:r>
        <w:rPr>
          <w:noProof/>
        </w:rPr>
        <w:t xml:space="preserve">Предвидени методи на контрол </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(1) Анализ на конкретните познания, умения и компетенции, изисквани за изпълнението на дейността, и определяне на нуждите от обучение за персонала.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(2) Засилване на наблюдението на дейностите на външните изпълнители, особено ако нямат опит в предоставянето на данни за основните права.</w:t>
      </w:r>
    </w:p>
    <w:p>
      <w:pPr>
        <w:pStyle w:val="Heading2"/>
        <w:rPr>
          <w:noProof/>
        </w:rPr>
      </w:pPr>
      <w:r>
        <w:rPr>
          <w:noProof/>
        </w:rPr>
        <w:t xml:space="preserve">Мерки за предотвратяване на измами и нередности </w:t>
      </w:r>
    </w:p>
    <w:p>
      <w:pPr>
        <w:ind w:left="850"/>
        <w:rPr>
          <w:rFonts w:eastAsia="Times New Roman"/>
          <w:i/>
          <w:noProof/>
          <w:sz w:val="20"/>
        </w:rPr>
      </w:pPr>
      <w:r>
        <w:rPr>
          <w:i/>
          <w:noProof/>
          <w:sz w:val="20"/>
        </w:rPr>
        <w:t>Да се посочат съществуващите или планираните мерки за превенция и защита.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С цел борба с измамите, корупцията и други незаконни дейности разпоредбите на Регламент (ЕС, Евратом) № 883/2013 се прилагат без ограничения спрямо Агенцията на ЕС за основните права.</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Агенцията се присъединява към Междуинституционалното споразумение между Европейския парламент, Съвета на Европейския съюз и Комисията на Европейските общности от 25 май 1999 г. относно вътрешните разследвания, провеждани от Европейската служба за борба с измамите (OLAF), и незабавно прилага съответната разпоредба в контекста на стратегията на Агенцията за борба с измамите и свързания с нея план за действие.</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В решенията за финансиране и споразуменията и актовете за прилагане, които произтичат от тях, се предвижда изрично, че Сметната палата и OLAF имат право при необходимост да извършват проверки на място на получателите на средства от Агенцията, както и на персонала, отговарящ за разпределението на тези средства.</w:t>
      </w:r>
    </w:p>
    <w:p>
      <w:pPr>
        <w:ind w:left="850"/>
        <w:rPr>
          <w:rFonts w:eastAsia="Times New Roman"/>
          <w:noProof/>
          <w:szCs w:val="24"/>
        </w:rPr>
        <w:sectPr>
          <w:pgSz w:w="12240" w:h="15840" w:code="1"/>
          <w:pgMar w:top="794" w:right="907" w:bottom="851" w:left="1361" w:header="510" w:footer="454" w:gutter="0"/>
          <w:cols w:space="708"/>
          <w:rtlGutter/>
          <w:docGrid w:linePitch="360"/>
        </w:sectPr>
      </w:pPr>
    </w:p>
    <w:p>
      <w:pPr>
        <w:pStyle w:val="Heading1"/>
        <w:rPr>
          <w:noProof/>
        </w:rPr>
      </w:pPr>
      <w:r>
        <w:rPr>
          <w:noProof/>
        </w:rPr>
        <w:t xml:space="preserve">ОЧАКВАНО ФИНАНСОВО ОТРАЖЕНИЕ НА ПРЕДЛОЖЕНИЕТО/ИНИЦИАТИВАТА </w:t>
      </w:r>
    </w:p>
    <w:p>
      <w:pPr>
        <w:pStyle w:val="Heading2"/>
        <w:rPr>
          <w:noProof/>
        </w:rPr>
      </w:pPr>
      <w:r>
        <w:rPr>
          <w:noProof/>
        </w:rPr>
        <w:t xml:space="preserve">Съответни функции от многогодишната финансова рамка и разходни бюджетни редове </w:t>
      </w:r>
    </w:p>
    <w:p>
      <w:pPr>
        <w:ind w:left="1134"/>
        <w:rPr>
          <w:rFonts w:eastAsia="Times New Roman"/>
          <w:noProof/>
        </w:rPr>
      </w:pPr>
      <w:r>
        <w:rPr>
          <w:noProof/>
        </w:rPr>
        <w:t xml:space="preserve">Съществуващи бюджетни редове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rFonts w:eastAsia="Times New Roman"/>
                <w:noProof/>
                <w:sz w:val="18"/>
              </w:rPr>
            </w:pPr>
            <w:r>
              <w:rPr>
                <w:noProof/>
                <w:sz w:val="18"/>
              </w:rPr>
              <w:t>Функция от многогодишната финансова рамка</w:t>
            </w:r>
          </w:p>
        </w:tc>
        <w:tc>
          <w:tcPr>
            <w:tcW w:w="3960" w:type="dxa"/>
            <w:vAlign w:val="center"/>
          </w:tcPr>
          <w:p>
            <w:pPr>
              <w:spacing w:before="60" w:after="60"/>
              <w:jc w:val="center"/>
              <w:rPr>
                <w:rFonts w:eastAsia="Times New Roman"/>
                <w:noProof/>
              </w:rPr>
            </w:pPr>
            <w:r>
              <w:rPr>
                <w:noProof/>
                <w:sz w:val="20"/>
              </w:rPr>
              <w:t>Бюджетен ред</w:t>
            </w:r>
          </w:p>
        </w:tc>
        <w:tc>
          <w:tcPr>
            <w:tcW w:w="1080" w:type="dxa"/>
            <w:vAlign w:val="center"/>
          </w:tcPr>
          <w:p>
            <w:pPr>
              <w:spacing w:before="60" w:after="60"/>
              <w:jc w:val="center"/>
              <w:rPr>
                <w:rFonts w:eastAsia="Times New Roman"/>
                <w:noProof/>
              </w:rPr>
            </w:pPr>
            <w:r>
              <w:rPr>
                <w:noProof/>
                <w:sz w:val="18"/>
              </w:rPr>
              <w:t>Вид</w:t>
            </w:r>
            <w:r>
              <w:rPr>
                <w:noProof/>
              </w:rPr>
              <w:t xml:space="preserve"> </w:t>
            </w:r>
            <w:r>
              <w:rPr>
                <w:noProof/>
                <w:sz w:val="18"/>
              </w:rPr>
              <w:t>на разхода</w:t>
            </w:r>
          </w:p>
        </w:tc>
        <w:tc>
          <w:tcPr>
            <w:tcW w:w="4556" w:type="dxa"/>
            <w:gridSpan w:val="4"/>
            <w:vAlign w:val="center"/>
          </w:tcPr>
          <w:p>
            <w:pPr>
              <w:spacing w:before="60" w:after="60"/>
              <w:jc w:val="center"/>
              <w:rPr>
                <w:rFonts w:eastAsia="Times New Roman"/>
                <w:noProof/>
              </w:rPr>
            </w:pPr>
            <w:r>
              <w:rPr>
                <w:noProof/>
                <w:sz w:val="20"/>
              </w:rPr>
              <w:t xml:space="preserve">Вноска </w:t>
            </w:r>
          </w:p>
        </w:tc>
      </w:tr>
      <w:tr>
        <w:tc>
          <w:tcPr>
            <w:tcW w:w="1080" w:type="dxa"/>
            <w:vMerge/>
            <w:vAlign w:val="center"/>
          </w:tcPr>
          <w:p>
            <w:pPr>
              <w:rPr>
                <w:rFonts w:eastAsia="Times New Roman"/>
                <w:noProof/>
                <w:sz w:val="18"/>
              </w:rPr>
            </w:pPr>
          </w:p>
        </w:tc>
        <w:tc>
          <w:tcPr>
            <w:tcW w:w="3960" w:type="dxa"/>
            <w:vAlign w:val="center"/>
          </w:tcPr>
          <w:p>
            <w:pPr>
              <w:rPr>
                <w:rFonts w:eastAsia="Times New Roman"/>
                <w:noProof/>
              </w:rPr>
            </w:pPr>
            <w:r>
              <w:rPr>
                <w:noProof/>
                <w:sz w:val="20"/>
              </w:rPr>
              <w:t>Номер Наименование………………………...…………</w:t>
            </w:r>
          </w:p>
        </w:tc>
        <w:tc>
          <w:tcPr>
            <w:tcW w:w="1080" w:type="dxa"/>
            <w:vAlign w:val="center"/>
          </w:tcPr>
          <w:p>
            <w:pPr>
              <w:jc w:val="center"/>
              <w:rPr>
                <w:rFonts w:eastAsia="Times New Roman"/>
                <w:noProof/>
              </w:rPr>
            </w:pPr>
            <w:r>
              <w:rPr>
                <w:noProof/>
                <w:sz w:val="18"/>
              </w:rPr>
              <w:t>Многогод./Едногод.</w:t>
            </w:r>
            <w:r>
              <w:rPr>
                <w:rStyle w:val="FootnoteReference"/>
                <w:noProof/>
              </w:rPr>
              <w:footnoteReference w:id="4"/>
            </w:r>
          </w:p>
        </w:tc>
        <w:tc>
          <w:tcPr>
            <w:tcW w:w="956" w:type="dxa"/>
            <w:vAlign w:val="center"/>
          </w:tcPr>
          <w:p>
            <w:pPr>
              <w:jc w:val="center"/>
              <w:rPr>
                <w:rFonts w:eastAsia="Times New Roman"/>
                <w:noProof/>
              </w:rPr>
            </w:pPr>
            <w:r>
              <w:rPr>
                <w:noProof/>
                <w:sz w:val="18"/>
              </w:rPr>
              <w:t>от държави от ЕАСТ</w:t>
            </w:r>
            <w:r>
              <w:rPr>
                <w:rStyle w:val="FootnoteReference"/>
                <w:noProof/>
              </w:rPr>
              <w:footnoteReference w:id="5"/>
            </w:r>
          </w:p>
        </w:tc>
        <w:tc>
          <w:tcPr>
            <w:tcW w:w="1080" w:type="dxa"/>
            <w:vAlign w:val="center"/>
          </w:tcPr>
          <w:p>
            <w:pPr>
              <w:jc w:val="center"/>
              <w:rPr>
                <w:rFonts w:eastAsia="Times New Roman"/>
                <w:noProof/>
                <w:sz w:val="18"/>
              </w:rPr>
            </w:pPr>
            <w:r>
              <w:rPr>
                <w:noProof/>
                <w:sz w:val="18"/>
              </w:rPr>
              <w:t>от държави кандидатки</w:t>
            </w:r>
            <w:r>
              <w:rPr>
                <w:rStyle w:val="FootnoteReference"/>
                <w:noProof/>
              </w:rPr>
              <w:footnoteReference w:id="6"/>
            </w:r>
          </w:p>
        </w:tc>
        <w:tc>
          <w:tcPr>
            <w:tcW w:w="956" w:type="dxa"/>
            <w:vAlign w:val="center"/>
          </w:tcPr>
          <w:p>
            <w:pPr>
              <w:jc w:val="center"/>
              <w:rPr>
                <w:rFonts w:eastAsia="Times New Roman"/>
                <w:noProof/>
                <w:sz w:val="18"/>
              </w:rPr>
            </w:pPr>
            <w:r>
              <w:rPr>
                <w:noProof/>
                <w:sz w:val="18"/>
              </w:rPr>
              <w:t>от трети държави</w:t>
            </w:r>
          </w:p>
        </w:tc>
        <w:tc>
          <w:tcPr>
            <w:tcW w:w="1564" w:type="dxa"/>
            <w:vAlign w:val="center"/>
          </w:tcPr>
          <w:p>
            <w:pPr>
              <w:jc w:val="center"/>
              <w:rPr>
                <w:rFonts w:eastAsia="Times New Roman"/>
                <w:noProof/>
                <w:sz w:val="16"/>
                <w:szCs w:val="16"/>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rFonts w:eastAsia="Times New Roman"/>
                <w:noProof/>
              </w:rPr>
            </w:pPr>
            <w:r>
              <w:rPr>
                <w:noProof/>
                <w:sz w:val="20"/>
              </w:rPr>
              <w:t>3</w:t>
            </w:r>
          </w:p>
        </w:tc>
        <w:tc>
          <w:tcPr>
            <w:tcW w:w="3960" w:type="dxa"/>
            <w:vAlign w:val="center"/>
          </w:tcPr>
          <w:p>
            <w:pPr>
              <w:spacing w:before="60"/>
              <w:rPr>
                <w:rFonts w:eastAsia="Times New Roman"/>
                <w:noProof/>
              </w:rPr>
            </w:pPr>
            <w:r>
              <w:rPr>
                <w:noProof/>
                <w:sz w:val="20"/>
              </w:rPr>
              <w:t>33.0206</w:t>
            </w:r>
          </w:p>
          <w:p>
            <w:pPr>
              <w:spacing w:after="60"/>
              <w:rPr>
                <w:rFonts w:eastAsia="Times New Roman"/>
                <w:noProof/>
              </w:rPr>
            </w:pPr>
            <w:r>
              <w:rPr>
                <w:noProof/>
                <w:sz w:val="20"/>
              </w:rPr>
              <w:t>Агенция на Европейския съюз за основните права</w:t>
            </w:r>
          </w:p>
        </w:tc>
        <w:tc>
          <w:tcPr>
            <w:tcW w:w="1080" w:type="dxa"/>
            <w:vAlign w:val="center"/>
          </w:tcPr>
          <w:p>
            <w:pPr>
              <w:jc w:val="center"/>
              <w:rPr>
                <w:rFonts w:eastAsia="Times New Roman"/>
                <w:noProof/>
              </w:rPr>
            </w:pPr>
            <w:r>
              <w:rPr>
                <w:noProof/>
                <w:sz w:val="18"/>
              </w:rPr>
              <w:t>Едногод.</w:t>
            </w:r>
          </w:p>
        </w:tc>
        <w:tc>
          <w:tcPr>
            <w:tcW w:w="956" w:type="dxa"/>
            <w:vAlign w:val="center"/>
          </w:tcPr>
          <w:p>
            <w:pPr>
              <w:jc w:val="center"/>
              <w:rPr>
                <w:rFonts w:eastAsia="Times New Roman"/>
                <w:noProof/>
                <w:sz w:val="18"/>
              </w:rPr>
            </w:pPr>
            <w:r>
              <w:rPr>
                <w:noProof/>
                <w:sz w:val="18"/>
              </w:rPr>
              <w:t>НЕ</w:t>
            </w:r>
          </w:p>
        </w:tc>
        <w:tc>
          <w:tcPr>
            <w:tcW w:w="1080" w:type="dxa"/>
            <w:vAlign w:val="center"/>
          </w:tcPr>
          <w:p>
            <w:pPr>
              <w:jc w:val="center"/>
              <w:rPr>
                <w:rFonts w:eastAsia="Times New Roman"/>
                <w:noProof/>
                <w:sz w:val="18"/>
              </w:rPr>
            </w:pPr>
            <w:r>
              <w:rPr>
                <w:noProof/>
                <w:sz w:val="18"/>
              </w:rPr>
              <w:t>ДА</w:t>
            </w:r>
          </w:p>
        </w:tc>
        <w:tc>
          <w:tcPr>
            <w:tcW w:w="956" w:type="dxa"/>
            <w:vAlign w:val="center"/>
          </w:tcPr>
          <w:p>
            <w:pPr>
              <w:jc w:val="center"/>
              <w:rPr>
                <w:rFonts w:eastAsia="Times New Roman"/>
                <w:noProof/>
                <w:sz w:val="18"/>
              </w:rPr>
            </w:pPr>
            <w:r>
              <w:rPr>
                <w:noProof/>
                <w:sz w:val="18"/>
              </w:rPr>
              <w:t>НЕ</w:t>
            </w:r>
          </w:p>
        </w:tc>
        <w:tc>
          <w:tcPr>
            <w:tcW w:w="1564" w:type="dxa"/>
            <w:vAlign w:val="center"/>
          </w:tcPr>
          <w:p>
            <w:pPr>
              <w:jc w:val="center"/>
              <w:rPr>
                <w:rFonts w:eastAsia="Times New Roman"/>
                <w:noProof/>
                <w:sz w:val="18"/>
              </w:rPr>
            </w:pPr>
            <w:r>
              <w:rPr>
                <w:noProof/>
                <w:sz w:val="18"/>
              </w:rPr>
              <w:t>ДА</w:t>
            </w:r>
          </w:p>
        </w:tc>
      </w:tr>
    </w:tbl>
    <w:p>
      <w:pPr>
        <w:pStyle w:val="Heading2"/>
        <w:rPr>
          <w:noProof/>
        </w:rPr>
      </w:pPr>
      <w:r>
        <w:rPr>
          <w:noProof/>
        </w:rPr>
        <w:t xml:space="preserve">Очаквано отражение върху разходите </w:t>
      </w:r>
    </w:p>
    <w:p>
      <w:pPr>
        <w:pStyle w:val="Heading3"/>
        <w:rPr>
          <w:noProof/>
        </w:rPr>
      </w:pPr>
      <w:r>
        <w:rPr>
          <w:noProof/>
        </w:rPr>
        <w:t xml:space="preserve">Обобщение на очакваното отражение върху разходите </w:t>
      </w:r>
    </w:p>
    <w:p>
      <w:pPr>
        <w:jc w:val="right"/>
        <w:rPr>
          <w:rFonts w:eastAsia="Times New Roman"/>
          <w:noProof/>
          <w:sz w:val="20"/>
        </w:rPr>
      </w:pPr>
      <w:r>
        <w:rPr>
          <w:noProof/>
          <w:sz w:val="20"/>
        </w:rPr>
        <w:t>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rPr>
            </w:pPr>
            <w:r>
              <w:rPr>
                <w:b/>
                <w:noProof/>
              </w:rPr>
              <w:t>Функция от многогодишната финансова</w:t>
            </w:r>
            <w:r>
              <w:rPr>
                <w:rFonts w:eastAsia="Times New Roman"/>
                <w:noProof/>
                <w:sz w:val="22"/>
              </w:rPr>
              <w:br/>
            </w:r>
            <w:r>
              <w:rPr>
                <w:b/>
                <w:noProof/>
                <w:sz w:val="22"/>
              </w:rPr>
              <w:t xml:space="preserve">рамка </w:t>
            </w:r>
          </w:p>
        </w:tc>
        <w:tc>
          <w:tcPr>
            <w:tcW w:w="1080" w:type="dxa"/>
            <w:vAlign w:val="center"/>
          </w:tcPr>
          <w:p>
            <w:pPr>
              <w:spacing w:before="60" w:after="60"/>
              <w:jc w:val="center"/>
              <w:rPr>
                <w:rFonts w:eastAsia="Times New Roman"/>
                <w:noProof/>
              </w:rPr>
            </w:pPr>
            <w:r>
              <w:rPr>
                <w:noProof/>
                <w:sz w:val="22"/>
              </w:rPr>
              <w:t>Номер</w:t>
            </w:r>
          </w:p>
        </w:tc>
        <w:tc>
          <w:tcPr>
            <w:tcW w:w="7817" w:type="dxa"/>
            <w:vAlign w:val="center"/>
          </w:tcPr>
          <w:p>
            <w:pPr>
              <w:spacing w:before="60" w:after="60"/>
              <w:rPr>
                <w:rFonts w:eastAsia="Times New Roman"/>
                <w:noProof/>
              </w:rPr>
            </w:pPr>
            <w:r>
              <w:rPr>
                <w:noProof/>
                <w:sz w:val="22"/>
              </w:rPr>
              <w:t>3 ..……………………………………………………………….</w:t>
            </w:r>
          </w:p>
        </w:tc>
      </w:tr>
    </w:tbl>
    <w:p>
      <w:pPr>
        <w:rPr>
          <w:rFonts w:eastAsia="Times New Roman"/>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03"/>
        <w:gridCol w:w="591"/>
        <w:gridCol w:w="868"/>
        <w:gridCol w:w="868"/>
        <w:gridCol w:w="868"/>
        <w:gridCol w:w="1777"/>
      </w:tblGrid>
      <w:tr>
        <w:tc>
          <w:tcPr>
            <w:tcW w:w="3960" w:type="dxa"/>
            <w:vAlign w:val="center"/>
          </w:tcPr>
          <w:p>
            <w:pPr>
              <w:rPr>
                <w:rFonts w:eastAsia="Times New Roman"/>
                <w:noProof/>
              </w:rPr>
            </w:pPr>
            <w:r>
              <w:rPr>
                <w:noProof/>
                <w:sz w:val="22"/>
              </w:rPr>
              <w:t>Агенция на Европейския съюз за основните права</w:t>
            </w:r>
          </w:p>
        </w:tc>
        <w:tc>
          <w:tcPr>
            <w:tcW w:w="1503" w:type="dxa"/>
          </w:tcPr>
          <w:p>
            <w:pPr>
              <w:rPr>
                <w:rFonts w:eastAsia="Times New Roman"/>
                <w:noProof/>
                <w:sz w:val="20"/>
              </w:rPr>
            </w:pPr>
          </w:p>
        </w:tc>
        <w:tc>
          <w:tcPr>
            <w:tcW w:w="591" w:type="dxa"/>
          </w:tcPr>
          <w:p>
            <w:pPr>
              <w:jc w:val="center"/>
              <w:rPr>
                <w:rFonts w:eastAsia="Times New Roman"/>
                <w:noProof/>
                <w:sz w:val="20"/>
              </w:rPr>
            </w:pPr>
          </w:p>
        </w:tc>
        <w:tc>
          <w:tcPr>
            <w:tcW w:w="868" w:type="dxa"/>
            <w:vAlign w:val="center"/>
          </w:tcPr>
          <w:p>
            <w:pPr>
              <w:jc w:val="center"/>
              <w:rPr>
                <w:noProof/>
                <w:sz w:val="18"/>
                <w:szCs w:val="18"/>
              </w:rPr>
            </w:pPr>
            <w:r>
              <w:rPr>
                <w:noProof/>
                <w:sz w:val="18"/>
                <w:szCs w:val="18"/>
              </w:rPr>
              <w:t>Година</w:t>
            </w:r>
            <w:r>
              <w:rPr>
                <w:noProof/>
                <w:sz w:val="18"/>
                <w:szCs w:val="18"/>
              </w:rPr>
              <w:br/>
            </w:r>
            <w:r>
              <w:rPr>
                <w:b/>
                <w:noProof/>
                <w:sz w:val="18"/>
                <w:szCs w:val="18"/>
              </w:rPr>
              <w:t>1</w:t>
            </w:r>
          </w:p>
        </w:tc>
        <w:tc>
          <w:tcPr>
            <w:tcW w:w="868" w:type="dxa"/>
            <w:vAlign w:val="center"/>
          </w:tcPr>
          <w:p>
            <w:pPr>
              <w:jc w:val="center"/>
              <w:rPr>
                <w:noProof/>
                <w:sz w:val="18"/>
                <w:szCs w:val="18"/>
              </w:rPr>
            </w:pPr>
            <w:r>
              <w:rPr>
                <w:noProof/>
                <w:sz w:val="18"/>
                <w:szCs w:val="18"/>
              </w:rPr>
              <w:t>Година</w:t>
            </w:r>
            <w:r>
              <w:rPr>
                <w:noProof/>
                <w:sz w:val="18"/>
                <w:szCs w:val="18"/>
              </w:rPr>
              <w:br/>
            </w:r>
            <w:r>
              <w:rPr>
                <w:b/>
                <w:noProof/>
                <w:sz w:val="18"/>
                <w:szCs w:val="18"/>
              </w:rPr>
              <w:t>2</w:t>
            </w:r>
          </w:p>
        </w:tc>
        <w:tc>
          <w:tcPr>
            <w:tcW w:w="868" w:type="dxa"/>
            <w:vAlign w:val="center"/>
          </w:tcPr>
          <w:p>
            <w:pPr>
              <w:jc w:val="center"/>
              <w:rPr>
                <w:noProof/>
                <w:sz w:val="18"/>
                <w:szCs w:val="18"/>
              </w:rPr>
            </w:pPr>
            <w:r>
              <w:rPr>
                <w:noProof/>
                <w:sz w:val="18"/>
                <w:szCs w:val="18"/>
              </w:rPr>
              <w:t>Година</w:t>
            </w:r>
            <w:r>
              <w:rPr>
                <w:noProof/>
                <w:sz w:val="18"/>
                <w:szCs w:val="18"/>
              </w:rPr>
              <w:br/>
            </w:r>
            <w:r>
              <w:rPr>
                <w:b/>
                <w:noProof/>
                <w:sz w:val="18"/>
                <w:szCs w:val="18"/>
              </w:rPr>
              <w:t>3</w:t>
            </w:r>
          </w:p>
        </w:tc>
        <w:tc>
          <w:tcPr>
            <w:tcW w:w="1777" w:type="dxa"/>
            <w:vAlign w:val="center"/>
          </w:tcPr>
          <w:p>
            <w:pPr>
              <w:jc w:val="center"/>
              <w:rPr>
                <w:rFonts w:eastAsia="Times New Roman"/>
                <w:b/>
                <w:noProof/>
                <w:sz w:val="20"/>
              </w:rPr>
            </w:pPr>
            <w:r>
              <w:rPr>
                <w:b/>
                <w:noProof/>
                <w:sz w:val="20"/>
              </w:rPr>
              <w:t>ОБЩО</w:t>
            </w:r>
          </w:p>
        </w:tc>
      </w:tr>
      <w:tr>
        <w:trPr>
          <w:trHeight w:val="277"/>
        </w:trPr>
        <w:tc>
          <w:tcPr>
            <w:tcW w:w="3960" w:type="dxa"/>
            <w:vMerge w:val="restart"/>
            <w:vAlign w:val="center"/>
          </w:tcPr>
          <w:p>
            <w:pPr>
              <w:rPr>
                <w:rFonts w:eastAsia="Times New Roman"/>
                <w:noProof/>
              </w:rPr>
            </w:pPr>
            <w:r>
              <w:rPr>
                <w:noProof/>
                <w:sz w:val="20"/>
              </w:rPr>
              <w:t>Дял 1 — Разходи за персонал:</w:t>
            </w:r>
          </w:p>
        </w:tc>
        <w:tc>
          <w:tcPr>
            <w:tcW w:w="1503" w:type="dxa"/>
            <w:vAlign w:val="center"/>
          </w:tcPr>
          <w:p>
            <w:pPr>
              <w:spacing w:before="20" w:after="20"/>
              <w:rPr>
                <w:rFonts w:eastAsia="Times New Roman"/>
                <w:noProof/>
              </w:rPr>
            </w:pPr>
            <w:r>
              <w:rPr>
                <w:noProof/>
                <w:sz w:val="18"/>
              </w:rPr>
              <w:t>Поети задължения</w:t>
            </w:r>
          </w:p>
        </w:tc>
        <w:tc>
          <w:tcPr>
            <w:tcW w:w="591" w:type="dxa"/>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20"/>
              </w:rPr>
            </w:pPr>
            <w:r>
              <w:rPr>
                <w:noProof/>
                <w:sz w:val="20"/>
              </w:rPr>
              <w:t>0,074</w:t>
            </w:r>
          </w:p>
        </w:tc>
        <w:tc>
          <w:tcPr>
            <w:tcW w:w="868" w:type="dxa"/>
            <w:vAlign w:val="center"/>
          </w:tcPr>
          <w:p>
            <w:pPr>
              <w:spacing w:before="20" w:after="20"/>
              <w:jc w:val="right"/>
              <w:rPr>
                <w:rFonts w:eastAsia="Times New Roman"/>
                <w:noProof/>
                <w:sz w:val="20"/>
              </w:rPr>
            </w:pPr>
            <w:r>
              <w:rPr>
                <w:noProof/>
                <w:sz w:val="20"/>
              </w:rPr>
              <w:t>0,075</w:t>
            </w:r>
          </w:p>
        </w:tc>
        <w:tc>
          <w:tcPr>
            <w:tcW w:w="868" w:type="dxa"/>
            <w:vAlign w:val="center"/>
          </w:tcPr>
          <w:p>
            <w:pPr>
              <w:spacing w:before="20" w:after="20"/>
              <w:jc w:val="right"/>
              <w:rPr>
                <w:rFonts w:eastAsia="Times New Roman"/>
                <w:noProof/>
                <w:sz w:val="20"/>
              </w:rPr>
            </w:pPr>
            <w:r>
              <w:rPr>
                <w:noProof/>
                <w:sz w:val="20"/>
              </w:rPr>
              <w:t>0,076</w:t>
            </w:r>
          </w:p>
        </w:tc>
        <w:tc>
          <w:tcPr>
            <w:tcW w:w="1777" w:type="dxa"/>
            <w:vAlign w:val="center"/>
          </w:tcPr>
          <w:p>
            <w:pPr>
              <w:spacing w:before="20" w:after="20"/>
              <w:jc w:val="right"/>
              <w:rPr>
                <w:rFonts w:eastAsia="Times New Roman"/>
                <w:b/>
                <w:noProof/>
                <w:sz w:val="20"/>
              </w:rPr>
            </w:pPr>
            <w:r>
              <w:rPr>
                <w:b/>
                <w:noProof/>
                <w:sz w:val="20"/>
              </w:rPr>
              <w:t>0,225</w:t>
            </w:r>
          </w:p>
        </w:tc>
      </w:tr>
      <w:tr>
        <w:tc>
          <w:tcPr>
            <w:tcW w:w="3960" w:type="dxa"/>
            <w:vMerge/>
            <w:vAlign w:val="center"/>
          </w:tcPr>
          <w:p>
            <w:pPr>
              <w:rPr>
                <w:rFonts w:eastAsia="Times New Roman"/>
                <w:noProof/>
              </w:rPr>
            </w:pPr>
          </w:p>
        </w:tc>
        <w:tc>
          <w:tcPr>
            <w:tcW w:w="1503" w:type="dxa"/>
            <w:vAlign w:val="center"/>
          </w:tcPr>
          <w:p>
            <w:pPr>
              <w:spacing w:before="20" w:after="20"/>
              <w:rPr>
                <w:rFonts w:eastAsia="Times New Roman"/>
                <w:noProof/>
                <w:sz w:val="18"/>
              </w:rPr>
            </w:pPr>
            <w:r>
              <w:rPr>
                <w:noProof/>
                <w:sz w:val="18"/>
              </w:rPr>
              <w:t>Плащания</w:t>
            </w:r>
          </w:p>
        </w:tc>
        <w:tc>
          <w:tcPr>
            <w:tcW w:w="591" w:type="dxa"/>
            <w:vAlign w:val="center"/>
          </w:tcPr>
          <w:p>
            <w:pPr>
              <w:spacing w:before="20" w:after="20"/>
              <w:jc w:val="center"/>
              <w:rPr>
                <w:rFonts w:eastAsia="Times New Roman"/>
                <w:noProof/>
                <w:sz w:val="14"/>
              </w:rPr>
            </w:pPr>
            <w:r>
              <w:rPr>
                <w:noProof/>
                <w:sz w:val="14"/>
              </w:rPr>
              <w:t>(2)</w:t>
            </w:r>
          </w:p>
        </w:tc>
        <w:tc>
          <w:tcPr>
            <w:tcW w:w="868" w:type="dxa"/>
            <w:vAlign w:val="center"/>
          </w:tcPr>
          <w:p>
            <w:pPr>
              <w:spacing w:before="20" w:after="20"/>
              <w:rPr>
                <w:rFonts w:eastAsia="Times New Roman"/>
                <w:noProof/>
                <w:sz w:val="20"/>
              </w:rPr>
            </w:pPr>
            <w:r>
              <w:rPr>
                <w:noProof/>
                <w:sz w:val="20"/>
              </w:rPr>
              <w:t xml:space="preserve">    0,074</w:t>
            </w:r>
          </w:p>
        </w:tc>
        <w:tc>
          <w:tcPr>
            <w:tcW w:w="868" w:type="dxa"/>
            <w:vAlign w:val="center"/>
          </w:tcPr>
          <w:p>
            <w:pPr>
              <w:spacing w:before="20" w:after="20"/>
              <w:jc w:val="right"/>
              <w:rPr>
                <w:rFonts w:eastAsia="Times New Roman"/>
                <w:noProof/>
                <w:sz w:val="20"/>
              </w:rPr>
            </w:pPr>
            <w:r>
              <w:rPr>
                <w:noProof/>
                <w:sz w:val="20"/>
              </w:rPr>
              <w:t>0,075</w:t>
            </w:r>
          </w:p>
        </w:tc>
        <w:tc>
          <w:tcPr>
            <w:tcW w:w="868" w:type="dxa"/>
            <w:vAlign w:val="center"/>
          </w:tcPr>
          <w:p>
            <w:pPr>
              <w:spacing w:before="20" w:after="20"/>
              <w:jc w:val="right"/>
              <w:rPr>
                <w:rFonts w:eastAsia="Times New Roman"/>
                <w:noProof/>
                <w:sz w:val="20"/>
              </w:rPr>
            </w:pPr>
            <w:r>
              <w:rPr>
                <w:noProof/>
                <w:sz w:val="20"/>
              </w:rPr>
              <w:t>0,076</w:t>
            </w:r>
          </w:p>
        </w:tc>
        <w:tc>
          <w:tcPr>
            <w:tcW w:w="1777" w:type="dxa"/>
            <w:vAlign w:val="center"/>
          </w:tcPr>
          <w:p>
            <w:pPr>
              <w:spacing w:before="20" w:after="20"/>
              <w:jc w:val="right"/>
              <w:rPr>
                <w:rFonts w:eastAsia="Times New Roman"/>
                <w:b/>
                <w:noProof/>
                <w:sz w:val="20"/>
              </w:rPr>
            </w:pPr>
            <w:r>
              <w:rPr>
                <w:b/>
                <w:noProof/>
                <w:sz w:val="20"/>
              </w:rPr>
              <w:t>0,225</w:t>
            </w:r>
          </w:p>
        </w:tc>
      </w:tr>
      <w:tr>
        <w:tc>
          <w:tcPr>
            <w:tcW w:w="3960" w:type="dxa"/>
            <w:vMerge w:val="restart"/>
            <w:vAlign w:val="center"/>
          </w:tcPr>
          <w:p>
            <w:pPr>
              <w:jc w:val="left"/>
              <w:rPr>
                <w:rFonts w:eastAsia="Times New Roman"/>
                <w:noProof/>
              </w:rPr>
            </w:pPr>
            <w:r>
              <w:rPr>
                <w:noProof/>
                <w:sz w:val="20"/>
              </w:rPr>
              <w:t>Дял 2 — Сгради, оборудване и различни оперативни разходи:</w:t>
            </w:r>
          </w:p>
        </w:tc>
        <w:tc>
          <w:tcPr>
            <w:tcW w:w="1503" w:type="dxa"/>
            <w:vAlign w:val="center"/>
          </w:tcPr>
          <w:p>
            <w:pPr>
              <w:spacing w:before="20" w:after="20"/>
              <w:rPr>
                <w:rFonts w:eastAsia="Times New Roman"/>
                <w:noProof/>
                <w:sz w:val="18"/>
              </w:rPr>
            </w:pPr>
            <w:r>
              <w:rPr>
                <w:noProof/>
                <w:sz w:val="18"/>
              </w:rPr>
              <w:t>Поети задължения</w:t>
            </w:r>
          </w:p>
        </w:tc>
        <w:tc>
          <w:tcPr>
            <w:tcW w:w="591" w:type="dxa"/>
            <w:vAlign w:val="center"/>
          </w:tcPr>
          <w:p>
            <w:pPr>
              <w:spacing w:before="20" w:after="20"/>
              <w:jc w:val="center"/>
              <w:rPr>
                <w:rFonts w:eastAsia="Times New Roman"/>
                <w:noProof/>
                <w:sz w:val="14"/>
              </w:rPr>
            </w:pPr>
            <w:r>
              <w:rPr>
                <w:noProof/>
                <w:sz w:val="14"/>
              </w:rPr>
              <w:t>(1a)</w:t>
            </w:r>
          </w:p>
        </w:tc>
        <w:tc>
          <w:tcPr>
            <w:tcW w:w="868" w:type="dxa"/>
            <w:vAlign w:val="center"/>
          </w:tcPr>
          <w:p>
            <w:pPr>
              <w:spacing w:before="20" w:after="20"/>
              <w:jc w:val="right"/>
              <w:rPr>
                <w:rFonts w:eastAsia="Times New Roman"/>
                <w:noProof/>
                <w:sz w:val="20"/>
              </w:rPr>
            </w:pPr>
            <w:r>
              <w:rPr>
                <w:noProof/>
                <w:sz w:val="20"/>
              </w:rPr>
              <w:t>0,020</w:t>
            </w:r>
          </w:p>
        </w:tc>
        <w:tc>
          <w:tcPr>
            <w:tcW w:w="868" w:type="dxa"/>
            <w:vAlign w:val="center"/>
          </w:tcPr>
          <w:p>
            <w:pPr>
              <w:spacing w:before="20" w:after="20"/>
              <w:jc w:val="right"/>
              <w:rPr>
                <w:rFonts w:eastAsia="Times New Roman"/>
                <w:noProof/>
                <w:sz w:val="20"/>
              </w:rPr>
            </w:pPr>
            <w:r>
              <w:rPr>
                <w:noProof/>
                <w:sz w:val="20"/>
              </w:rPr>
              <w:t>0,021</w:t>
            </w:r>
          </w:p>
        </w:tc>
        <w:tc>
          <w:tcPr>
            <w:tcW w:w="868" w:type="dxa"/>
            <w:vAlign w:val="center"/>
          </w:tcPr>
          <w:p>
            <w:pPr>
              <w:spacing w:before="20" w:after="20"/>
              <w:jc w:val="right"/>
              <w:rPr>
                <w:rFonts w:eastAsia="Times New Roman"/>
                <w:noProof/>
                <w:sz w:val="20"/>
              </w:rPr>
            </w:pPr>
            <w:r>
              <w:rPr>
                <w:noProof/>
                <w:sz w:val="20"/>
              </w:rPr>
              <w:t>0,021</w:t>
            </w:r>
          </w:p>
        </w:tc>
        <w:tc>
          <w:tcPr>
            <w:tcW w:w="1777" w:type="dxa"/>
            <w:vAlign w:val="center"/>
          </w:tcPr>
          <w:p>
            <w:pPr>
              <w:spacing w:before="20" w:after="20"/>
              <w:jc w:val="right"/>
              <w:rPr>
                <w:rFonts w:eastAsia="Times New Roman"/>
                <w:b/>
                <w:noProof/>
                <w:sz w:val="20"/>
              </w:rPr>
            </w:pPr>
            <w:r>
              <w:rPr>
                <w:b/>
                <w:noProof/>
                <w:sz w:val="20"/>
              </w:rPr>
              <w:t>0,062</w:t>
            </w:r>
          </w:p>
        </w:tc>
      </w:tr>
      <w:tr>
        <w:tc>
          <w:tcPr>
            <w:tcW w:w="3960" w:type="dxa"/>
            <w:vMerge/>
            <w:vAlign w:val="center"/>
          </w:tcPr>
          <w:p>
            <w:pPr>
              <w:rPr>
                <w:rFonts w:eastAsia="Times New Roman"/>
                <w:noProof/>
              </w:rPr>
            </w:pPr>
          </w:p>
        </w:tc>
        <w:tc>
          <w:tcPr>
            <w:tcW w:w="1503" w:type="dxa"/>
            <w:vAlign w:val="center"/>
          </w:tcPr>
          <w:p>
            <w:pPr>
              <w:spacing w:before="20" w:after="20"/>
              <w:rPr>
                <w:rFonts w:eastAsia="Times New Roman"/>
                <w:noProof/>
                <w:sz w:val="18"/>
              </w:rPr>
            </w:pPr>
            <w:r>
              <w:rPr>
                <w:noProof/>
                <w:sz w:val="18"/>
              </w:rPr>
              <w:t>Плащания</w:t>
            </w:r>
          </w:p>
        </w:tc>
        <w:tc>
          <w:tcPr>
            <w:tcW w:w="591" w:type="dxa"/>
            <w:vAlign w:val="center"/>
          </w:tcPr>
          <w:p>
            <w:pPr>
              <w:spacing w:before="20" w:after="20"/>
              <w:jc w:val="center"/>
              <w:rPr>
                <w:rFonts w:eastAsia="Times New Roman"/>
                <w:noProof/>
                <w:sz w:val="14"/>
              </w:rPr>
            </w:pPr>
            <w:r>
              <w:rPr>
                <w:noProof/>
                <w:sz w:val="14"/>
              </w:rPr>
              <w:t>(2a)</w:t>
            </w:r>
          </w:p>
        </w:tc>
        <w:tc>
          <w:tcPr>
            <w:tcW w:w="868" w:type="dxa"/>
            <w:vAlign w:val="center"/>
          </w:tcPr>
          <w:p>
            <w:pPr>
              <w:spacing w:before="20" w:after="20"/>
              <w:jc w:val="right"/>
              <w:rPr>
                <w:rFonts w:eastAsia="Times New Roman"/>
                <w:noProof/>
                <w:sz w:val="20"/>
              </w:rPr>
            </w:pPr>
            <w:r>
              <w:rPr>
                <w:noProof/>
                <w:sz w:val="20"/>
              </w:rPr>
              <w:t>0,020</w:t>
            </w:r>
          </w:p>
        </w:tc>
        <w:tc>
          <w:tcPr>
            <w:tcW w:w="868" w:type="dxa"/>
            <w:vAlign w:val="center"/>
          </w:tcPr>
          <w:p>
            <w:pPr>
              <w:spacing w:before="20" w:after="20"/>
              <w:jc w:val="right"/>
              <w:rPr>
                <w:rFonts w:eastAsia="Times New Roman"/>
                <w:noProof/>
                <w:sz w:val="20"/>
              </w:rPr>
            </w:pPr>
            <w:r>
              <w:rPr>
                <w:noProof/>
                <w:sz w:val="20"/>
              </w:rPr>
              <w:t>0,021</w:t>
            </w:r>
          </w:p>
        </w:tc>
        <w:tc>
          <w:tcPr>
            <w:tcW w:w="868" w:type="dxa"/>
            <w:vAlign w:val="center"/>
          </w:tcPr>
          <w:p>
            <w:pPr>
              <w:spacing w:before="20" w:after="20"/>
              <w:jc w:val="right"/>
              <w:rPr>
                <w:rFonts w:eastAsia="Times New Roman"/>
                <w:noProof/>
                <w:sz w:val="20"/>
              </w:rPr>
            </w:pPr>
            <w:r>
              <w:rPr>
                <w:noProof/>
                <w:sz w:val="20"/>
              </w:rPr>
              <w:t>0,021</w:t>
            </w:r>
          </w:p>
        </w:tc>
        <w:tc>
          <w:tcPr>
            <w:tcW w:w="1777" w:type="dxa"/>
            <w:vAlign w:val="center"/>
          </w:tcPr>
          <w:p>
            <w:pPr>
              <w:spacing w:before="20" w:after="20"/>
              <w:jc w:val="right"/>
              <w:rPr>
                <w:rFonts w:eastAsia="Times New Roman"/>
                <w:b/>
                <w:noProof/>
                <w:sz w:val="20"/>
              </w:rPr>
            </w:pPr>
            <w:r>
              <w:rPr>
                <w:b/>
                <w:noProof/>
                <w:sz w:val="20"/>
              </w:rPr>
              <w:t>0,062</w:t>
            </w:r>
          </w:p>
        </w:tc>
      </w:tr>
      <w:tr>
        <w:trPr>
          <w:trHeight w:val="319"/>
        </w:trPr>
        <w:tc>
          <w:tcPr>
            <w:tcW w:w="3960" w:type="dxa"/>
            <w:vAlign w:val="center"/>
          </w:tcPr>
          <w:p>
            <w:pPr>
              <w:spacing w:before="60" w:after="60"/>
              <w:rPr>
                <w:rFonts w:eastAsia="Times New Roman"/>
                <w:noProof/>
              </w:rPr>
            </w:pPr>
            <w:r>
              <w:rPr>
                <w:noProof/>
                <w:sz w:val="20"/>
              </w:rPr>
              <w:t>Дял 3 — Оперативни разходи:</w:t>
            </w:r>
          </w:p>
        </w:tc>
        <w:tc>
          <w:tcPr>
            <w:tcW w:w="1503" w:type="dxa"/>
            <w:vAlign w:val="center"/>
          </w:tcPr>
          <w:p>
            <w:pPr>
              <w:spacing w:before="40" w:after="40"/>
              <w:rPr>
                <w:rFonts w:eastAsia="Times New Roman"/>
                <w:noProof/>
                <w:sz w:val="18"/>
              </w:rPr>
            </w:pPr>
            <w:r>
              <w:rPr>
                <w:noProof/>
                <w:sz w:val="18"/>
              </w:rPr>
              <w:t>Поети задължения</w:t>
            </w:r>
          </w:p>
        </w:tc>
        <w:tc>
          <w:tcPr>
            <w:tcW w:w="591" w:type="dxa"/>
            <w:vAlign w:val="center"/>
          </w:tcPr>
          <w:p>
            <w:pPr>
              <w:spacing w:before="40" w:after="40"/>
              <w:jc w:val="center"/>
              <w:rPr>
                <w:rFonts w:eastAsia="Times New Roman"/>
                <w:noProof/>
                <w:sz w:val="14"/>
              </w:rPr>
            </w:pPr>
            <w:r>
              <w:rPr>
                <w:noProof/>
                <w:sz w:val="14"/>
              </w:rPr>
              <w:t>(3a)</w:t>
            </w:r>
          </w:p>
        </w:tc>
        <w:tc>
          <w:tcPr>
            <w:tcW w:w="868" w:type="dxa"/>
            <w:vAlign w:val="center"/>
          </w:tcPr>
          <w:p>
            <w:pPr>
              <w:spacing w:before="40" w:after="40"/>
              <w:jc w:val="right"/>
              <w:rPr>
                <w:rFonts w:eastAsia="Times New Roman"/>
                <w:b/>
                <w:noProof/>
                <w:sz w:val="20"/>
              </w:rPr>
            </w:pPr>
            <w:r>
              <w:rPr>
                <w:b/>
                <w:noProof/>
                <w:sz w:val="20"/>
              </w:rPr>
              <w:t>0,066</w:t>
            </w:r>
          </w:p>
        </w:tc>
        <w:tc>
          <w:tcPr>
            <w:tcW w:w="868" w:type="dxa"/>
            <w:vAlign w:val="center"/>
          </w:tcPr>
          <w:p>
            <w:pPr>
              <w:spacing w:before="40" w:after="40"/>
              <w:jc w:val="right"/>
              <w:rPr>
                <w:rFonts w:eastAsia="Times New Roman"/>
                <w:b/>
                <w:noProof/>
                <w:sz w:val="20"/>
              </w:rPr>
            </w:pPr>
            <w:r>
              <w:rPr>
                <w:b/>
                <w:noProof/>
                <w:sz w:val="20"/>
              </w:rPr>
              <w:t>0,067</w:t>
            </w:r>
          </w:p>
        </w:tc>
        <w:tc>
          <w:tcPr>
            <w:tcW w:w="868" w:type="dxa"/>
            <w:vAlign w:val="center"/>
          </w:tcPr>
          <w:p>
            <w:pPr>
              <w:spacing w:before="40" w:after="40"/>
              <w:jc w:val="right"/>
              <w:rPr>
                <w:rFonts w:eastAsia="Times New Roman"/>
                <w:b/>
                <w:noProof/>
                <w:sz w:val="20"/>
              </w:rPr>
            </w:pPr>
            <w:r>
              <w:rPr>
                <w:b/>
                <w:noProof/>
                <w:sz w:val="20"/>
              </w:rPr>
              <w:t>0,069</w:t>
            </w:r>
          </w:p>
        </w:tc>
        <w:tc>
          <w:tcPr>
            <w:tcW w:w="1777" w:type="dxa"/>
            <w:vAlign w:val="center"/>
          </w:tcPr>
          <w:p>
            <w:pPr>
              <w:spacing w:before="40" w:after="40"/>
              <w:jc w:val="right"/>
              <w:rPr>
                <w:rFonts w:eastAsia="Times New Roman"/>
                <w:b/>
                <w:noProof/>
                <w:sz w:val="20"/>
              </w:rPr>
            </w:pPr>
            <w:r>
              <w:rPr>
                <w:b/>
                <w:noProof/>
                <w:sz w:val="20"/>
              </w:rPr>
              <w:t>0,202</w:t>
            </w:r>
          </w:p>
        </w:tc>
      </w:tr>
      <w:tr>
        <w:trPr>
          <w:trHeight w:val="319"/>
        </w:trPr>
        <w:tc>
          <w:tcPr>
            <w:tcW w:w="3960" w:type="dxa"/>
            <w:vAlign w:val="center"/>
          </w:tcPr>
          <w:p>
            <w:pPr>
              <w:spacing w:before="60" w:after="60"/>
              <w:rPr>
                <w:rFonts w:eastAsia="Times New Roman"/>
                <w:b/>
                <w:noProof/>
                <w:sz w:val="20"/>
              </w:rPr>
            </w:pPr>
          </w:p>
        </w:tc>
        <w:tc>
          <w:tcPr>
            <w:tcW w:w="1503" w:type="dxa"/>
            <w:vAlign w:val="center"/>
          </w:tcPr>
          <w:p>
            <w:pPr>
              <w:spacing w:before="40" w:after="40"/>
              <w:rPr>
                <w:rFonts w:eastAsia="Times New Roman"/>
                <w:noProof/>
                <w:sz w:val="18"/>
              </w:rPr>
            </w:pPr>
            <w:r>
              <w:rPr>
                <w:noProof/>
                <w:sz w:val="18"/>
              </w:rPr>
              <w:t>Плащания</w:t>
            </w:r>
          </w:p>
        </w:tc>
        <w:tc>
          <w:tcPr>
            <w:tcW w:w="591" w:type="dxa"/>
            <w:vAlign w:val="center"/>
          </w:tcPr>
          <w:p>
            <w:pPr>
              <w:spacing w:before="40" w:after="40"/>
              <w:jc w:val="center"/>
              <w:rPr>
                <w:rFonts w:eastAsia="Times New Roman"/>
                <w:noProof/>
                <w:sz w:val="14"/>
              </w:rPr>
            </w:pPr>
            <w:r>
              <w:rPr>
                <w:noProof/>
                <w:sz w:val="14"/>
              </w:rPr>
              <w:t>(3б)</w:t>
            </w:r>
          </w:p>
        </w:tc>
        <w:tc>
          <w:tcPr>
            <w:tcW w:w="868" w:type="dxa"/>
            <w:vAlign w:val="center"/>
          </w:tcPr>
          <w:p>
            <w:pPr>
              <w:spacing w:before="40" w:after="40"/>
              <w:jc w:val="right"/>
              <w:rPr>
                <w:rFonts w:eastAsia="Times New Roman"/>
                <w:b/>
                <w:noProof/>
                <w:sz w:val="20"/>
              </w:rPr>
            </w:pPr>
            <w:r>
              <w:rPr>
                <w:b/>
                <w:noProof/>
                <w:sz w:val="20"/>
              </w:rPr>
              <w:t>0,066</w:t>
            </w:r>
          </w:p>
        </w:tc>
        <w:tc>
          <w:tcPr>
            <w:tcW w:w="868" w:type="dxa"/>
            <w:vAlign w:val="center"/>
          </w:tcPr>
          <w:p>
            <w:pPr>
              <w:spacing w:before="40" w:after="40"/>
              <w:jc w:val="right"/>
              <w:rPr>
                <w:rFonts w:eastAsia="Times New Roman"/>
                <w:b/>
                <w:noProof/>
                <w:sz w:val="20"/>
              </w:rPr>
            </w:pPr>
            <w:r>
              <w:rPr>
                <w:b/>
                <w:noProof/>
                <w:sz w:val="20"/>
              </w:rPr>
              <w:t>0,067</w:t>
            </w:r>
          </w:p>
        </w:tc>
        <w:tc>
          <w:tcPr>
            <w:tcW w:w="868" w:type="dxa"/>
            <w:vAlign w:val="center"/>
          </w:tcPr>
          <w:p>
            <w:pPr>
              <w:spacing w:before="40" w:after="40"/>
              <w:jc w:val="right"/>
              <w:rPr>
                <w:rFonts w:eastAsia="Times New Roman"/>
                <w:b/>
                <w:noProof/>
                <w:sz w:val="20"/>
              </w:rPr>
            </w:pPr>
            <w:r>
              <w:rPr>
                <w:b/>
                <w:noProof/>
                <w:sz w:val="20"/>
              </w:rPr>
              <w:t>0,069</w:t>
            </w:r>
          </w:p>
        </w:tc>
        <w:tc>
          <w:tcPr>
            <w:tcW w:w="1777" w:type="dxa"/>
            <w:vAlign w:val="center"/>
          </w:tcPr>
          <w:p>
            <w:pPr>
              <w:spacing w:before="40" w:after="40"/>
              <w:jc w:val="right"/>
              <w:rPr>
                <w:rFonts w:eastAsia="Times New Roman"/>
                <w:b/>
                <w:noProof/>
                <w:sz w:val="20"/>
              </w:rPr>
            </w:pPr>
            <w:r>
              <w:rPr>
                <w:b/>
                <w:noProof/>
                <w:sz w:val="20"/>
              </w:rPr>
              <w:t>0,202-</w:t>
            </w:r>
          </w:p>
        </w:tc>
      </w:tr>
      <w:tr>
        <w:tc>
          <w:tcPr>
            <w:tcW w:w="3960" w:type="dxa"/>
            <w:vMerge w:val="restart"/>
            <w:vAlign w:val="center"/>
          </w:tcPr>
          <w:p>
            <w:pPr>
              <w:jc w:val="center"/>
              <w:rPr>
                <w:rFonts w:eastAsia="Times New Roman"/>
                <w:noProof/>
              </w:rPr>
            </w:pPr>
            <w:r>
              <w:rPr>
                <w:b/>
                <w:noProof/>
              </w:rPr>
              <w:t>ОБЩО бюджетни кредити</w:t>
            </w:r>
            <w:r>
              <w:rPr>
                <w:rFonts w:eastAsia="Times New Roman"/>
                <w:noProof/>
                <w:sz w:val="22"/>
              </w:rPr>
              <w:br/>
            </w:r>
            <w:r>
              <w:rPr>
                <w:b/>
                <w:noProof/>
                <w:sz w:val="22"/>
              </w:rPr>
              <w:t>за Агенцията на Европейския съюз за основните права</w:t>
            </w:r>
          </w:p>
        </w:tc>
        <w:tc>
          <w:tcPr>
            <w:tcW w:w="1503" w:type="dxa"/>
            <w:vAlign w:val="center"/>
          </w:tcPr>
          <w:p>
            <w:pPr>
              <w:rPr>
                <w:rFonts w:eastAsia="Times New Roman"/>
                <w:noProof/>
                <w:sz w:val="18"/>
              </w:rPr>
            </w:pPr>
            <w:r>
              <w:rPr>
                <w:noProof/>
                <w:sz w:val="18"/>
              </w:rPr>
              <w:t>Поети задължения</w:t>
            </w:r>
          </w:p>
        </w:tc>
        <w:tc>
          <w:tcPr>
            <w:tcW w:w="591" w:type="dxa"/>
            <w:vAlign w:val="center"/>
          </w:tcPr>
          <w:p>
            <w:pPr>
              <w:jc w:val="center"/>
              <w:rPr>
                <w:rFonts w:eastAsia="Times New Roman"/>
                <w:noProof/>
                <w:sz w:val="14"/>
              </w:rPr>
            </w:pPr>
            <w:r>
              <w:rPr>
                <w:noProof/>
                <w:sz w:val="14"/>
              </w:rPr>
              <w:t>=1+1a +3a</w:t>
            </w:r>
          </w:p>
        </w:tc>
        <w:tc>
          <w:tcPr>
            <w:tcW w:w="868" w:type="dxa"/>
            <w:vAlign w:val="center"/>
          </w:tcPr>
          <w:p>
            <w:pPr>
              <w:spacing w:before="20" w:after="20"/>
              <w:jc w:val="right"/>
              <w:rPr>
                <w:rFonts w:eastAsia="Times New Roman"/>
                <w:noProof/>
                <w:sz w:val="20"/>
              </w:rPr>
            </w:pPr>
            <w:r>
              <w:rPr>
                <w:noProof/>
                <w:sz w:val="20"/>
              </w:rPr>
              <w:t>0,160</w:t>
            </w:r>
          </w:p>
        </w:tc>
        <w:tc>
          <w:tcPr>
            <w:tcW w:w="868" w:type="dxa"/>
            <w:vAlign w:val="center"/>
          </w:tcPr>
          <w:p>
            <w:pPr>
              <w:spacing w:before="20" w:after="20"/>
              <w:jc w:val="right"/>
              <w:rPr>
                <w:rFonts w:eastAsia="Times New Roman"/>
                <w:noProof/>
                <w:sz w:val="20"/>
              </w:rPr>
            </w:pPr>
            <w:r>
              <w:rPr>
                <w:noProof/>
                <w:sz w:val="20"/>
              </w:rPr>
              <w:t>0,163</w:t>
            </w:r>
          </w:p>
        </w:tc>
        <w:tc>
          <w:tcPr>
            <w:tcW w:w="868" w:type="dxa"/>
            <w:vAlign w:val="center"/>
          </w:tcPr>
          <w:p>
            <w:pPr>
              <w:spacing w:before="20" w:after="20"/>
              <w:jc w:val="right"/>
              <w:rPr>
                <w:rFonts w:eastAsia="Times New Roman"/>
                <w:noProof/>
                <w:sz w:val="20"/>
              </w:rPr>
            </w:pPr>
            <w:r>
              <w:rPr>
                <w:noProof/>
                <w:sz w:val="20"/>
              </w:rPr>
              <w:t>0,166</w:t>
            </w:r>
          </w:p>
        </w:tc>
        <w:tc>
          <w:tcPr>
            <w:tcW w:w="1777" w:type="dxa"/>
            <w:vAlign w:val="center"/>
          </w:tcPr>
          <w:p>
            <w:pPr>
              <w:spacing w:before="20" w:after="20"/>
              <w:jc w:val="right"/>
              <w:rPr>
                <w:rFonts w:eastAsia="Times New Roman"/>
                <w:b/>
                <w:noProof/>
                <w:sz w:val="20"/>
              </w:rPr>
            </w:pPr>
            <w:r>
              <w:rPr>
                <w:b/>
                <w:noProof/>
                <w:sz w:val="20"/>
              </w:rPr>
              <w:t>0,489</w:t>
            </w:r>
          </w:p>
        </w:tc>
      </w:tr>
      <w:tr>
        <w:tc>
          <w:tcPr>
            <w:tcW w:w="3960" w:type="dxa"/>
            <w:vMerge/>
            <w:vAlign w:val="center"/>
          </w:tcPr>
          <w:p>
            <w:pPr>
              <w:rPr>
                <w:rFonts w:eastAsia="Times New Roman"/>
                <w:b/>
                <w:noProof/>
              </w:rPr>
            </w:pPr>
          </w:p>
        </w:tc>
        <w:tc>
          <w:tcPr>
            <w:tcW w:w="1503" w:type="dxa"/>
            <w:vAlign w:val="center"/>
          </w:tcPr>
          <w:p>
            <w:pPr>
              <w:rPr>
                <w:rFonts w:eastAsia="Times New Roman"/>
                <w:noProof/>
                <w:sz w:val="18"/>
              </w:rPr>
            </w:pPr>
            <w:r>
              <w:rPr>
                <w:noProof/>
                <w:sz w:val="18"/>
              </w:rPr>
              <w:t>Плащания</w:t>
            </w:r>
          </w:p>
        </w:tc>
        <w:tc>
          <w:tcPr>
            <w:tcW w:w="591" w:type="dxa"/>
            <w:vAlign w:val="center"/>
          </w:tcPr>
          <w:p>
            <w:pPr>
              <w:jc w:val="center"/>
              <w:rPr>
                <w:rFonts w:eastAsia="Times New Roman"/>
                <w:noProof/>
                <w:sz w:val="14"/>
              </w:rPr>
            </w:pPr>
            <w:r>
              <w:rPr>
                <w:noProof/>
                <w:sz w:val="14"/>
              </w:rPr>
              <w:t>=2+2а</w:t>
            </w:r>
          </w:p>
          <w:p>
            <w:pPr>
              <w:jc w:val="center"/>
              <w:rPr>
                <w:rFonts w:eastAsia="Times New Roman"/>
                <w:noProof/>
                <w:sz w:val="14"/>
              </w:rPr>
            </w:pPr>
            <w:r>
              <w:rPr>
                <w:noProof/>
                <w:sz w:val="14"/>
              </w:rPr>
              <w:t>+3б</w:t>
            </w:r>
          </w:p>
        </w:tc>
        <w:tc>
          <w:tcPr>
            <w:tcW w:w="868" w:type="dxa"/>
            <w:vAlign w:val="center"/>
          </w:tcPr>
          <w:p>
            <w:pPr>
              <w:spacing w:before="20" w:after="20"/>
              <w:jc w:val="right"/>
              <w:rPr>
                <w:rFonts w:eastAsia="Times New Roman"/>
                <w:noProof/>
                <w:sz w:val="20"/>
              </w:rPr>
            </w:pPr>
            <w:r>
              <w:rPr>
                <w:noProof/>
                <w:sz w:val="20"/>
              </w:rPr>
              <w:t>0,160</w:t>
            </w:r>
          </w:p>
        </w:tc>
        <w:tc>
          <w:tcPr>
            <w:tcW w:w="868" w:type="dxa"/>
            <w:vAlign w:val="center"/>
          </w:tcPr>
          <w:p>
            <w:pPr>
              <w:spacing w:before="20" w:after="20"/>
              <w:jc w:val="right"/>
              <w:rPr>
                <w:rFonts w:eastAsia="Times New Roman"/>
                <w:noProof/>
                <w:sz w:val="20"/>
              </w:rPr>
            </w:pPr>
            <w:r>
              <w:rPr>
                <w:noProof/>
                <w:sz w:val="20"/>
              </w:rPr>
              <w:t>0,163</w:t>
            </w:r>
          </w:p>
        </w:tc>
        <w:tc>
          <w:tcPr>
            <w:tcW w:w="868" w:type="dxa"/>
            <w:vAlign w:val="center"/>
          </w:tcPr>
          <w:p>
            <w:pPr>
              <w:spacing w:before="20" w:after="20"/>
              <w:jc w:val="right"/>
              <w:rPr>
                <w:rFonts w:eastAsia="Times New Roman"/>
                <w:noProof/>
                <w:sz w:val="20"/>
              </w:rPr>
            </w:pPr>
            <w:r>
              <w:rPr>
                <w:noProof/>
                <w:sz w:val="20"/>
              </w:rPr>
              <w:t>0,166</w:t>
            </w:r>
          </w:p>
        </w:tc>
        <w:tc>
          <w:tcPr>
            <w:tcW w:w="1777" w:type="dxa"/>
            <w:vAlign w:val="center"/>
          </w:tcPr>
          <w:p>
            <w:pPr>
              <w:spacing w:before="20" w:after="20"/>
              <w:jc w:val="right"/>
              <w:rPr>
                <w:rFonts w:eastAsia="Times New Roman"/>
                <w:b/>
                <w:noProof/>
                <w:sz w:val="20"/>
              </w:rPr>
            </w:pPr>
            <w:r>
              <w:rPr>
                <w:b/>
                <w:noProof/>
                <w:sz w:val="20"/>
              </w:rPr>
              <w:t>0,489</w:t>
            </w:r>
          </w:p>
        </w:tc>
      </w:tr>
    </w:tbl>
    <w:p>
      <w:pPr>
        <w:jc w:val="left"/>
        <w:rPr>
          <w:rFonts w:eastAsia="Times New Roman"/>
          <w:noProof/>
        </w:rPr>
      </w:pPr>
      <w:r>
        <w:rPr>
          <w:noProof/>
        </w:rPr>
        <w:br/>
        <w:t xml:space="preserve">Разходите на Агенцията ще се покриват от целевите приходи от финансовото участие на страната кандидатка. </w:t>
      </w:r>
      <w:r>
        <w:rPr>
          <w:noProof/>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rPr>
            </w:pPr>
            <w:r>
              <w:rPr>
                <w:noProof/>
              </w:rPr>
              <w:br w:type="page"/>
            </w:r>
            <w:r>
              <w:rPr>
                <w:b/>
                <w:noProof/>
              </w:rPr>
              <w:t>Функция от многогодишната финансова</w:t>
            </w:r>
            <w:r>
              <w:rPr>
                <w:rFonts w:eastAsia="Times New Roman"/>
                <w:noProof/>
                <w:sz w:val="22"/>
              </w:rPr>
              <w:br/>
            </w:r>
            <w:r>
              <w:rPr>
                <w:b/>
                <w:noProof/>
                <w:sz w:val="22"/>
              </w:rPr>
              <w:t xml:space="preserve">рамка </w:t>
            </w:r>
          </w:p>
        </w:tc>
        <w:tc>
          <w:tcPr>
            <w:tcW w:w="1080" w:type="dxa"/>
            <w:shd w:val="thinDiagStripe" w:color="C0C0C0" w:fill="auto"/>
            <w:vAlign w:val="center"/>
          </w:tcPr>
          <w:p>
            <w:pPr>
              <w:spacing w:before="60" w:after="60"/>
              <w:jc w:val="center"/>
              <w:rPr>
                <w:rFonts w:eastAsia="Times New Roman"/>
                <w:noProof/>
                <w:color w:val="0000FF"/>
              </w:rPr>
            </w:pPr>
            <w:r>
              <w:rPr>
                <w:b/>
                <w:noProof/>
                <w:sz w:val="22"/>
              </w:rPr>
              <w:t>5</w:t>
            </w:r>
          </w:p>
        </w:tc>
        <w:tc>
          <w:tcPr>
            <w:tcW w:w="7817" w:type="dxa"/>
            <w:vAlign w:val="center"/>
          </w:tcPr>
          <w:p>
            <w:pPr>
              <w:spacing w:before="60" w:after="60"/>
              <w:rPr>
                <w:rFonts w:eastAsia="Times New Roman"/>
                <w:noProof/>
              </w:rPr>
            </w:pPr>
            <w:r>
              <w:rPr>
                <w:noProof/>
                <w:sz w:val="22"/>
              </w:rPr>
              <w:t>„Административни разходи“</w:t>
            </w:r>
          </w:p>
        </w:tc>
      </w:tr>
    </w:tbl>
    <w:p>
      <w:pPr>
        <w:jc w:val="right"/>
        <w:rPr>
          <w:rFonts w:eastAsia="Times New Roman"/>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rFonts w:eastAsia="Times New Roman"/>
                <w:noProof/>
              </w:rPr>
            </w:pPr>
          </w:p>
        </w:tc>
        <w:tc>
          <w:tcPr>
            <w:tcW w:w="1560" w:type="dxa"/>
            <w:tcBorders>
              <w:top w:val="nil"/>
              <w:left w:val="nil"/>
              <w:right w:val="nil"/>
            </w:tcBorders>
          </w:tcPr>
          <w:p>
            <w:pPr>
              <w:rPr>
                <w:rFonts w:eastAsia="Times New Roman"/>
                <w:noProof/>
                <w:sz w:val="20"/>
              </w:rPr>
            </w:pPr>
          </w:p>
        </w:tc>
        <w:tc>
          <w:tcPr>
            <w:tcW w:w="534" w:type="dxa"/>
            <w:tcBorders>
              <w:top w:val="nil"/>
              <w:left w:val="nil"/>
            </w:tcBorders>
          </w:tcPr>
          <w:p>
            <w:pPr>
              <w:jc w:val="center"/>
              <w:rPr>
                <w:rFonts w:eastAsia="Times New Roman"/>
                <w:noProof/>
                <w:sz w:val="20"/>
              </w:rPr>
            </w:pPr>
          </w:p>
        </w:tc>
        <w:tc>
          <w:tcPr>
            <w:tcW w:w="868" w:type="dxa"/>
            <w:vAlign w:val="center"/>
          </w:tcPr>
          <w:p>
            <w:pPr>
              <w:jc w:val="center"/>
              <w:rPr>
                <w:noProof/>
                <w:sz w:val="18"/>
                <w:szCs w:val="18"/>
              </w:rPr>
            </w:pPr>
            <w:r>
              <w:rPr>
                <w:noProof/>
                <w:sz w:val="18"/>
                <w:szCs w:val="18"/>
              </w:rPr>
              <w:t>Година</w:t>
            </w:r>
            <w:r>
              <w:rPr>
                <w:noProof/>
                <w:sz w:val="18"/>
                <w:szCs w:val="18"/>
              </w:rPr>
              <w:br/>
            </w:r>
            <w:r>
              <w:rPr>
                <w:b/>
                <w:noProof/>
                <w:sz w:val="18"/>
                <w:szCs w:val="18"/>
              </w:rPr>
              <w:t>1</w:t>
            </w:r>
          </w:p>
        </w:tc>
        <w:tc>
          <w:tcPr>
            <w:tcW w:w="868" w:type="dxa"/>
            <w:vAlign w:val="center"/>
          </w:tcPr>
          <w:p>
            <w:pPr>
              <w:jc w:val="center"/>
              <w:rPr>
                <w:noProof/>
                <w:sz w:val="18"/>
                <w:szCs w:val="18"/>
              </w:rPr>
            </w:pPr>
            <w:r>
              <w:rPr>
                <w:noProof/>
                <w:sz w:val="18"/>
                <w:szCs w:val="18"/>
              </w:rPr>
              <w:t>Година</w:t>
            </w:r>
            <w:r>
              <w:rPr>
                <w:noProof/>
                <w:sz w:val="18"/>
                <w:szCs w:val="18"/>
              </w:rPr>
              <w:br/>
            </w:r>
            <w:r>
              <w:rPr>
                <w:b/>
                <w:noProof/>
                <w:sz w:val="18"/>
                <w:szCs w:val="18"/>
              </w:rPr>
              <w:t>2</w:t>
            </w:r>
          </w:p>
        </w:tc>
        <w:tc>
          <w:tcPr>
            <w:tcW w:w="868" w:type="dxa"/>
            <w:vAlign w:val="center"/>
          </w:tcPr>
          <w:p>
            <w:pPr>
              <w:jc w:val="center"/>
              <w:rPr>
                <w:noProof/>
                <w:sz w:val="18"/>
                <w:szCs w:val="18"/>
              </w:rPr>
            </w:pPr>
            <w:r>
              <w:rPr>
                <w:noProof/>
                <w:sz w:val="18"/>
                <w:szCs w:val="18"/>
              </w:rPr>
              <w:t>Година</w:t>
            </w:r>
            <w:r>
              <w:rPr>
                <w:noProof/>
                <w:sz w:val="18"/>
                <w:szCs w:val="18"/>
              </w:rPr>
              <w:br/>
            </w:r>
            <w:r>
              <w:rPr>
                <w:b/>
                <w:noProof/>
                <w:sz w:val="18"/>
                <w:szCs w:val="18"/>
              </w:rPr>
              <w:t>3</w:t>
            </w:r>
          </w:p>
        </w:tc>
        <w:tc>
          <w:tcPr>
            <w:tcW w:w="1777" w:type="dxa"/>
            <w:vAlign w:val="center"/>
          </w:tcPr>
          <w:p>
            <w:pPr>
              <w:jc w:val="center"/>
              <w:rPr>
                <w:rFonts w:eastAsia="Times New Roman"/>
                <w:b/>
                <w:noProof/>
                <w:sz w:val="20"/>
              </w:rPr>
            </w:pPr>
            <w:r>
              <w:rPr>
                <w:b/>
                <w:noProof/>
                <w:sz w:val="20"/>
              </w:rPr>
              <w:t>ОБЩО</w:t>
            </w:r>
          </w:p>
        </w:tc>
      </w:tr>
      <w:tr>
        <w:trPr>
          <w:gridAfter w:val="6"/>
          <w:wAfter w:w="6475" w:type="dxa"/>
        </w:trPr>
        <w:tc>
          <w:tcPr>
            <w:tcW w:w="3960" w:type="dxa"/>
            <w:vAlign w:val="center"/>
          </w:tcPr>
          <w:p>
            <w:pPr>
              <w:spacing w:before="60" w:after="60"/>
              <w:jc w:val="center"/>
              <w:rPr>
                <w:rFonts w:eastAsia="Times New Roman"/>
                <w:noProof/>
              </w:rPr>
            </w:pPr>
            <w:r>
              <w:rPr>
                <w:noProof/>
                <w:sz w:val="22"/>
              </w:rPr>
              <w:t>Комисия:</w:t>
            </w:r>
          </w:p>
        </w:tc>
      </w:tr>
      <w:tr>
        <w:trPr>
          <w:trHeight w:val="313"/>
        </w:trPr>
        <w:tc>
          <w:tcPr>
            <w:tcW w:w="6054" w:type="dxa"/>
            <w:gridSpan w:val="3"/>
            <w:vAlign w:val="center"/>
          </w:tcPr>
          <w:p>
            <w:pPr>
              <w:spacing w:before="20" w:after="20"/>
              <w:rPr>
                <w:rFonts w:eastAsia="Times New Roman"/>
                <w:noProof/>
              </w:rPr>
            </w:pPr>
            <w:r>
              <w:rPr>
                <w:rFonts w:eastAsia="Times New Roman"/>
                <w:noProof/>
                <w:sz w:val="22"/>
              </w:rPr>
              <w:sym w:font="Wingdings" w:char="F09F"/>
            </w:r>
            <w:r>
              <w:rPr>
                <w:noProof/>
                <w:sz w:val="22"/>
              </w:rPr>
              <w:t xml:space="preserve"> Човешки ресурси </w:t>
            </w:r>
          </w:p>
        </w:tc>
        <w:tc>
          <w:tcPr>
            <w:tcW w:w="868" w:type="dxa"/>
            <w:vAlign w:val="center"/>
          </w:tcPr>
          <w:p>
            <w:pPr>
              <w:spacing w:before="20" w:after="20"/>
              <w:jc w:val="right"/>
              <w:rPr>
                <w:rFonts w:eastAsia="Times New Roman"/>
                <w:noProof/>
                <w:sz w:val="20"/>
              </w:rPr>
            </w:pPr>
            <w:r>
              <w:rPr>
                <w:noProof/>
                <w:sz w:val="20"/>
              </w:rPr>
              <w:t>0,067</w:t>
            </w:r>
          </w:p>
        </w:tc>
        <w:tc>
          <w:tcPr>
            <w:tcW w:w="868" w:type="dxa"/>
            <w:vAlign w:val="center"/>
          </w:tcPr>
          <w:p>
            <w:pPr>
              <w:spacing w:before="20" w:after="20"/>
              <w:jc w:val="right"/>
              <w:rPr>
                <w:rFonts w:eastAsia="Times New Roman"/>
                <w:noProof/>
                <w:sz w:val="20"/>
              </w:rPr>
            </w:pPr>
            <w:r>
              <w:rPr>
                <w:noProof/>
                <w:sz w:val="20"/>
              </w:rPr>
              <w:t>0,067</w:t>
            </w:r>
          </w:p>
        </w:tc>
        <w:tc>
          <w:tcPr>
            <w:tcW w:w="868" w:type="dxa"/>
            <w:vAlign w:val="center"/>
          </w:tcPr>
          <w:p>
            <w:pPr>
              <w:spacing w:before="20" w:after="20"/>
              <w:jc w:val="right"/>
              <w:rPr>
                <w:rFonts w:eastAsia="Times New Roman"/>
                <w:noProof/>
                <w:sz w:val="20"/>
              </w:rPr>
            </w:pPr>
            <w:r>
              <w:rPr>
                <w:noProof/>
                <w:sz w:val="20"/>
              </w:rPr>
              <w:t>0,067</w:t>
            </w:r>
          </w:p>
        </w:tc>
        <w:tc>
          <w:tcPr>
            <w:tcW w:w="1777" w:type="dxa"/>
            <w:vAlign w:val="center"/>
          </w:tcPr>
          <w:p>
            <w:pPr>
              <w:spacing w:before="20" w:after="20"/>
              <w:jc w:val="center"/>
              <w:rPr>
                <w:rFonts w:eastAsia="Times New Roman"/>
                <w:b/>
                <w:noProof/>
                <w:sz w:val="20"/>
              </w:rPr>
            </w:pPr>
            <w:r>
              <w:rPr>
                <w:b/>
                <w:noProof/>
                <w:sz w:val="20"/>
              </w:rPr>
              <w:t>0,201</w:t>
            </w:r>
          </w:p>
        </w:tc>
      </w:tr>
      <w:tr>
        <w:trPr>
          <w:trHeight w:val="351"/>
        </w:trPr>
        <w:tc>
          <w:tcPr>
            <w:tcW w:w="6054" w:type="dxa"/>
            <w:gridSpan w:val="3"/>
            <w:vAlign w:val="center"/>
          </w:tcPr>
          <w:p>
            <w:pPr>
              <w:spacing w:before="20" w:after="20"/>
              <w:rPr>
                <w:rFonts w:eastAsia="Times New Roman"/>
                <w:noProof/>
              </w:rPr>
            </w:pPr>
            <w:r>
              <w:rPr>
                <w:rFonts w:eastAsia="Times New Roman"/>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center"/>
              <w:rPr>
                <w:rFonts w:eastAsia="Times New Roman"/>
                <w:b/>
                <w:noProof/>
                <w:sz w:val="20"/>
              </w:rPr>
            </w:pPr>
          </w:p>
        </w:tc>
      </w:tr>
      <w:tr>
        <w:tc>
          <w:tcPr>
            <w:tcW w:w="3960" w:type="dxa"/>
            <w:vAlign w:val="center"/>
          </w:tcPr>
          <w:p>
            <w:pPr>
              <w:jc w:val="center"/>
              <w:rPr>
                <w:rFonts w:eastAsia="Times New Roman"/>
                <w:b/>
                <w:noProof/>
              </w:rPr>
            </w:pPr>
            <w:r>
              <w:rPr>
                <w:b/>
                <w:noProof/>
              </w:rPr>
              <w:t>ОБЩО Комисия</w:t>
            </w:r>
          </w:p>
        </w:tc>
        <w:tc>
          <w:tcPr>
            <w:tcW w:w="2094" w:type="dxa"/>
            <w:gridSpan w:val="2"/>
            <w:vAlign w:val="center"/>
          </w:tcPr>
          <w:p>
            <w:pPr>
              <w:rPr>
                <w:rFonts w:eastAsia="Times New Roman"/>
                <w:noProof/>
                <w:sz w:val="14"/>
              </w:rPr>
            </w:pPr>
            <w:r>
              <w:rPr>
                <w:noProof/>
                <w:sz w:val="18"/>
              </w:rPr>
              <w:t xml:space="preserve">Бюджетни кредити </w:t>
            </w:r>
          </w:p>
        </w:tc>
        <w:tc>
          <w:tcPr>
            <w:tcW w:w="868" w:type="dxa"/>
            <w:vAlign w:val="center"/>
          </w:tcPr>
          <w:p>
            <w:pPr>
              <w:spacing w:before="60" w:after="60"/>
              <w:jc w:val="right"/>
              <w:rPr>
                <w:rFonts w:eastAsia="Times New Roman"/>
                <w:noProof/>
                <w:sz w:val="20"/>
              </w:rPr>
            </w:pPr>
            <w:r>
              <w:rPr>
                <w:noProof/>
                <w:sz w:val="20"/>
              </w:rPr>
              <w:t>0,067</w:t>
            </w:r>
          </w:p>
        </w:tc>
        <w:tc>
          <w:tcPr>
            <w:tcW w:w="868" w:type="dxa"/>
            <w:vAlign w:val="center"/>
          </w:tcPr>
          <w:p>
            <w:pPr>
              <w:spacing w:before="20" w:after="20"/>
              <w:jc w:val="right"/>
              <w:rPr>
                <w:rFonts w:eastAsia="Times New Roman"/>
                <w:noProof/>
                <w:sz w:val="20"/>
              </w:rPr>
            </w:pPr>
            <w:r>
              <w:rPr>
                <w:noProof/>
                <w:sz w:val="20"/>
              </w:rPr>
              <w:t>0,067</w:t>
            </w:r>
          </w:p>
        </w:tc>
        <w:tc>
          <w:tcPr>
            <w:tcW w:w="868" w:type="dxa"/>
            <w:vAlign w:val="center"/>
          </w:tcPr>
          <w:p>
            <w:pPr>
              <w:spacing w:before="20" w:after="20"/>
              <w:jc w:val="right"/>
              <w:rPr>
                <w:rFonts w:eastAsia="Times New Roman"/>
                <w:noProof/>
                <w:sz w:val="20"/>
              </w:rPr>
            </w:pPr>
            <w:r>
              <w:rPr>
                <w:noProof/>
                <w:sz w:val="20"/>
              </w:rPr>
              <w:t>0,067</w:t>
            </w:r>
          </w:p>
        </w:tc>
        <w:tc>
          <w:tcPr>
            <w:tcW w:w="1777" w:type="dxa"/>
            <w:vAlign w:val="center"/>
          </w:tcPr>
          <w:p>
            <w:pPr>
              <w:spacing w:before="20" w:after="20"/>
              <w:jc w:val="center"/>
              <w:rPr>
                <w:rFonts w:eastAsia="Times New Roman"/>
                <w:b/>
                <w:noProof/>
                <w:sz w:val="20"/>
              </w:rPr>
            </w:pPr>
            <w:r>
              <w:rPr>
                <w:b/>
                <w:noProof/>
                <w:sz w:val="20"/>
              </w:rPr>
              <w:t>0,201</w:t>
            </w:r>
          </w:p>
        </w:tc>
      </w:tr>
    </w:tbl>
    <w:p>
      <w:pPr>
        <w:rPr>
          <w:rFonts w:eastAsia="Times New Roman"/>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1777"/>
      </w:tblGrid>
      <w:tr>
        <w:tc>
          <w:tcPr>
            <w:tcW w:w="3960" w:type="dxa"/>
            <w:shd w:val="thinDiagStripe" w:color="C0C0C0" w:fill="auto"/>
            <w:vAlign w:val="center"/>
          </w:tcPr>
          <w:p>
            <w:pPr>
              <w:jc w:val="center"/>
              <w:rPr>
                <w:rFonts w:eastAsia="Times New Roman"/>
                <w:b/>
                <w:noProof/>
              </w:rPr>
            </w:pPr>
            <w:r>
              <w:rPr>
                <w:b/>
                <w:noProof/>
              </w:rPr>
              <w:t>ОБЩО бюджетни кредити</w:t>
            </w:r>
            <w:r>
              <w:rPr>
                <w:rFonts w:eastAsia="Times New Roman"/>
                <w:noProof/>
                <w:sz w:val="22"/>
              </w:rPr>
              <w:br/>
            </w:r>
            <w:r>
              <w:rPr>
                <w:b/>
                <w:noProof/>
                <w:sz w:val="22"/>
              </w:rPr>
              <w:t>за ФУНКЦИЯ 5</w:t>
            </w:r>
            <w:r>
              <w:rPr>
                <w:rFonts w:eastAsia="Times New Roman"/>
                <w:noProof/>
                <w:sz w:val="22"/>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rFonts w:eastAsia="Times New Roman"/>
                <w:noProof/>
              </w:rPr>
            </w:pPr>
            <w:r>
              <w:rPr>
                <w:noProof/>
                <w:sz w:val="18"/>
              </w:rPr>
              <w:t>(Общо поети задължения = Общо плащания)</w:t>
            </w:r>
          </w:p>
        </w:tc>
        <w:tc>
          <w:tcPr>
            <w:tcW w:w="868" w:type="dxa"/>
            <w:vAlign w:val="center"/>
          </w:tcPr>
          <w:p>
            <w:pPr>
              <w:spacing w:before="20" w:after="20"/>
              <w:jc w:val="right"/>
              <w:rPr>
                <w:rFonts w:eastAsia="Times New Roman"/>
                <w:noProof/>
                <w:sz w:val="20"/>
              </w:rPr>
            </w:pPr>
            <w:r>
              <w:rPr>
                <w:noProof/>
                <w:sz w:val="20"/>
              </w:rPr>
              <w:t>0,067</w:t>
            </w:r>
          </w:p>
        </w:tc>
        <w:tc>
          <w:tcPr>
            <w:tcW w:w="868" w:type="dxa"/>
            <w:vAlign w:val="center"/>
          </w:tcPr>
          <w:p>
            <w:pPr>
              <w:spacing w:before="20" w:after="20"/>
              <w:jc w:val="right"/>
              <w:rPr>
                <w:rFonts w:eastAsia="Times New Roman"/>
                <w:noProof/>
                <w:sz w:val="20"/>
              </w:rPr>
            </w:pPr>
            <w:r>
              <w:rPr>
                <w:noProof/>
                <w:sz w:val="20"/>
              </w:rPr>
              <w:t>0,067</w:t>
            </w:r>
          </w:p>
        </w:tc>
        <w:tc>
          <w:tcPr>
            <w:tcW w:w="868" w:type="dxa"/>
            <w:vAlign w:val="center"/>
          </w:tcPr>
          <w:p>
            <w:pPr>
              <w:spacing w:before="20" w:after="20"/>
              <w:jc w:val="right"/>
              <w:rPr>
                <w:rFonts w:eastAsia="Times New Roman"/>
                <w:noProof/>
                <w:sz w:val="20"/>
              </w:rPr>
            </w:pPr>
            <w:r>
              <w:rPr>
                <w:noProof/>
                <w:sz w:val="20"/>
              </w:rPr>
              <w:t>0,067</w:t>
            </w:r>
          </w:p>
        </w:tc>
        <w:tc>
          <w:tcPr>
            <w:tcW w:w="1777" w:type="dxa"/>
            <w:vAlign w:val="center"/>
          </w:tcPr>
          <w:p>
            <w:pPr>
              <w:spacing w:before="20" w:after="20"/>
              <w:jc w:val="center"/>
              <w:rPr>
                <w:rFonts w:eastAsia="Times New Roman"/>
                <w:b/>
                <w:noProof/>
                <w:sz w:val="20"/>
              </w:rPr>
            </w:pPr>
            <w:r>
              <w:rPr>
                <w:b/>
                <w:noProof/>
                <w:sz w:val="20"/>
              </w:rPr>
              <w:t>0,201</w:t>
            </w:r>
          </w:p>
        </w:tc>
      </w:tr>
    </w:tbl>
    <w:p>
      <w:pPr>
        <w:jc w:val="right"/>
        <w:rPr>
          <w:rFonts w:eastAsia="Times New Roman"/>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777"/>
      </w:tblGrid>
      <w:tr>
        <w:tc>
          <w:tcPr>
            <w:tcW w:w="3960" w:type="dxa"/>
            <w:tcBorders>
              <w:top w:val="nil"/>
              <w:left w:val="nil"/>
              <w:right w:val="nil"/>
            </w:tcBorders>
            <w:vAlign w:val="center"/>
          </w:tcPr>
          <w:p>
            <w:pPr>
              <w:jc w:val="center"/>
              <w:rPr>
                <w:rFonts w:eastAsia="Times New Roman"/>
                <w:noProof/>
              </w:rPr>
            </w:pPr>
          </w:p>
        </w:tc>
        <w:tc>
          <w:tcPr>
            <w:tcW w:w="1560" w:type="dxa"/>
            <w:tcBorders>
              <w:top w:val="nil"/>
              <w:left w:val="nil"/>
              <w:right w:val="nil"/>
            </w:tcBorders>
          </w:tcPr>
          <w:p>
            <w:pPr>
              <w:rPr>
                <w:rFonts w:eastAsia="Times New Roman"/>
                <w:noProof/>
                <w:sz w:val="20"/>
              </w:rPr>
            </w:pPr>
          </w:p>
        </w:tc>
        <w:tc>
          <w:tcPr>
            <w:tcW w:w="534" w:type="dxa"/>
            <w:tcBorders>
              <w:top w:val="nil"/>
              <w:left w:val="nil"/>
            </w:tcBorders>
          </w:tcPr>
          <w:p>
            <w:pPr>
              <w:jc w:val="center"/>
              <w:rPr>
                <w:rFonts w:eastAsia="Times New Roman"/>
                <w:noProof/>
                <w:sz w:val="20"/>
              </w:rPr>
            </w:pPr>
          </w:p>
        </w:tc>
        <w:tc>
          <w:tcPr>
            <w:tcW w:w="868" w:type="dxa"/>
            <w:vAlign w:val="center"/>
          </w:tcPr>
          <w:p>
            <w:pPr>
              <w:jc w:val="center"/>
              <w:rPr>
                <w:noProof/>
                <w:sz w:val="18"/>
                <w:szCs w:val="18"/>
              </w:rPr>
            </w:pPr>
            <w:r>
              <w:rPr>
                <w:noProof/>
                <w:sz w:val="18"/>
                <w:szCs w:val="18"/>
              </w:rPr>
              <w:t>Година</w:t>
            </w:r>
            <w:r>
              <w:rPr>
                <w:noProof/>
                <w:sz w:val="18"/>
                <w:szCs w:val="18"/>
              </w:rPr>
              <w:br/>
            </w:r>
            <w:r>
              <w:rPr>
                <w:b/>
                <w:noProof/>
                <w:sz w:val="18"/>
                <w:szCs w:val="18"/>
              </w:rPr>
              <w:t>1</w:t>
            </w:r>
          </w:p>
        </w:tc>
        <w:tc>
          <w:tcPr>
            <w:tcW w:w="868" w:type="dxa"/>
            <w:vAlign w:val="center"/>
          </w:tcPr>
          <w:p>
            <w:pPr>
              <w:jc w:val="center"/>
              <w:rPr>
                <w:noProof/>
                <w:sz w:val="18"/>
                <w:szCs w:val="18"/>
              </w:rPr>
            </w:pPr>
            <w:r>
              <w:rPr>
                <w:noProof/>
                <w:sz w:val="18"/>
                <w:szCs w:val="18"/>
              </w:rPr>
              <w:t>Година</w:t>
            </w:r>
            <w:r>
              <w:rPr>
                <w:noProof/>
                <w:sz w:val="18"/>
                <w:szCs w:val="18"/>
              </w:rPr>
              <w:br/>
            </w:r>
            <w:r>
              <w:rPr>
                <w:b/>
                <w:noProof/>
                <w:sz w:val="18"/>
                <w:szCs w:val="18"/>
              </w:rPr>
              <w:t>2</w:t>
            </w:r>
          </w:p>
        </w:tc>
        <w:tc>
          <w:tcPr>
            <w:tcW w:w="868" w:type="dxa"/>
            <w:vAlign w:val="center"/>
          </w:tcPr>
          <w:p>
            <w:pPr>
              <w:jc w:val="center"/>
              <w:rPr>
                <w:noProof/>
                <w:sz w:val="18"/>
                <w:szCs w:val="18"/>
              </w:rPr>
            </w:pPr>
            <w:r>
              <w:rPr>
                <w:noProof/>
                <w:sz w:val="18"/>
                <w:szCs w:val="18"/>
              </w:rPr>
              <w:t>Година</w:t>
            </w:r>
            <w:r>
              <w:rPr>
                <w:noProof/>
                <w:sz w:val="18"/>
                <w:szCs w:val="18"/>
              </w:rPr>
              <w:br/>
            </w:r>
            <w:r>
              <w:rPr>
                <w:b/>
                <w:noProof/>
                <w:sz w:val="18"/>
                <w:szCs w:val="18"/>
              </w:rPr>
              <w:t>3</w:t>
            </w:r>
          </w:p>
        </w:tc>
        <w:tc>
          <w:tcPr>
            <w:tcW w:w="1777" w:type="dxa"/>
            <w:vAlign w:val="center"/>
          </w:tcPr>
          <w:p>
            <w:pPr>
              <w:jc w:val="center"/>
              <w:rPr>
                <w:rFonts w:eastAsia="Times New Roman"/>
                <w:b/>
                <w:noProof/>
                <w:sz w:val="20"/>
              </w:rPr>
            </w:pPr>
            <w:r>
              <w:rPr>
                <w:b/>
                <w:noProof/>
                <w:sz w:val="20"/>
              </w:rPr>
              <w:t>ОБЩО</w:t>
            </w:r>
          </w:p>
        </w:tc>
      </w:tr>
      <w:tr>
        <w:tc>
          <w:tcPr>
            <w:tcW w:w="3960" w:type="dxa"/>
            <w:vMerge w:val="restart"/>
            <w:shd w:val="clear" w:color="auto" w:fill="C0C0C0"/>
            <w:vAlign w:val="center"/>
          </w:tcPr>
          <w:p>
            <w:pPr>
              <w:jc w:val="center"/>
              <w:rPr>
                <w:rFonts w:eastAsia="Times New Roman"/>
                <w:b/>
                <w:noProof/>
              </w:rPr>
            </w:pPr>
            <w:r>
              <w:rPr>
                <w:b/>
                <w:noProof/>
              </w:rPr>
              <w:t>ОБЩО бюджетни кредити</w:t>
            </w:r>
            <w:r>
              <w:rPr>
                <w:rFonts w:eastAsia="Times New Roman"/>
                <w:noProof/>
                <w:sz w:val="22"/>
              </w:rPr>
              <w:br/>
            </w:r>
            <w:r>
              <w:rPr>
                <w:b/>
                <w:noProof/>
                <w:sz w:val="22"/>
              </w:rPr>
              <w:t>за ФУНКЦИИ 1—5</w:t>
            </w:r>
            <w:r>
              <w:rPr>
                <w:rFonts w:eastAsia="Times New Roman"/>
                <w:noProof/>
                <w:sz w:val="22"/>
              </w:rPr>
              <w:br/>
            </w:r>
            <w:r>
              <w:rPr>
                <w:noProof/>
                <w:sz w:val="22"/>
              </w:rPr>
              <w:t>от многогодишната финансова рамка</w:t>
            </w:r>
            <w:r>
              <w:rPr>
                <w:b/>
                <w:noProof/>
                <w:sz w:val="22"/>
              </w:rPr>
              <w:t xml:space="preserve"> </w:t>
            </w:r>
          </w:p>
        </w:tc>
        <w:tc>
          <w:tcPr>
            <w:tcW w:w="2094" w:type="dxa"/>
            <w:gridSpan w:val="2"/>
            <w:vAlign w:val="center"/>
          </w:tcPr>
          <w:p>
            <w:pPr>
              <w:rPr>
                <w:rFonts w:eastAsia="Times New Roman"/>
                <w:noProof/>
                <w:sz w:val="14"/>
              </w:rPr>
            </w:pPr>
            <w:r>
              <w:rPr>
                <w:noProof/>
                <w:sz w:val="18"/>
              </w:rPr>
              <w:t>Поети задължения</w:t>
            </w:r>
          </w:p>
        </w:tc>
        <w:tc>
          <w:tcPr>
            <w:tcW w:w="868" w:type="dxa"/>
            <w:vAlign w:val="center"/>
          </w:tcPr>
          <w:p>
            <w:pPr>
              <w:spacing w:before="60" w:after="60"/>
              <w:jc w:val="right"/>
              <w:rPr>
                <w:rFonts w:eastAsia="Times New Roman"/>
                <w:noProof/>
                <w:sz w:val="20"/>
              </w:rPr>
            </w:pPr>
            <w:r>
              <w:rPr>
                <w:noProof/>
                <w:sz w:val="20"/>
              </w:rPr>
              <w:t>0,227</w:t>
            </w:r>
          </w:p>
        </w:tc>
        <w:tc>
          <w:tcPr>
            <w:tcW w:w="868" w:type="dxa"/>
            <w:vAlign w:val="center"/>
          </w:tcPr>
          <w:p>
            <w:pPr>
              <w:spacing w:before="60" w:after="60"/>
              <w:jc w:val="right"/>
              <w:rPr>
                <w:rFonts w:eastAsia="Times New Roman"/>
                <w:noProof/>
                <w:sz w:val="20"/>
              </w:rPr>
            </w:pPr>
            <w:r>
              <w:rPr>
                <w:noProof/>
                <w:sz w:val="20"/>
              </w:rPr>
              <w:t>0,230</w:t>
            </w:r>
          </w:p>
        </w:tc>
        <w:tc>
          <w:tcPr>
            <w:tcW w:w="868" w:type="dxa"/>
            <w:vAlign w:val="center"/>
          </w:tcPr>
          <w:p>
            <w:pPr>
              <w:spacing w:before="60" w:after="60"/>
              <w:jc w:val="right"/>
              <w:rPr>
                <w:rFonts w:eastAsia="Times New Roman"/>
                <w:noProof/>
                <w:sz w:val="20"/>
              </w:rPr>
            </w:pPr>
            <w:r>
              <w:rPr>
                <w:noProof/>
                <w:sz w:val="20"/>
              </w:rPr>
              <w:t>0,233</w:t>
            </w:r>
          </w:p>
        </w:tc>
        <w:tc>
          <w:tcPr>
            <w:tcW w:w="1777" w:type="dxa"/>
            <w:vAlign w:val="center"/>
          </w:tcPr>
          <w:p>
            <w:pPr>
              <w:spacing w:before="60" w:after="60"/>
              <w:jc w:val="center"/>
              <w:rPr>
                <w:rFonts w:eastAsia="Times New Roman"/>
                <w:b/>
                <w:noProof/>
                <w:sz w:val="20"/>
              </w:rPr>
            </w:pPr>
            <w:r>
              <w:rPr>
                <w:b/>
                <w:noProof/>
                <w:sz w:val="20"/>
              </w:rPr>
              <w:t>0,690</w:t>
            </w:r>
          </w:p>
        </w:tc>
      </w:tr>
      <w:tr>
        <w:tc>
          <w:tcPr>
            <w:tcW w:w="3960" w:type="dxa"/>
            <w:vMerge/>
            <w:vAlign w:val="center"/>
          </w:tcPr>
          <w:p>
            <w:pPr>
              <w:rPr>
                <w:rFonts w:eastAsia="Times New Roman"/>
                <w:b/>
                <w:noProof/>
              </w:rPr>
            </w:pPr>
          </w:p>
        </w:tc>
        <w:tc>
          <w:tcPr>
            <w:tcW w:w="2094" w:type="dxa"/>
            <w:gridSpan w:val="2"/>
            <w:vAlign w:val="center"/>
          </w:tcPr>
          <w:p>
            <w:pPr>
              <w:rPr>
                <w:rFonts w:eastAsia="Times New Roman"/>
                <w:noProof/>
                <w:sz w:val="14"/>
              </w:rPr>
            </w:pPr>
            <w:r>
              <w:rPr>
                <w:noProof/>
                <w:sz w:val="18"/>
              </w:rPr>
              <w:t>Плащания</w:t>
            </w:r>
          </w:p>
        </w:tc>
        <w:tc>
          <w:tcPr>
            <w:tcW w:w="868" w:type="dxa"/>
            <w:vAlign w:val="center"/>
          </w:tcPr>
          <w:p>
            <w:pPr>
              <w:spacing w:before="60" w:after="60"/>
              <w:jc w:val="right"/>
              <w:rPr>
                <w:rFonts w:eastAsia="Times New Roman"/>
                <w:noProof/>
                <w:sz w:val="20"/>
              </w:rPr>
            </w:pPr>
            <w:r>
              <w:rPr>
                <w:noProof/>
                <w:sz w:val="20"/>
              </w:rPr>
              <w:t>0,227</w:t>
            </w:r>
          </w:p>
        </w:tc>
        <w:tc>
          <w:tcPr>
            <w:tcW w:w="868" w:type="dxa"/>
            <w:vAlign w:val="center"/>
          </w:tcPr>
          <w:p>
            <w:pPr>
              <w:spacing w:before="60" w:after="60"/>
              <w:jc w:val="right"/>
              <w:rPr>
                <w:rFonts w:eastAsia="Times New Roman"/>
                <w:noProof/>
                <w:sz w:val="20"/>
              </w:rPr>
            </w:pPr>
            <w:r>
              <w:rPr>
                <w:noProof/>
                <w:sz w:val="20"/>
              </w:rPr>
              <w:t>0,230</w:t>
            </w:r>
          </w:p>
        </w:tc>
        <w:tc>
          <w:tcPr>
            <w:tcW w:w="868" w:type="dxa"/>
            <w:vAlign w:val="center"/>
          </w:tcPr>
          <w:p>
            <w:pPr>
              <w:spacing w:before="60" w:after="60"/>
              <w:jc w:val="right"/>
              <w:rPr>
                <w:rFonts w:eastAsia="Times New Roman"/>
                <w:noProof/>
                <w:sz w:val="20"/>
              </w:rPr>
            </w:pPr>
            <w:r>
              <w:rPr>
                <w:noProof/>
                <w:sz w:val="20"/>
              </w:rPr>
              <w:t>0,233</w:t>
            </w:r>
          </w:p>
        </w:tc>
        <w:tc>
          <w:tcPr>
            <w:tcW w:w="1777" w:type="dxa"/>
            <w:vAlign w:val="center"/>
          </w:tcPr>
          <w:p>
            <w:pPr>
              <w:spacing w:before="60" w:after="60"/>
              <w:jc w:val="center"/>
              <w:rPr>
                <w:rFonts w:eastAsia="Times New Roman"/>
                <w:b/>
                <w:noProof/>
                <w:sz w:val="20"/>
              </w:rPr>
            </w:pPr>
            <w:r>
              <w:rPr>
                <w:b/>
                <w:noProof/>
                <w:sz w:val="20"/>
              </w:rPr>
              <w:t>0,690</w:t>
            </w:r>
          </w:p>
        </w:tc>
      </w:tr>
    </w:tbl>
    <w:p>
      <w:pPr>
        <w:pStyle w:val="Heading3"/>
        <w:rPr>
          <w:noProof/>
        </w:rPr>
      </w:pPr>
      <w:r>
        <w:rPr>
          <w:noProof/>
        </w:rPr>
        <w:t xml:space="preserve">Очаквано отражение върху бюджетните кредити на Агенцията за основните права </w:t>
      </w:r>
    </w:p>
    <w:p>
      <w:pPr>
        <w:ind w:left="1440"/>
        <w:rPr>
          <w:rFonts w:eastAsia="Times New Roman"/>
          <w:noProof/>
          <w:sz w:val="20"/>
        </w:rPr>
      </w:pPr>
      <w:r>
        <w:rPr>
          <w:noProof/>
        </w:rPr>
        <w:t>Предложението/инициативата налага използване на бюджетни кредити за оперативни разходи в размер на 0,066 млн. EUR.</w:t>
      </w:r>
      <w:r>
        <w:rPr>
          <w:noProof/>
          <w:sz w:val="20"/>
        </w:rPr>
        <w:t xml:space="preserve"> </w:t>
      </w:r>
    </w:p>
    <w:p>
      <w:pPr>
        <w:ind w:left="1440"/>
        <w:rPr>
          <w:rFonts w:eastAsia="Times New Roman"/>
          <w:noProof/>
        </w:rPr>
      </w:pPr>
      <w:r>
        <w:rPr>
          <w:noProof/>
        </w:rPr>
        <w:t xml:space="preserve">Участието на Република Албания като наблюдател в работата на Агенцията ще даде възможност на Агенцията да работи по въпроси в областта на основните права в страната в рамките на приложното поле по член 3, параграф 1 от Регламент (ЕО) № 168/2007 на Съвета, доколкото това е необходимо за постепенното привеждане на законодателството на Република Албания в съответствие с това на Съюза. Задачите, които Агенцията може да изпълнява, са посочени в член 4 от Регламент (ЕО) № 168/2007 на Съвета, а основните области, в които е съсредоточена дейността ѝ, са определени в Многогодишната рамка на Агенцията в съответствие с член 5 от Регламент (ЕО) № 168/2007 на Съвета. </w:t>
      </w:r>
    </w:p>
    <w:p>
      <w:pPr>
        <w:rPr>
          <w:rFonts w:eastAsia="Times New Roman"/>
          <w:noProof/>
        </w:rPr>
        <w:sectPr>
          <w:headerReference w:type="default" r:id="rId19"/>
          <w:footerReference w:type="default" r:id="rId20"/>
          <w:headerReference w:type="first" r:id="rId21"/>
          <w:footerReference w:type="first" r:id="rId22"/>
          <w:pgSz w:w="15840" w:h="12240" w:orient="landscape"/>
          <w:pgMar w:top="1418" w:right="902" w:bottom="902" w:left="567" w:header="709" w:footer="709" w:gutter="0"/>
          <w:cols w:space="720"/>
          <w:docGrid w:linePitch="326"/>
        </w:sectPr>
      </w:pPr>
    </w:p>
    <w:p>
      <w:pPr>
        <w:pStyle w:val="Heading3"/>
        <w:rPr>
          <w:noProof/>
        </w:rPr>
      </w:pPr>
      <w:r>
        <w:rPr>
          <w:noProof/>
        </w:rPr>
        <w:t xml:space="preserve">Очаквано отражение върху човешките ресурси на Агенцията за основните права </w:t>
      </w:r>
    </w:p>
    <w:p>
      <w:pPr>
        <w:pStyle w:val="Heading4"/>
        <w:rPr>
          <w:rFonts w:eastAsia="Times New Roman"/>
          <w:noProof/>
          <w:szCs w:val="24"/>
        </w:rPr>
      </w:pPr>
      <w:r>
        <w:rPr>
          <w:noProof/>
        </w:rPr>
        <w:t xml:space="preserve">Обобщение </w:t>
      </w:r>
    </w:p>
    <w:p>
      <w:pPr>
        <w:ind w:left="840"/>
        <w:rPr>
          <w:rFonts w:eastAsia="Times New Roman"/>
          <w:noProof/>
        </w:rPr>
      </w:pPr>
      <w:r>
        <w:rPr>
          <w:noProof/>
        </w:rPr>
        <w:t>Предложението/инициативата налага използване на бюджетни кредити за административни разходи съгласно обяснението по-долу:</w:t>
      </w:r>
    </w:p>
    <w:p>
      <w:pPr>
        <w:rPr>
          <w:rFonts w:eastAsia="Times New Roman"/>
          <w:noProof/>
          <w:sz w:val="20"/>
        </w:rPr>
      </w:pPr>
      <w:r>
        <w:rPr>
          <w:noProof/>
          <w:sz w:val="20"/>
        </w:rPr>
        <w:t>млн. EUR (до третия знак след десетичната запетая)</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tcPr>
          <w:p>
            <w:pPr>
              <w:spacing w:before="60" w:after="60"/>
              <w:rPr>
                <w:rFonts w:eastAsia="Times New Roman"/>
                <w:noProof/>
                <w:sz w:val="20"/>
              </w:rPr>
            </w:pPr>
          </w:p>
        </w:tc>
        <w:tc>
          <w:tcPr>
            <w:tcW w:w="1080" w:type="dxa"/>
            <w:vAlign w:val="center"/>
          </w:tcPr>
          <w:p>
            <w:pPr>
              <w:spacing w:before="60" w:after="60"/>
              <w:jc w:val="center"/>
              <w:rPr>
                <w:noProof/>
                <w:sz w:val="18"/>
                <w:szCs w:val="18"/>
              </w:rPr>
            </w:pPr>
            <w:r>
              <w:rPr>
                <w:noProof/>
                <w:sz w:val="18"/>
                <w:szCs w:val="18"/>
              </w:rPr>
              <w:t>Година</w:t>
            </w:r>
            <w:r>
              <w:rPr>
                <w:noProof/>
                <w:sz w:val="18"/>
                <w:szCs w:val="18"/>
              </w:rPr>
              <w:br/>
            </w:r>
            <w:r>
              <w:rPr>
                <w:b/>
                <w:noProof/>
                <w:sz w:val="18"/>
                <w:szCs w:val="18"/>
              </w:rPr>
              <w:t>1</w:t>
            </w:r>
          </w:p>
        </w:tc>
        <w:tc>
          <w:tcPr>
            <w:tcW w:w="1080" w:type="dxa"/>
            <w:vAlign w:val="center"/>
          </w:tcPr>
          <w:p>
            <w:pPr>
              <w:spacing w:before="60" w:after="60"/>
              <w:jc w:val="center"/>
              <w:rPr>
                <w:noProof/>
                <w:sz w:val="18"/>
                <w:szCs w:val="18"/>
              </w:rPr>
            </w:pPr>
            <w:r>
              <w:rPr>
                <w:noProof/>
                <w:sz w:val="18"/>
                <w:szCs w:val="18"/>
              </w:rPr>
              <w:t>Година</w:t>
            </w:r>
            <w:r>
              <w:rPr>
                <w:noProof/>
                <w:sz w:val="18"/>
                <w:szCs w:val="18"/>
              </w:rPr>
              <w:br/>
            </w:r>
            <w:r>
              <w:rPr>
                <w:b/>
                <w:noProof/>
                <w:sz w:val="18"/>
                <w:szCs w:val="18"/>
              </w:rPr>
              <w:t>2</w:t>
            </w:r>
          </w:p>
        </w:tc>
        <w:tc>
          <w:tcPr>
            <w:tcW w:w="1080" w:type="dxa"/>
            <w:vAlign w:val="center"/>
          </w:tcPr>
          <w:p>
            <w:pPr>
              <w:spacing w:before="60" w:after="60"/>
              <w:jc w:val="center"/>
              <w:rPr>
                <w:noProof/>
                <w:sz w:val="18"/>
                <w:szCs w:val="18"/>
              </w:rPr>
            </w:pPr>
            <w:r>
              <w:rPr>
                <w:noProof/>
                <w:sz w:val="18"/>
                <w:szCs w:val="18"/>
              </w:rPr>
              <w:t>Година</w:t>
            </w:r>
            <w:r>
              <w:rPr>
                <w:noProof/>
                <w:sz w:val="18"/>
                <w:szCs w:val="18"/>
              </w:rPr>
              <w:br/>
            </w:r>
            <w:r>
              <w:rPr>
                <w:b/>
                <w:noProof/>
                <w:sz w:val="18"/>
                <w:szCs w:val="18"/>
              </w:rPr>
              <w:t>3</w:t>
            </w:r>
          </w:p>
        </w:tc>
        <w:tc>
          <w:tcPr>
            <w:tcW w:w="1080" w:type="dxa"/>
            <w:vAlign w:val="center"/>
          </w:tcPr>
          <w:p>
            <w:pPr>
              <w:spacing w:before="60" w:after="60"/>
              <w:jc w:val="center"/>
              <w:rPr>
                <w:rFonts w:eastAsia="Times New Roman"/>
                <w:b/>
                <w:noProof/>
                <w:sz w:val="20"/>
              </w:rPr>
            </w:pPr>
            <w:r>
              <w:rPr>
                <w:b/>
                <w:noProof/>
                <w:sz w:val="20"/>
              </w:rPr>
              <w:t>ОБЩО</w:t>
            </w:r>
          </w:p>
        </w:tc>
      </w:tr>
    </w:tbl>
    <w:p>
      <w:pPr>
        <w:rPr>
          <w:rFonts w:eastAsia="Times New Roman"/>
          <w:noProof/>
          <w:sz w:val="20"/>
        </w:rPr>
      </w:pP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shd w:val="clear" w:color="auto" w:fill="CCCCCC"/>
            <w:vAlign w:val="center"/>
          </w:tcPr>
          <w:p>
            <w:pPr>
              <w:spacing w:before="60" w:after="60"/>
              <w:jc w:val="center"/>
              <w:rPr>
                <w:rFonts w:eastAsia="Times New Roman"/>
                <w:noProof/>
              </w:rPr>
            </w:pPr>
            <w:r>
              <w:rPr>
                <w:noProof/>
                <w:sz w:val="18"/>
              </w:rPr>
              <w:t>Длъжностни лица (степени AD)</w:t>
            </w: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b/>
                <w:noProof/>
                <w:sz w:val="20"/>
              </w:rPr>
            </w:pPr>
          </w:p>
        </w:tc>
      </w:tr>
      <w:tr>
        <w:trPr>
          <w:trHeight w:val="585"/>
        </w:trPr>
        <w:tc>
          <w:tcPr>
            <w:tcW w:w="1980" w:type="dxa"/>
            <w:vAlign w:val="center"/>
          </w:tcPr>
          <w:p>
            <w:pPr>
              <w:spacing w:before="60" w:after="60"/>
              <w:ind w:left="72"/>
              <w:rPr>
                <w:rFonts w:eastAsia="Times New Roman"/>
                <w:noProof/>
              </w:rPr>
            </w:pPr>
            <w:r>
              <w:rPr>
                <w:noProof/>
                <w:sz w:val="20"/>
              </w:rPr>
              <w:t>Длъжностни лица (степени AST)</w:t>
            </w: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b/>
                <w:noProof/>
                <w:sz w:val="20"/>
              </w:rPr>
            </w:pPr>
          </w:p>
        </w:tc>
      </w:tr>
      <w:tr>
        <w:trPr>
          <w:trHeight w:val="585"/>
        </w:trPr>
        <w:tc>
          <w:tcPr>
            <w:tcW w:w="1980" w:type="dxa"/>
            <w:vAlign w:val="center"/>
          </w:tcPr>
          <w:p>
            <w:pPr>
              <w:spacing w:before="60" w:after="60"/>
              <w:ind w:left="72"/>
              <w:rPr>
                <w:rFonts w:eastAsia="Times New Roman"/>
                <w:noProof/>
              </w:rPr>
            </w:pPr>
            <w:r>
              <w:rPr>
                <w:noProof/>
                <w:sz w:val="20"/>
              </w:rPr>
              <w:t>Договорно нает персонал</w:t>
            </w:r>
          </w:p>
        </w:tc>
        <w:tc>
          <w:tcPr>
            <w:tcW w:w="1080" w:type="dxa"/>
            <w:vAlign w:val="center"/>
          </w:tcPr>
          <w:p>
            <w:pPr>
              <w:spacing w:before="60" w:after="60"/>
              <w:jc w:val="right"/>
              <w:rPr>
                <w:rFonts w:eastAsia="Times New Roman"/>
                <w:noProof/>
                <w:sz w:val="20"/>
              </w:rPr>
            </w:pPr>
            <w:r>
              <w:rPr>
                <w:noProof/>
                <w:sz w:val="20"/>
              </w:rPr>
              <w:t>1</w:t>
            </w:r>
          </w:p>
        </w:tc>
        <w:tc>
          <w:tcPr>
            <w:tcW w:w="1080" w:type="dxa"/>
            <w:vAlign w:val="center"/>
          </w:tcPr>
          <w:p>
            <w:pPr>
              <w:spacing w:before="60" w:after="60"/>
              <w:jc w:val="right"/>
              <w:rPr>
                <w:rFonts w:eastAsia="Times New Roman"/>
                <w:noProof/>
                <w:sz w:val="20"/>
              </w:rPr>
            </w:pPr>
            <w:r>
              <w:rPr>
                <w:noProof/>
                <w:sz w:val="20"/>
              </w:rPr>
              <w:t>1</w:t>
            </w:r>
          </w:p>
        </w:tc>
        <w:tc>
          <w:tcPr>
            <w:tcW w:w="1080" w:type="dxa"/>
            <w:vAlign w:val="center"/>
          </w:tcPr>
          <w:p>
            <w:pPr>
              <w:spacing w:before="60" w:after="60"/>
              <w:jc w:val="right"/>
              <w:rPr>
                <w:rFonts w:eastAsia="Times New Roman"/>
                <w:noProof/>
                <w:sz w:val="20"/>
              </w:rPr>
            </w:pPr>
            <w:r>
              <w:rPr>
                <w:noProof/>
                <w:sz w:val="20"/>
              </w:rPr>
              <w:t>1</w:t>
            </w:r>
          </w:p>
        </w:tc>
        <w:tc>
          <w:tcPr>
            <w:tcW w:w="1080" w:type="dxa"/>
            <w:vAlign w:val="center"/>
          </w:tcPr>
          <w:p>
            <w:pPr>
              <w:spacing w:before="60" w:after="60"/>
              <w:jc w:val="right"/>
              <w:rPr>
                <w:rFonts w:eastAsia="Times New Roman"/>
                <w:b/>
                <w:noProof/>
                <w:sz w:val="20"/>
              </w:rPr>
            </w:pPr>
            <w:r>
              <w:rPr>
                <w:b/>
                <w:noProof/>
                <w:sz w:val="20"/>
              </w:rPr>
              <w:t>1</w:t>
            </w:r>
          </w:p>
        </w:tc>
      </w:tr>
      <w:tr>
        <w:trPr>
          <w:trHeight w:val="585"/>
        </w:trPr>
        <w:tc>
          <w:tcPr>
            <w:tcW w:w="1980" w:type="dxa"/>
            <w:shd w:val="clear" w:color="auto" w:fill="CCCCCC"/>
            <w:vAlign w:val="center"/>
          </w:tcPr>
          <w:p>
            <w:pPr>
              <w:spacing w:before="60" w:after="60"/>
              <w:jc w:val="center"/>
              <w:rPr>
                <w:rFonts w:eastAsia="Times New Roman"/>
                <w:noProof/>
              </w:rPr>
            </w:pPr>
            <w:r>
              <w:rPr>
                <w:noProof/>
                <w:sz w:val="18"/>
              </w:rPr>
              <w:t xml:space="preserve">Временно нает персонал </w:t>
            </w: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b/>
                <w:noProof/>
                <w:sz w:val="20"/>
              </w:rPr>
            </w:pPr>
          </w:p>
        </w:tc>
      </w:tr>
      <w:tr>
        <w:trPr>
          <w:trHeight w:val="585"/>
        </w:trPr>
        <w:tc>
          <w:tcPr>
            <w:tcW w:w="1980" w:type="dxa"/>
            <w:shd w:val="clear" w:color="auto" w:fill="CCCCCC"/>
            <w:vAlign w:val="center"/>
          </w:tcPr>
          <w:p>
            <w:pPr>
              <w:spacing w:before="60" w:after="60"/>
              <w:jc w:val="center"/>
              <w:rPr>
                <w:rFonts w:eastAsia="Times New Roman"/>
                <w:noProof/>
              </w:rPr>
            </w:pPr>
            <w:r>
              <w:rPr>
                <w:noProof/>
                <w:sz w:val="18"/>
              </w:rPr>
              <w:t>Командировани национални експерти</w:t>
            </w: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noProof/>
                <w:sz w:val="20"/>
              </w:rPr>
            </w:pPr>
          </w:p>
        </w:tc>
        <w:tc>
          <w:tcPr>
            <w:tcW w:w="1080" w:type="dxa"/>
            <w:vAlign w:val="center"/>
          </w:tcPr>
          <w:p>
            <w:pPr>
              <w:spacing w:before="60" w:after="60"/>
              <w:jc w:val="right"/>
              <w:rPr>
                <w:rFonts w:eastAsia="Times New Roman"/>
                <w:b/>
                <w:noProof/>
                <w:sz w:val="20"/>
              </w:rPr>
            </w:pPr>
          </w:p>
        </w:tc>
      </w:tr>
    </w:tbl>
    <w:p>
      <w:pPr>
        <w:rPr>
          <w:rFonts w:eastAsia="Times New Roman"/>
          <w:noProof/>
          <w:sz w:val="20"/>
        </w:rPr>
      </w:pPr>
    </w:p>
    <w:tbl>
      <w:tblPr>
        <w:tblW w:w="0" w:type="auto"/>
        <w:tblInd w:w="-612" w:type="dxa"/>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rFonts w:eastAsia="Times New Roman"/>
                <w:noProof/>
                <w:sz w:val="20"/>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rPr>
            </w:pPr>
            <w:r>
              <w:rPr>
                <w:b/>
                <w:noProof/>
                <w:sz w:val="20"/>
              </w:rPr>
              <w:t>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rFonts w:eastAsia="Times New Roman"/>
                <w:b/>
                <w:noProof/>
                <w:sz w:val="20"/>
              </w:rPr>
            </w:pPr>
            <w:r>
              <w:rPr>
                <w:b/>
                <w:noProof/>
                <w:sz w:val="20"/>
              </w:rPr>
              <w:t>1</w:t>
            </w:r>
          </w:p>
        </w:tc>
      </w:tr>
    </w:tbl>
    <w:p>
      <w:pPr>
        <w:jc w:val="left"/>
        <w:rPr>
          <w:rFonts w:eastAsia="Times New Roman"/>
          <w:noProof/>
        </w:rPr>
        <w:sectPr>
          <w:headerReference w:type="default" r:id="rId23"/>
          <w:footerReference w:type="default" r:id="rId24"/>
          <w:headerReference w:type="first" r:id="rId25"/>
          <w:footerReference w:type="first" r:id="rId26"/>
          <w:pgSz w:w="11907" w:h="16839"/>
          <w:pgMar w:top="1134" w:right="1417" w:bottom="1134" w:left="1417" w:header="709" w:footer="709" w:gutter="0"/>
          <w:cols w:space="720"/>
          <w:docGrid w:linePitch="326"/>
        </w:sectPr>
      </w:pPr>
    </w:p>
    <w:p>
      <w:pPr>
        <w:pStyle w:val="Heading4"/>
        <w:rPr>
          <w:noProof/>
        </w:rPr>
      </w:pPr>
      <w:r>
        <w:rPr>
          <w:noProof/>
        </w:rPr>
        <w:t>Очаквани нужди от човешки ресурси за Комисията</w:t>
      </w:r>
    </w:p>
    <w:p>
      <w:pPr>
        <w:ind w:left="1134"/>
        <w:rPr>
          <w:rFonts w:eastAsia="Times New Roman"/>
          <w:noProof/>
        </w:rPr>
      </w:pPr>
      <w:r>
        <w:rPr>
          <w:noProof/>
        </w:rPr>
        <w:t>Предложението/инициативата налага използване на човешки ресурси в Комисията съгласно обяснението по-долу:</w:t>
      </w:r>
    </w:p>
    <w:p>
      <w:pPr>
        <w:spacing w:after="60"/>
        <w:jc w:val="right"/>
        <w:rPr>
          <w:rFonts w:eastAsia="Times New Roman"/>
          <w:i/>
          <w:noProof/>
          <w:sz w:val="20"/>
        </w:rPr>
      </w:pPr>
      <w:r>
        <w:rPr>
          <w:i/>
          <w:noProof/>
          <w:sz w:val="20"/>
        </w:rPr>
        <w:t>Оценката се посочва в цели стойности (или най-много до един знак след десетичната запетая)</w:t>
      </w:r>
    </w:p>
    <w:tbl>
      <w:tblPr>
        <w:tblW w:w="422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25"/>
        <w:gridCol w:w="1877"/>
        <w:gridCol w:w="839"/>
        <w:gridCol w:w="863"/>
        <w:gridCol w:w="938"/>
      </w:tblGrid>
      <w:tr>
        <w:trPr>
          <w:trHeight w:val="289"/>
          <w:jc w:val="center"/>
        </w:trPr>
        <w:tc>
          <w:tcPr>
            <w:tcW w:w="3317" w:type="pct"/>
            <w:gridSpan w:val="2"/>
            <w:shd w:val="clear" w:color="auto" w:fill="auto"/>
          </w:tcPr>
          <w:p>
            <w:pPr>
              <w:spacing w:before="40" w:after="40"/>
              <w:jc w:val="center"/>
              <w:rPr>
                <w:rFonts w:eastAsia="Times New Roman"/>
                <w:i/>
                <w:noProof/>
                <w:sz w:val="20"/>
              </w:rPr>
            </w:pPr>
          </w:p>
        </w:tc>
        <w:tc>
          <w:tcPr>
            <w:tcW w:w="535" w:type="pct"/>
            <w:shd w:val="clear" w:color="auto" w:fill="auto"/>
            <w:vAlign w:val="center"/>
          </w:tcPr>
          <w:p>
            <w:pPr>
              <w:spacing w:before="20" w:after="20"/>
              <w:jc w:val="center"/>
              <w:rPr>
                <w:rFonts w:eastAsia="Times New Roman"/>
                <w:noProof/>
                <w:sz w:val="20"/>
              </w:rPr>
            </w:pPr>
            <w:r>
              <w:rPr>
                <w:noProof/>
                <w:sz w:val="20"/>
              </w:rPr>
              <w:t>Година</w:t>
            </w:r>
            <w:r>
              <w:rPr>
                <w:rFonts w:eastAsia="Times New Roman"/>
                <w:noProof/>
                <w:sz w:val="20"/>
              </w:rPr>
              <w:br/>
            </w:r>
            <w:r>
              <w:rPr>
                <w:b/>
                <w:noProof/>
                <w:sz w:val="20"/>
              </w:rPr>
              <w:t>1</w:t>
            </w:r>
          </w:p>
        </w:tc>
        <w:tc>
          <w:tcPr>
            <w:tcW w:w="550" w:type="pct"/>
            <w:shd w:val="clear" w:color="auto" w:fill="auto"/>
            <w:vAlign w:val="center"/>
          </w:tcPr>
          <w:p>
            <w:pPr>
              <w:spacing w:before="20" w:after="20"/>
              <w:jc w:val="center"/>
              <w:rPr>
                <w:rFonts w:eastAsia="Times New Roman"/>
                <w:noProof/>
                <w:sz w:val="20"/>
              </w:rPr>
            </w:pPr>
            <w:r>
              <w:rPr>
                <w:noProof/>
                <w:sz w:val="20"/>
              </w:rPr>
              <w:t>Година</w:t>
            </w:r>
            <w:r>
              <w:rPr>
                <w:rFonts w:eastAsia="Times New Roman"/>
                <w:noProof/>
                <w:sz w:val="20"/>
              </w:rPr>
              <w:br/>
            </w:r>
            <w:r>
              <w:rPr>
                <w:b/>
                <w:noProof/>
                <w:sz w:val="20"/>
              </w:rPr>
              <w:t>2</w:t>
            </w:r>
          </w:p>
        </w:tc>
        <w:tc>
          <w:tcPr>
            <w:tcW w:w="598" w:type="pct"/>
            <w:shd w:val="clear" w:color="auto" w:fill="auto"/>
            <w:vAlign w:val="center"/>
          </w:tcPr>
          <w:p>
            <w:pPr>
              <w:spacing w:before="20" w:after="20"/>
              <w:rPr>
                <w:rFonts w:eastAsia="Times New Roman"/>
                <w:noProof/>
                <w:sz w:val="20"/>
              </w:rPr>
            </w:pPr>
            <w:r>
              <w:rPr>
                <w:noProof/>
                <w:sz w:val="20"/>
              </w:rPr>
              <w:t>Година</w:t>
            </w:r>
            <w:r>
              <w:rPr>
                <w:rFonts w:eastAsia="Times New Roman"/>
                <w:noProof/>
                <w:sz w:val="20"/>
              </w:rPr>
              <w:br/>
            </w:r>
            <w:r>
              <w:rPr>
                <w:b/>
                <w:noProof/>
                <w:sz w:val="20"/>
              </w:rPr>
              <w:t>3</w:t>
            </w:r>
          </w:p>
        </w:tc>
      </w:tr>
      <w:tr>
        <w:trPr>
          <w:trHeight w:val="289"/>
          <w:jc w:val="center"/>
        </w:trPr>
        <w:tc>
          <w:tcPr>
            <w:tcW w:w="3317" w:type="pct"/>
            <w:gridSpan w:val="2"/>
            <w:shd w:val="clear" w:color="auto" w:fill="auto"/>
            <w:vAlign w:val="center"/>
          </w:tcPr>
          <w:p>
            <w:pPr>
              <w:numPr>
                <w:ilvl w:val="0"/>
                <w:numId w:val="12"/>
              </w:numPr>
              <w:tabs>
                <w:tab w:val="left" w:pos="208"/>
              </w:tabs>
              <w:spacing w:beforeLines="20" w:before="48" w:afterLines="20" w:after="48"/>
              <w:ind w:left="208" w:hanging="120"/>
              <w:jc w:val="left"/>
              <w:rPr>
                <w:rFonts w:eastAsia="Times New Roman"/>
                <w:b/>
                <w:noProof/>
                <w:sz w:val="20"/>
              </w:rPr>
            </w:pPr>
            <w:r>
              <w:rPr>
                <w:b/>
                <w:noProof/>
                <w:sz w:val="20"/>
              </w:rPr>
              <w:t>Длъжности в щатното разписание (длъжностни лица и временно наети лица)</w:t>
            </w:r>
          </w:p>
        </w:tc>
        <w:tc>
          <w:tcPr>
            <w:tcW w:w="535" w:type="pct"/>
            <w:shd w:val="clear" w:color="auto" w:fill="auto"/>
            <w:vAlign w:val="center"/>
          </w:tcPr>
          <w:p>
            <w:pPr>
              <w:spacing w:beforeLines="20" w:before="48" w:afterLines="20" w:after="48"/>
              <w:jc w:val="center"/>
              <w:rPr>
                <w:rFonts w:eastAsia="Times New Roman"/>
                <w:noProof/>
                <w:sz w:val="20"/>
              </w:rPr>
            </w:pPr>
          </w:p>
        </w:tc>
        <w:tc>
          <w:tcPr>
            <w:tcW w:w="550" w:type="pct"/>
            <w:shd w:val="clear" w:color="auto" w:fill="auto"/>
            <w:vAlign w:val="center"/>
          </w:tcPr>
          <w:p>
            <w:pPr>
              <w:spacing w:beforeLines="20" w:before="48" w:afterLines="20" w:after="48"/>
              <w:jc w:val="center"/>
              <w:rPr>
                <w:rFonts w:eastAsia="Times New Roman"/>
                <w:noProof/>
                <w:sz w:val="20"/>
              </w:rPr>
            </w:pPr>
          </w:p>
        </w:tc>
        <w:tc>
          <w:tcPr>
            <w:tcW w:w="59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17" w:type="pct"/>
            <w:gridSpan w:val="2"/>
            <w:shd w:val="clear" w:color="auto" w:fill="auto"/>
            <w:vAlign w:val="center"/>
          </w:tcPr>
          <w:p>
            <w:pPr>
              <w:spacing w:beforeLines="20" w:before="48" w:afterLines="20" w:after="48"/>
              <w:ind w:left="984"/>
              <w:jc w:val="left"/>
              <w:rPr>
                <w:rFonts w:eastAsia="Times New Roman"/>
                <w:b/>
                <w:noProof/>
                <w:sz w:val="20"/>
              </w:rPr>
            </w:pPr>
            <w:r>
              <w:rPr>
                <w:noProof/>
                <w:sz w:val="20"/>
              </w:rPr>
              <w:t>XX 01 01 01 (Централа и представителства на Комисията)</w:t>
            </w:r>
          </w:p>
        </w:tc>
        <w:tc>
          <w:tcPr>
            <w:tcW w:w="535" w:type="pct"/>
            <w:shd w:val="clear" w:color="auto" w:fill="auto"/>
            <w:vAlign w:val="center"/>
          </w:tcPr>
          <w:p>
            <w:pPr>
              <w:spacing w:beforeLines="20" w:before="48" w:afterLines="20" w:after="48"/>
              <w:jc w:val="center"/>
              <w:rPr>
                <w:rFonts w:eastAsia="Times New Roman"/>
                <w:noProof/>
                <w:sz w:val="20"/>
              </w:rPr>
            </w:pPr>
            <w:r>
              <w:rPr>
                <w:noProof/>
                <w:sz w:val="20"/>
              </w:rPr>
              <w:t>0,5</w:t>
            </w:r>
          </w:p>
        </w:tc>
        <w:tc>
          <w:tcPr>
            <w:tcW w:w="550" w:type="pct"/>
            <w:shd w:val="clear" w:color="auto" w:fill="auto"/>
            <w:vAlign w:val="center"/>
          </w:tcPr>
          <w:p>
            <w:pPr>
              <w:spacing w:beforeLines="20" w:before="48" w:afterLines="20" w:after="48"/>
              <w:jc w:val="center"/>
              <w:rPr>
                <w:rFonts w:eastAsia="Times New Roman"/>
                <w:noProof/>
                <w:sz w:val="20"/>
              </w:rPr>
            </w:pPr>
            <w:r>
              <w:rPr>
                <w:noProof/>
                <w:sz w:val="20"/>
              </w:rPr>
              <w:t>0,5</w:t>
            </w:r>
          </w:p>
        </w:tc>
        <w:tc>
          <w:tcPr>
            <w:tcW w:w="598" w:type="pct"/>
            <w:shd w:val="clear" w:color="auto" w:fill="auto"/>
            <w:vAlign w:val="center"/>
          </w:tcPr>
          <w:p>
            <w:pPr>
              <w:spacing w:beforeLines="20" w:before="48" w:afterLines="20" w:after="48"/>
              <w:jc w:val="center"/>
              <w:rPr>
                <w:rFonts w:eastAsia="Times New Roman"/>
                <w:noProof/>
                <w:sz w:val="20"/>
              </w:rPr>
            </w:pPr>
            <w:r>
              <w:rPr>
                <w:noProof/>
                <w:sz w:val="20"/>
              </w:rPr>
              <w:t>0,5</w:t>
            </w:r>
          </w:p>
        </w:tc>
      </w:tr>
      <w:tr>
        <w:trPr>
          <w:trHeight w:val="289"/>
          <w:jc w:val="center"/>
        </w:trPr>
        <w:tc>
          <w:tcPr>
            <w:tcW w:w="3317" w:type="pct"/>
            <w:gridSpan w:val="2"/>
            <w:shd w:val="clear" w:color="auto" w:fill="auto"/>
            <w:vAlign w:val="center"/>
          </w:tcPr>
          <w:p>
            <w:pPr>
              <w:spacing w:beforeLines="20" w:before="48" w:afterLines="20" w:after="48"/>
              <w:ind w:left="984"/>
              <w:jc w:val="left"/>
              <w:rPr>
                <w:rFonts w:eastAsia="Times New Roman"/>
                <w:noProof/>
                <w:sz w:val="20"/>
              </w:rPr>
            </w:pPr>
            <w:r>
              <w:rPr>
                <w:noProof/>
                <w:sz w:val="20"/>
              </w:rPr>
              <w:t>XX 01 01 02 (Делегации)</w:t>
            </w:r>
          </w:p>
        </w:tc>
        <w:tc>
          <w:tcPr>
            <w:tcW w:w="535" w:type="pct"/>
            <w:shd w:val="clear" w:color="auto" w:fill="auto"/>
            <w:vAlign w:val="center"/>
          </w:tcPr>
          <w:p>
            <w:pPr>
              <w:spacing w:beforeLines="20" w:before="48" w:afterLines="20" w:after="48"/>
              <w:jc w:val="center"/>
              <w:rPr>
                <w:rFonts w:eastAsia="Times New Roman"/>
                <w:noProof/>
                <w:sz w:val="20"/>
              </w:rPr>
            </w:pPr>
          </w:p>
        </w:tc>
        <w:tc>
          <w:tcPr>
            <w:tcW w:w="550" w:type="pct"/>
            <w:shd w:val="clear" w:color="auto" w:fill="auto"/>
            <w:vAlign w:val="center"/>
          </w:tcPr>
          <w:p>
            <w:pPr>
              <w:spacing w:beforeLines="20" w:before="48" w:afterLines="20" w:after="48"/>
              <w:jc w:val="center"/>
              <w:rPr>
                <w:rFonts w:eastAsia="Times New Roman"/>
                <w:noProof/>
                <w:sz w:val="20"/>
              </w:rPr>
            </w:pPr>
          </w:p>
        </w:tc>
        <w:tc>
          <w:tcPr>
            <w:tcW w:w="598" w:type="pct"/>
            <w:shd w:val="clear" w:color="auto" w:fill="auto"/>
            <w:vAlign w:val="center"/>
          </w:tcPr>
          <w:p>
            <w:pPr>
              <w:spacing w:beforeLines="20" w:before="48" w:afterLines="20" w:after="48"/>
              <w:jc w:val="center"/>
              <w:rPr>
                <w:rFonts w:eastAsia="Times New Roman"/>
                <w:noProof/>
                <w:sz w:val="20"/>
              </w:rPr>
            </w:pPr>
          </w:p>
        </w:tc>
      </w:tr>
      <w:tr>
        <w:trPr>
          <w:trHeight w:val="953"/>
          <w:jc w:val="center"/>
        </w:trPr>
        <w:tc>
          <w:tcPr>
            <w:tcW w:w="3317" w:type="pct"/>
            <w:gridSpan w:val="2"/>
            <w:shd w:val="clear" w:color="auto" w:fill="auto"/>
            <w:vAlign w:val="center"/>
          </w:tcPr>
          <w:p>
            <w:pPr>
              <w:spacing w:beforeLines="20" w:before="48" w:afterLines="20" w:after="48"/>
              <w:ind w:left="984"/>
              <w:jc w:val="left"/>
              <w:rPr>
                <w:rFonts w:eastAsia="Times New Roman"/>
                <w:noProof/>
                <w:sz w:val="20"/>
              </w:rPr>
            </w:pPr>
            <w:r>
              <w:rPr>
                <w:noProof/>
                <w:sz w:val="20"/>
              </w:rPr>
              <w:t>XX 01 05 01 (Непреки научни изследвания)</w:t>
            </w:r>
          </w:p>
        </w:tc>
        <w:tc>
          <w:tcPr>
            <w:tcW w:w="535" w:type="pct"/>
            <w:shd w:val="clear" w:color="auto" w:fill="auto"/>
            <w:vAlign w:val="center"/>
          </w:tcPr>
          <w:p>
            <w:pPr>
              <w:spacing w:beforeLines="20" w:before="48" w:afterLines="20" w:after="48"/>
              <w:jc w:val="center"/>
              <w:rPr>
                <w:rFonts w:eastAsia="Times New Roman"/>
                <w:noProof/>
                <w:sz w:val="20"/>
              </w:rPr>
            </w:pPr>
          </w:p>
        </w:tc>
        <w:tc>
          <w:tcPr>
            <w:tcW w:w="550" w:type="pct"/>
            <w:shd w:val="clear" w:color="auto" w:fill="auto"/>
            <w:vAlign w:val="center"/>
          </w:tcPr>
          <w:p>
            <w:pPr>
              <w:spacing w:beforeLines="20" w:before="48" w:afterLines="20" w:after="48"/>
              <w:jc w:val="center"/>
              <w:rPr>
                <w:rFonts w:eastAsia="Times New Roman"/>
                <w:noProof/>
                <w:sz w:val="20"/>
              </w:rPr>
            </w:pPr>
          </w:p>
        </w:tc>
        <w:tc>
          <w:tcPr>
            <w:tcW w:w="59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17" w:type="pct"/>
            <w:gridSpan w:val="2"/>
            <w:shd w:val="clear" w:color="auto" w:fill="auto"/>
            <w:vAlign w:val="center"/>
          </w:tcPr>
          <w:p>
            <w:pPr>
              <w:spacing w:beforeLines="20" w:before="48" w:afterLines="20" w:after="48"/>
              <w:ind w:left="984"/>
              <w:jc w:val="left"/>
              <w:rPr>
                <w:rFonts w:eastAsia="Times New Roman"/>
                <w:noProof/>
                <w:sz w:val="20"/>
              </w:rPr>
            </w:pPr>
            <w:r>
              <w:rPr>
                <w:noProof/>
                <w:sz w:val="20"/>
              </w:rPr>
              <w:t>10 01 05 01 (Преки научни изследвания)</w:t>
            </w:r>
          </w:p>
        </w:tc>
        <w:tc>
          <w:tcPr>
            <w:tcW w:w="535" w:type="pct"/>
            <w:shd w:val="clear" w:color="auto" w:fill="auto"/>
            <w:vAlign w:val="center"/>
          </w:tcPr>
          <w:p>
            <w:pPr>
              <w:spacing w:beforeLines="20" w:before="48" w:afterLines="20" w:after="48"/>
              <w:jc w:val="center"/>
              <w:rPr>
                <w:rFonts w:eastAsia="Times New Roman"/>
                <w:noProof/>
                <w:sz w:val="20"/>
              </w:rPr>
            </w:pPr>
          </w:p>
        </w:tc>
        <w:tc>
          <w:tcPr>
            <w:tcW w:w="550" w:type="pct"/>
            <w:shd w:val="clear" w:color="auto" w:fill="auto"/>
            <w:vAlign w:val="center"/>
          </w:tcPr>
          <w:p>
            <w:pPr>
              <w:spacing w:beforeLines="20" w:before="48" w:afterLines="20" w:after="48"/>
              <w:jc w:val="center"/>
              <w:rPr>
                <w:rFonts w:eastAsia="Times New Roman"/>
                <w:noProof/>
                <w:sz w:val="20"/>
              </w:rPr>
            </w:pPr>
          </w:p>
        </w:tc>
        <w:tc>
          <w:tcPr>
            <w:tcW w:w="59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17" w:type="pct"/>
            <w:gridSpan w:val="2"/>
            <w:shd w:val="clear" w:color="auto" w:fill="auto"/>
            <w:vAlign w:val="center"/>
          </w:tcPr>
          <w:p>
            <w:pPr>
              <w:spacing w:beforeLines="20" w:before="48" w:afterLines="20" w:after="48"/>
              <w:ind w:left="984"/>
              <w:jc w:val="left"/>
              <w:rPr>
                <w:rFonts w:eastAsia="Times New Roman"/>
                <w:noProof/>
                <w:sz w:val="20"/>
              </w:rPr>
            </w:pPr>
          </w:p>
        </w:tc>
        <w:tc>
          <w:tcPr>
            <w:tcW w:w="535" w:type="pct"/>
            <w:shd w:val="clear" w:color="auto" w:fill="auto"/>
            <w:vAlign w:val="center"/>
          </w:tcPr>
          <w:p>
            <w:pPr>
              <w:spacing w:beforeLines="20" w:before="48" w:afterLines="20" w:after="48"/>
              <w:jc w:val="center"/>
              <w:rPr>
                <w:rFonts w:eastAsia="Times New Roman"/>
                <w:noProof/>
                <w:sz w:val="20"/>
              </w:rPr>
            </w:pPr>
          </w:p>
        </w:tc>
        <w:tc>
          <w:tcPr>
            <w:tcW w:w="550" w:type="pct"/>
            <w:shd w:val="clear" w:color="auto" w:fill="auto"/>
            <w:vAlign w:val="center"/>
          </w:tcPr>
          <w:p>
            <w:pPr>
              <w:spacing w:beforeLines="20" w:before="48" w:afterLines="20" w:after="48"/>
              <w:jc w:val="center"/>
              <w:rPr>
                <w:rFonts w:eastAsia="Times New Roman"/>
                <w:noProof/>
                <w:sz w:val="20"/>
              </w:rPr>
            </w:pPr>
          </w:p>
        </w:tc>
        <w:tc>
          <w:tcPr>
            <w:tcW w:w="59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17" w:type="pct"/>
            <w:gridSpan w:val="2"/>
            <w:shd w:val="clear" w:color="auto" w:fill="auto"/>
            <w:vAlign w:val="center"/>
          </w:tcPr>
          <w:p>
            <w:pPr>
              <w:spacing w:beforeLines="20" w:before="48" w:afterLines="20" w:after="48"/>
              <w:ind w:left="208" w:hanging="120"/>
              <w:jc w:val="left"/>
              <w:rPr>
                <w:rFonts w:eastAsia="Times New Roman"/>
                <w:noProof/>
                <w:sz w:val="20"/>
              </w:rPr>
            </w:pPr>
            <w:r>
              <w:rPr>
                <w:rFonts w:eastAsia="Times New Roman"/>
                <w:b/>
                <w:noProof/>
                <w:sz w:val="20"/>
              </w:rPr>
              <w:sym w:font="Wingdings" w:char="F09F"/>
            </w:r>
            <w:r>
              <w:rPr>
                <w:b/>
                <w:noProof/>
                <w:sz w:val="20"/>
              </w:rPr>
              <w:t xml:space="preserve"> Външен персонал (в еквивалент на пълно работно време: ЕПРВ)</w:t>
            </w:r>
            <w:r>
              <w:rPr>
                <w:rStyle w:val="FootnoteReference"/>
                <w:noProof/>
              </w:rPr>
              <w:footnoteReference w:id="7"/>
            </w:r>
          </w:p>
        </w:tc>
        <w:tc>
          <w:tcPr>
            <w:tcW w:w="535" w:type="pct"/>
            <w:shd w:val="clear" w:color="auto" w:fill="auto"/>
            <w:vAlign w:val="center"/>
          </w:tcPr>
          <w:p>
            <w:pPr>
              <w:spacing w:beforeLines="20" w:before="48" w:afterLines="20" w:after="48"/>
              <w:jc w:val="center"/>
              <w:rPr>
                <w:rFonts w:eastAsia="Times New Roman"/>
                <w:noProof/>
                <w:sz w:val="20"/>
              </w:rPr>
            </w:pPr>
          </w:p>
        </w:tc>
        <w:tc>
          <w:tcPr>
            <w:tcW w:w="550" w:type="pct"/>
            <w:shd w:val="clear" w:color="auto" w:fill="auto"/>
            <w:vAlign w:val="center"/>
          </w:tcPr>
          <w:p>
            <w:pPr>
              <w:spacing w:beforeLines="20" w:before="48" w:afterLines="20" w:after="48"/>
              <w:jc w:val="center"/>
              <w:rPr>
                <w:rFonts w:eastAsia="Times New Roman"/>
                <w:noProof/>
                <w:sz w:val="20"/>
              </w:rPr>
            </w:pPr>
          </w:p>
        </w:tc>
        <w:tc>
          <w:tcPr>
            <w:tcW w:w="59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17" w:type="pct"/>
            <w:gridSpan w:val="2"/>
            <w:shd w:val="clear" w:color="auto" w:fill="auto"/>
            <w:vAlign w:val="center"/>
          </w:tcPr>
          <w:p>
            <w:pPr>
              <w:spacing w:beforeLines="20" w:before="48" w:afterLines="20" w:after="48"/>
              <w:ind w:left="986"/>
              <w:jc w:val="left"/>
              <w:rPr>
                <w:rFonts w:eastAsia="Times New Roman"/>
                <w:b/>
                <w:noProof/>
                <w:sz w:val="20"/>
              </w:rPr>
            </w:pPr>
            <w:r>
              <w:rPr>
                <w:noProof/>
                <w:sz w:val="20"/>
              </w:rPr>
              <w:t>XX 01 02 01 (ДНП, КНЕ, ПНА от общия финансов пакет)</w:t>
            </w:r>
          </w:p>
        </w:tc>
        <w:tc>
          <w:tcPr>
            <w:tcW w:w="535" w:type="pct"/>
            <w:shd w:val="clear" w:color="auto" w:fill="auto"/>
            <w:vAlign w:val="center"/>
          </w:tcPr>
          <w:p>
            <w:pPr>
              <w:spacing w:beforeLines="20" w:before="48" w:afterLines="20" w:after="48"/>
              <w:jc w:val="center"/>
              <w:rPr>
                <w:rFonts w:eastAsia="Times New Roman"/>
                <w:noProof/>
                <w:sz w:val="20"/>
              </w:rPr>
            </w:pPr>
          </w:p>
        </w:tc>
        <w:tc>
          <w:tcPr>
            <w:tcW w:w="550" w:type="pct"/>
            <w:shd w:val="clear" w:color="auto" w:fill="auto"/>
            <w:vAlign w:val="center"/>
          </w:tcPr>
          <w:p>
            <w:pPr>
              <w:spacing w:beforeLines="20" w:before="48" w:afterLines="20" w:after="48"/>
              <w:jc w:val="center"/>
              <w:rPr>
                <w:rFonts w:eastAsia="Times New Roman"/>
                <w:noProof/>
                <w:sz w:val="20"/>
              </w:rPr>
            </w:pPr>
          </w:p>
        </w:tc>
        <w:tc>
          <w:tcPr>
            <w:tcW w:w="59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17" w:type="pct"/>
            <w:gridSpan w:val="2"/>
            <w:shd w:val="clear" w:color="auto" w:fill="auto"/>
            <w:vAlign w:val="center"/>
          </w:tcPr>
          <w:p>
            <w:pPr>
              <w:spacing w:beforeLines="20" w:before="48" w:afterLines="20" w:after="48"/>
              <w:ind w:left="986"/>
              <w:jc w:val="left"/>
              <w:rPr>
                <w:rFonts w:eastAsia="Times New Roman"/>
                <w:noProof/>
                <w:sz w:val="20"/>
              </w:rPr>
            </w:pPr>
            <w:r>
              <w:rPr>
                <w:noProof/>
                <w:sz w:val="20"/>
              </w:rPr>
              <w:t>XX 01 02 02 (ДНП, МП, КНЕ, ПНА и МЕД в делегациите)</w:t>
            </w:r>
          </w:p>
        </w:tc>
        <w:tc>
          <w:tcPr>
            <w:tcW w:w="535" w:type="pct"/>
            <w:shd w:val="clear" w:color="auto" w:fill="auto"/>
            <w:vAlign w:val="center"/>
          </w:tcPr>
          <w:p>
            <w:pPr>
              <w:spacing w:beforeLines="20" w:before="48" w:afterLines="20" w:after="48"/>
              <w:jc w:val="center"/>
              <w:rPr>
                <w:rFonts w:eastAsia="Times New Roman"/>
                <w:noProof/>
                <w:sz w:val="20"/>
              </w:rPr>
            </w:pPr>
          </w:p>
        </w:tc>
        <w:tc>
          <w:tcPr>
            <w:tcW w:w="550" w:type="pct"/>
            <w:shd w:val="clear" w:color="auto" w:fill="auto"/>
            <w:vAlign w:val="center"/>
          </w:tcPr>
          <w:p>
            <w:pPr>
              <w:spacing w:beforeLines="20" w:before="48" w:afterLines="20" w:after="48"/>
              <w:jc w:val="center"/>
              <w:rPr>
                <w:rFonts w:eastAsia="Times New Roman"/>
                <w:noProof/>
                <w:sz w:val="20"/>
              </w:rPr>
            </w:pPr>
          </w:p>
        </w:tc>
        <w:tc>
          <w:tcPr>
            <w:tcW w:w="59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2120" w:type="pct"/>
            <w:vMerge w:val="restart"/>
            <w:shd w:val="clear" w:color="auto" w:fill="auto"/>
            <w:vAlign w:val="center"/>
          </w:tcPr>
          <w:p>
            <w:pPr>
              <w:spacing w:beforeLines="20" w:before="48" w:afterLines="20" w:after="48"/>
              <w:ind w:left="986"/>
              <w:jc w:val="left"/>
              <w:rPr>
                <w:rFonts w:eastAsia="Times New Roman"/>
                <w:b/>
                <w:noProof/>
                <w:sz w:val="20"/>
              </w:rPr>
            </w:pPr>
            <w:r>
              <w:rPr>
                <w:b/>
                <w:noProof/>
                <w:sz w:val="20"/>
              </w:rPr>
              <w:t>XX</w:t>
            </w:r>
            <w:r>
              <w:rPr>
                <w:noProof/>
                <w:sz w:val="20"/>
              </w:rPr>
              <w:t xml:space="preserve"> 01 04 </w:t>
            </w:r>
            <w:r>
              <w:rPr>
                <w:b/>
                <w:i/>
                <w:noProof/>
                <w:sz w:val="20"/>
              </w:rPr>
              <w:t>yy</w:t>
            </w:r>
            <w:r>
              <w:rPr>
                <w:rStyle w:val="FootnoteReference"/>
                <w:noProof/>
              </w:rPr>
              <w:footnoteReference w:id="8"/>
            </w:r>
          </w:p>
        </w:tc>
        <w:tc>
          <w:tcPr>
            <w:tcW w:w="1196" w:type="pct"/>
            <w:shd w:val="clear" w:color="auto" w:fill="auto"/>
            <w:vAlign w:val="center"/>
          </w:tcPr>
          <w:p>
            <w:pPr>
              <w:spacing w:beforeLines="20" w:before="48" w:afterLines="20" w:after="48"/>
              <w:ind w:left="598"/>
              <w:jc w:val="left"/>
              <w:rPr>
                <w:rFonts w:eastAsia="Times New Roman"/>
                <w:b/>
                <w:noProof/>
                <w:sz w:val="20"/>
              </w:rPr>
            </w:pPr>
            <w:r>
              <w:rPr>
                <w:noProof/>
                <w:sz w:val="20"/>
              </w:rPr>
              <w:t>- в централата</w:t>
            </w:r>
            <w:r>
              <w:rPr>
                <w:rStyle w:val="FootnoteReference"/>
                <w:noProof/>
              </w:rPr>
              <w:footnoteReference w:id="9"/>
            </w:r>
            <w:r>
              <w:rPr>
                <w:rFonts w:eastAsia="Times New Roman"/>
                <w:noProof/>
                <w:sz w:val="20"/>
              </w:rPr>
              <w:br/>
            </w:r>
          </w:p>
        </w:tc>
        <w:tc>
          <w:tcPr>
            <w:tcW w:w="535" w:type="pct"/>
            <w:shd w:val="clear" w:color="auto" w:fill="auto"/>
            <w:vAlign w:val="center"/>
          </w:tcPr>
          <w:p>
            <w:pPr>
              <w:spacing w:beforeLines="20" w:before="48" w:afterLines="20" w:after="48"/>
              <w:ind w:left="850"/>
              <w:rPr>
                <w:rFonts w:eastAsia="Times New Roman"/>
                <w:noProof/>
                <w:sz w:val="20"/>
              </w:rPr>
            </w:pPr>
          </w:p>
        </w:tc>
        <w:tc>
          <w:tcPr>
            <w:tcW w:w="550" w:type="pct"/>
            <w:shd w:val="clear" w:color="auto" w:fill="auto"/>
            <w:vAlign w:val="center"/>
          </w:tcPr>
          <w:p>
            <w:pPr>
              <w:spacing w:beforeLines="20" w:before="48" w:afterLines="20" w:after="48"/>
              <w:jc w:val="center"/>
              <w:rPr>
                <w:rFonts w:eastAsia="Times New Roman"/>
                <w:noProof/>
                <w:sz w:val="20"/>
              </w:rPr>
            </w:pPr>
          </w:p>
        </w:tc>
        <w:tc>
          <w:tcPr>
            <w:tcW w:w="59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2120" w:type="pct"/>
            <w:vMerge/>
            <w:shd w:val="clear" w:color="auto" w:fill="auto"/>
            <w:vAlign w:val="center"/>
          </w:tcPr>
          <w:p>
            <w:pPr>
              <w:rPr>
                <w:rFonts w:eastAsia="Times New Roman"/>
                <w:b/>
                <w:noProof/>
                <w:sz w:val="20"/>
              </w:rPr>
            </w:pPr>
          </w:p>
        </w:tc>
        <w:tc>
          <w:tcPr>
            <w:tcW w:w="1196" w:type="pct"/>
            <w:shd w:val="clear" w:color="auto" w:fill="auto"/>
            <w:vAlign w:val="center"/>
          </w:tcPr>
          <w:p>
            <w:pPr>
              <w:spacing w:beforeLines="20" w:before="48" w:afterLines="20" w:after="48"/>
              <w:ind w:left="598"/>
              <w:jc w:val="left"/>
              <w:rPr>
                <w:rFonts w:eastAsia="Times New Roman"/>
                <w:b/>
                <w:noProof/>
                <w:sz w:val="20"/>
              </w:rPr>
            </w:pPr>
            <w:r>
              <w:rPr>
                <w:noProof/>
                <w:sz w:val="20"/>
              </w:rPr>
              <w:t xml:space="preserve">- в делегациите </w:t>
            </w:r>
          </w:p>
        </w:tc>
        <w:tc>
          <w:tcPr>
            <w:tcW w:w="535" w:type="pct"/>
            <w:shd w:val="clear" w:color="auto" w:fill="auto"/>
            <w:vAlign w:val="center"/>
          </w:tcPr>
          <w:p>
            <w:pPr>
              <w:spacing w:beforeLines="20" w:before="48" w:afterLines="20" w:after="48"/>
              <w:ind w:left="850"/>
              <w:rPr>
                <w:rFonts w:eastAsia="Times New Roman"/>
                <w:noProof/>
                <w:sz w:val="20"/>
              </w:rPr>
            </w:pPr>
          </w:p>
        </w:tc>
        <w:tc>
          <w:tcPr>
            <w:tcW w:w="550" w:type="pct"/>
            <w:shd w:val="clear" w:color="auto" w:fill="auto"/>
            <w:vAlign w:val="center"/>
          </w:tcPr>
          <w:p>
            <w:pPr>
              <w:spacing w:beforeLines="20" w:before="48" w:afterLines="20" w:after="48"/>
              <w:jc w:val="center"/>
              <w:rPr>
                <w:rFonts w:eastAsia="Times New Roman"/>
                <w:noProof/>
                <w:sz w:val="20"/>
              </w:rPr>
            </w:pPr>
          </w:p>
        </w:tc>
        <w:tc>
          <w:tcPr>
            <w:tcW w:w="59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17" w:type="pct"/>
            <w:gridSpan w:val="2"/>
            <w:shd w:val="clear" w:color="auto" w:fill="auto"/>
            <w:vAlign w:val="center"/>
          </w:tcPr>
          <w:p>
            <w:pPr>
              <w:spacing w:beforeLines="20" w:before="48" w:afterLines="20" w:after="48"/>
              <w:ind w:left="986"/>
              <w:jc w:val="left"/>
              <w:rPr>
                <w:rFonts w:eastAsia="Times New Roman"/>
                <w:noProof/>
                <w:sz w:val="20"/>
              </w:rPr>
            </w:pPr>
            <w:r>
              <w:rPr>
                <w:b/>
                <w:noProof/>
              </w:rPr>
              <w:t>XX</w:t>
            </w:r>
            <w:r>
              <w:rPr>
                <w:noProof/>
              </w:rPr>
              <w:t xml:space="preserve"> 01 05 02 (ДНП, КНЕ, ПНА — Непреки научни изследвания)</w:t>
            </w:r>
          </w:p>
        </w:tc>
        <w:tc>
          <w:tcPr>
            <w:tcW w:w="535" w:type="pct"/>
            <w:shd w:val="clear" w:color="auto" w:fill="auto"/>
            <w:vAlign w:val="center"/>
          </w:tcPr>
          <w:p>
            <w:pPr>
              <w:spacing w:beforeLines="20" w:before="48" w:afterLines="20" w:after="48"/>
              <w:jc w:val="center"/>
              <w:rPr>
                <w:rFonts w:eastAsia="Times New Roman"/>
                <w:noProof/>
                <w:sz w:val="20"/>
              </w:rPr>
            </w:pPr>
          </w:p>
        </w:tc>
        <w:tc>
          <w:tcPr>
            <w:tcW w:w="550" w:type="pct"/>
            <w:shd w:val="clear" w:color="auto" w:fill="auto"/>
            <w:vAlign w:val="center"/>
          </w:tcPr>
          <w:p>
            <w:pPr>
              <w:spacing w:beforeLines="20" w:before="48" w:afterLines="20" w:after="48"/>
              <w:jc w:val="center"/>
              <w:rPr>
                <w:rFonts w:eastAsia="Times New Roman"/>
                <w:noProof/>
                <w:sz w:val="20"/>
              </w:rPr>
            </w:pPr>
          </w:p>
        </w:tc>
        <w:tc>
          <w:tcPr>
            <w:tcW w:w="59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17" w:type="pct"/>
            <w:gridSpan w:val="2"/>
            <w:shd w:val="clear" w:color="auto" w:fill="auto"/>
            <w:vAlign w:val="center"/>
          </w:tcPr>
          <w:p>
            <w:pPr>
              <w:spacing w:beforeLines="20" w:before="48" w:afterLines="20" w:after="48"/>
              <w:ind w:left="986"/>
              <w:jc w:val="left"/>
              <w:rPr>
                <w:rFonts w:eastAsia="Times New Roman"/>
                <w:noProof/>
                <w:sz w:val="20"/>
              </w:rPr>
            </w:pPr>
            <w:r>
              <w:rPr>
                <w:noProof/>
                <w:sz w:val="20"/>
              </w:rPr>
              <w:t>10 01 05 02 (ДНП, КНЕ, ПНА — Преки научни изследвания)</w:t>
            </w:r>
          </w:p>
        </w:tc>
        <w:tc>
          <w:tcPr>
            <w:tcW w:w="535" w:type="pct"/>
            <w:shd w:val="clear" w:color="auto" w:fill="auto"/>
            <w:vAlign w:val="center"/>
          </w:tcPr>
          <w:p>
            <w:pPr>
              <w:spacing w:beforeLines="20" w:before="48" w:afterLines="20" w:after="48"/>
              <w:jc w:val="center"/>
              <w:rPr>
                <w:rFonts w:eastAsia="Times New Roman"/>
                <w:noProof/>
                <w:sz w:val="20"/>
              </w:rPr>
            </w:pPr>
          </w:p>
        </w:tc>
        <w:tc>
          <w:tcPr>
            <w:tcW w:w="550" w:type="pct"/>
            <w:shd w:val="clear" w:color="auto" w:fill="auto"/>
            <w:vAlign w:val="center"/>
          </w:tcPr>
          <w:p>
            <w:pPr>
              <w:spacing w:beforeLines="20" w:before="48" w:afterLines="20" w:after="48"/>
              <w:jc w:val="center"/>
              <w:rPr>
                <w:rFonts w:eastAsia="Times New Roman"/>
                <w:noProof/>
                <w:sz w:val="20"/>
              </w:rPr>
            </w:pPr>
          </w:p>
        </w:tc>
        <w:tc>
          <w:tcPr>
            <w:tcW w:w="598" w:type="pct"/>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17" w:type="pct"/>
            <w:gridSpan w:val="2"/>
            <w:tcBorders>
              <w:bottom w:val="double" w:sz="4" w:space="0" w:color="auto"/>
            </w:tcBorders>
            <w:shd w:val="clear" w:color="auto" w:fill="auto"/>
            <w:vAlign w:val="center"/>
          </w:tcPr>
          <w:p>
            <w:pPr>
              <w:spacing w:beforeLines="20" w:before="48" w:afterLines="20" w:after="48"/>
              <w:ind w:left="984"/>
              <w:jc w:val="left"/>
              <w:rPr>
                <w:rFonts w:eastAsia="Times New Roman"/>
                <w:noProof/>
                <w:sz w:val="20"/>
              </w:rPr>
            </w:pPr>
            <w:r>
              <w:rPr>
                <w:noProof/>
                <w:sz w:val="20"/>
              </w:rPr>
              <w:t>Други бюджетни редове (да се посочат)</w:t>
            </w:r>
          </w:p>
        </w:tc>
        <w:tc>
          <w:tcPr>
            <w:tcW w:w="535" w:type="pct"/>
            <w:tcBorders>
              <w:bottom w:val="double" w:sz="4" w:space="0" w:color="auto"/>
            </w:tcBorders>
            <w:shd w:val="clear" w:color="auto" w:fill="auto"/>
            <w:vAlign w:val="center"/>
          </w:tcPr>
          <w:p>
            <w:pPr>
              <w:spacing w:beforeLines="20" w:before="48" w:afterLines="20" w:after="48"/>
              <w:jc w:val="center"/>
              <w:rPr>
                <w:rFonts w:eastAsia="Times New Roman"/>
                <w:noProof/>
                <w:sz w:val="20"/>
              </w:rPr>
            </w:pPr>
          </w:p>
        </w:tc>
        <w:tc>
          <w:tcPr>
            <w:tcW w:w="550" w:type="pct"/>
            <w:tcBorders>
              <w:bottom w:val="double" w:sz="4" w:space="0" w:color="auto"/>
            </w:tcBorders>
            <w:shd w:val="clear" w:color="auto" w:fill="auto"/>
            <w:vAlign w:val="center"/>
          </w:tcPr>
          <w:p>
            <w:pPr>
              <w:spacing w:beforeLines="20" w:before="48" w:afterLines="20" w:after="48"/>
              <w:jc w:val="center"/>
              <w:rPr>
                <w:rFonts w:eastAsia="Times New Roman"/>
                <w:noProof/>
                <w:sz w:val="20"/>
              </w:rPr>
            </w:pPr>
          </w:p>
        </w:tc>
        <w:tc>
          <w:tcPr>
            <w:tcW w:w="598" w:type="pct"/>
            <w:tcBorders>
              <w:bottom w:val="double" w:sz="4" w:space="0" w:color="auto"/>
            </w:tcBorders>
            <w:shd w:val="clear" w:color="auto" w:fill="auto"/>
            <w:vAlign w:val="center"/>
          </w:tcPr>
          <w:p>
            <w:pPr>
              <w:spacing w:beforeLines="20" w:before="48" w:afterLines="20" w:after="48"/>
              <w:jc w:val="center"/>
              <w:rPr>
                <w:rFonts w:eastAsia="Times New Roman"/>
                <w:noProof/>
                <w:sz w:val="20"/>
              </w:rPr>
            </w:pPr>
          </w:p>
        </w:tc>
      </w:tr>
      <w:tr>
        <w:trPr>
          <w:trHeight w:val="289"/>
          <w:jc w:val="center"/>
        </w:trPr>
        <w:tc>
          <w:tcPr>
            <w:tcW w:w="3317" w:type="pct"/>
            <w:gridSpan w:val="2"/>
            <w:tcBorders>
              <w:top w:val="double" w:sz="4" w:space="0" w:color="auto"/>
            </w:tcBorders>
            <w:shd w:val="clear" w:color="auto" w:fill="auto"/>
            <w:vAlign w:val="center"/>
          </w:tcPr>
          <w:p>
            <w:pPr>
              <w:spacing w:beforeLines="20" w:before="48" w:afterLines="20" w:after="48"/>
              <w:ind w:left="986"/>
              <w:jc w:val="left"/>
              <w:rPr>
                <w:rFonts w:eastAsia="Times New Roman"/>
                <w:noProof/>
                <w:sz w:val="20"/>
              </w:rPr>
            </w:pPr>
            <w:r>
              <w:rPr>
                <w:b/>
                <w:noProof/>
                <w:sz w:val="20"/>
              </w:rPr>
              <w:t>ОБЩО</w:t>
            </w:r>
          </w:p>
        </w:tc>
        <w:tc>
          <w:tcPr>
            <w:tcW w:w="535" w:type="pct"/>
            <w:tcBorders>
              <w:top w:val="double" w:sz="4" w:space="0" w:color="auto"/>
            </w:tcBorders>
            <w:shd w:val="clear" w:color="auto" w:fill="auto"/>
            <w:vAlign w:val="center"/>
          </w:tcPr>
          <w:p>
            <w:pPr>
              <w:spacing w:beforeLines="20" w:before="48" w:afterLines="20" w:after="48"/>
              <w:jc w:val="center"/>
              <w:rPr>
                <w:rFonts w:eastAsia="Times New Roman"/>
                <w:b/>
                <w:noProof/>
                <w:sz w:val="20"/>
              </w:rPr>
            </w:pPr>
            <w:r>
              <w:rPr>
                <w:noProof/>
                <w:sz w:val="20"/>
              </w:rPr>
              <w:t>0,5</w:t>
            </w:r>
          </w:p>
        </w:tc>
        <w:tc>
          <w:tcPr>
            <w:tcW w:w="550" w:type="pct"/>
            <w:tcBorders>
              <w:top w:val="double" w:sz="4" w:space="0" w:color="auto"/>
            </w:tcBorders>
            <w:shd w:val="clear" w:color="auto" w:fill="auto"/>
            <w:vAlign w:val="center"/>
          </w:tcPr>
          <w:p>
            <w:pPr>
              <w:spacing w:beforeLines="20" w:before="48" w:afterLines="20" w:after="48"/>
              <w:jc w:val="center"/>
              <w:rPr>
                <w:rFonts w:eastAsia="Times New Roman"/>
                <w:b/>
                <w:noProof/>
                <w:sz w:val="20"/>
              </w:rPr>
            </w:pPr>
            <w:r>
              <w:rPr>
                <w:noProof/>
                <w:sz w:val="20"/>
              </w:rPr>
              <w:t>0,5</w:t>
            </w:r>
          </w:p>
        </w:tc>
        <w:tc>
          <w:tcPr>
            <w:tcW w:w="598" w:type="pct"/>
            <w:tcBorders>
              <w:top w:val="double" w:sz="4" w:space="0" w:color="auto"/>
            </w:tcBorders>
            <w:shd w:val="clear" w:color="auto" w:fill="auto"/>
            <w:vAlign w:val="center"/>
          </w:tcPr>
          <w:p>
            <w:pPr>
              <w:spacing w:beforeLines="20" w:before="48" w:afterLines="20" w:after="48"/>
              <w:jc w:val="center"/>
              <w:rPr>
                <w:rFonts w:eastAsia="Times New Roman"/>
                <w:b/>
                <w:noProof/>
                <w:sz w:val="20"/>
              </w:rPr>
            </w:pPr>
            <w:r>
              <w:rPr>
                <w:noProof/>
                <w:sz w:val="20"/>
              </w:rPr>
              <w:t>0,5</w:t>
            </w:r>
          </w:p>
        </w:tc>
      </w:tr>
    </w:tbl>
    <w:p>
      <w:pPr>
        <w:spacing w:before="60" w:after="60"/>
        <w:ind w:left="567"/>
        <w:rPr>
          <w:rFonts w:eastAsia="Times New Roman"/>
          <w:noProof/>
        </w:rPr>
      </w:pPr>
      <w:r>
        <w:rPr>
          <w:b/>
          <w:noProof/>
        </w:rPr>
        <w:t>XX</w:t>
      </w:r>
      <w:r>
        <w:rPr>
          <w:noProof/>
        </w:rPr>
        <w:t xml:space="preserve"> е съответната област на политиката или бюджетен дял.</w:t>
      </w:r>
    </w:p>
    <w:p>
      <w:pPr>
        <w:ind w:left="567"/>
        <w:rPr>
          <w:rFonts w:eastAsia="Times New Roman"/>
          <w:noProof/>
          <w:sz w:val="22"/>
        </w:rPr>
      </w:pPr>
      <w:r>
        <w:rPr>
          <w:noProof/>
          <w:sz w:val="22"/>
        </w:rPr>
        <w:t xml:space="preserve">Нуждите от човешки ресурси ще бъдат покрити от </w:t>
      </w:r>
      <w:r>
        <w:rPr>
          <w:b/>
          <w:noProof/>
          <w:sz w:val="22"/>
        </w:rPr>
        <w:t>персонала на генералните дирекции, на който вече е възложено управлението на дейността и/или който е преразпределен в рамките на генералните дирекции</w:t>
      </w:r>
      <w:r>
        <w:rPr>
          <w:noProof/>
          <w:sz w:val="22"/>
        </w:rPr>
        <w:t>, при необходимост заедно с всички допълнителни отпуснати ресурси, които могат да бъдат предоставени на управляващите генерални дирекции в рамките на годишната процедура за отпускане на средства и като се имат предвид бюджетните ограничения.</w:t>
      </w:r>
    </w:p>
    <w:p>
      <w:pPr>
        <w:rPr>
          <w:rFonts w:eastAsia="Times New Roman"/>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rFonts w:eastAsia="Times New Roman"/>
                <w:noProof/>
                <w:sz w:val="20"/>
              </w:rPr>
            </w:pPr>
            <w:r>
              <w:rPr>
                <w:noProof/>
                <w:sz w:val="20"/>
              </w:rPr>
              <w:t>Длъжностни лица и временно наети лица</w:t>
            </w:r>
          </w:p>
        </w:tc>
        <w:tc>
          <w:tcPr>
            <w:tcW w:w="7200" w:type="dxa"/>
          </w:tcPr>
          <w:p>
            <w:pPr>
              <w:rPr>
                <w:rFonts w:eastAsia="Times New Roman"/>
                <w:noProof/>
                <w:sz w:val="20"/>
              </w:rPr>
            </w:pPr>
            <w:r>
              <w:rPr>
                <w:noProof/>
                <w:sz w:val="20"/>
              </w:rPr>
              <w:t>Задачи от административно, финансово и правно естество, свързани с участието на Република Албания като наблюдател в работата на Агенцията</w:t>
            </w:r>
          </w:p>
        </w:tc>
      </w:tr>
      <w:tr>
        <w:tc>
          <w:tcPr>
            <w:tcW w:w="3240" w:type="dxa"/>
          </w:tcPr>
          <w:p>
            <w:pPr>
              <w:spacing w:before="60" w:after="60"/>
              <w:rPr>
                <w:rFonts w:eastAsia="Times New Roman"/>
                <w:noProof/>
                <w:sz w:val="20"/>
              </w:rPr>
            </w:pPr>
            <w:r>
              <w:rPr>
                <w:noProof/>
                <w:sz w:val="20"/>
              </w:rPr>
              <w:t>Външен персонал</w:t>
            </w:r>
          </w:p>
        </w:tc>
        <w:tc>
          <w:tcPr>
            <w:tcW w:w="7200" w:type="dxa"/>
          </w:tcPr>
          <w:p>
            <w:pPr>
              <w:rPr>
                <w:rFonts w:eastAsia="Times New Roman"/>
                <w:noProof/>
                <w:sz w:val="20"/>
              </w:rPr>
            </w:pPr>
            <w:r>
              <w:rPr>
                <w:noProof/>
                <w:sz w:val="20"/>
              </w:rPr>
              <w:t>Не е приложимо.</w:t>
            </w:r>
          </w:p>
        </w:tc>
      </w:tr>
    </w:tbl>
    <w:p>
      <w:pPr>
        <w:pStyle w:val="Heading3"/>
        <w:rPr>
          <w:noProof/>
        </w:rPr>
      </w:pPr>
      <w:r>
        <w:rPr>
          <w:noProof/>
        </w:rPr>
        <w:t xml:space="preserve">Съвместимост с настоящата многогодишна финансова рамка </w:t>
      </w:r>
    </w:p>
    <w:p>
      <w:pPr>
        <w:ind w:left="1134"/>
        <w:rPr>
          <w:rFonts w:eastAsia="Times New Roman"/>
          <w:noProof/>
        </w:rPr>
      </w:pPr>
      <w:r>
        <w:rPr>
          <w:noProof/>
        </w:rPr>
        <w:t>Предложението/инициативата е съвместимо(а) с настоящата многогодишна финансова рамка.</w:t>
      </w:r>
    </w:p>
    <w:p>
      <w:pPr>
        <w:pStyle w:val="Heading3"/>
        <w:rPr>
          <w:noProof/>
        </w:rPr>
      </w:pPr>
      <w:r>
        <w:rPr>
          <w:noProof/>
        </w:rPr>
        <w:t xml:space="preserve">Участие на трети страни във финансирането </w:t>
      </w:r>
    </w:p>
    <w:p>
      <w:pPr>
        <w:ind w:left="1134"/>
        <w:rPr>
          <w:rFonts w:eastAsia="Times New Roman"/>
          <w:noProof/>
        </w:rPr>
      </w:pPr>
      <w:r>
        <w:rPr>
          <w:noProof/>
        </w:rPr>
        <w:t>Предложението/инициативата предвижда съфинансиране съгласно следните прогнози:</w:t>
      </w:r>
    </w:p>
    <w:p>
      <w:pPr>
        <w:jc w:val="right"/>
        <w:rPr>
          <w:rFonts w:eastAsia="Times New Roman"/>
          <w:noProof/>
          <w:sz w:val="20"/>
        </w:rPr>
      </w:pPr>
      <w:r>
        <w:rPr>
          <w:noProof/>
          <w:sz w:val="20"/>
        </w:rPr>
        <w:t>млн. EUR (до третия знак след десетичната запетая)</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1158"/>
      </w:tblGrid>
      <w:tr>
        <w:trPr>
          <w:cantSplit/>
        </w:trPr>
        <w:tc>
          <w:tcPr>
            <w:tcW w:w="2340" w:type="dxa"/>
          </w:tcPr>
          <w:p>
            <w:pPr>
              <w:spacing w:before="60" w:after="60"/>
              <w:rPr>
                <w:rFonts w:eastAsia="Times New Roman"/>
                <w:noProof/>
                <w:sz w:val="20"/>
              </w:rPr>
            </w:pPr>
          </w:p>
        </w:tc>
        <w:tc>
          <w:tcPr>
            <w:tcW w:w="964" w:type="dxa"/>
            <w:vAlign w:val="center"/>
          </w:tcPr>
          <w:p>
            <w:pPr>
              <w:jc w:val="center"/>
              <w:rPr>
                <w:noProof/>
                <w:sz w:val="18"/>
                <w:szCs w:val="18"/>
              </w:rPr>
            </w:pPr>
            <w:r>
              <w:rPr>
                <w:noProof/>
                <w:sz w:val="18"/>
                <w:szCs w:val="18"/>
              </w:rPr>
              <w:t>Година</w:t>
            </w:r>
            <w:r>
              <w:rPr>
                <w:noProof/>
                <w:sz w:val="18"/>
                <w:szCs w:val="18"/>
              </w:rPr>
              <w:br/>
            </w:r>
            <w:r>
              <w:rPr>
                <w:b/>
                <w:noProof/>
                <w:sz w:val="18"/>
                <w:szCs w:val="18"/>
              </w:rPr>
              <w:t>1</w:t>
            </w:r>
          </w:p>
        </w:tc>
        <w:tc>
          <w:tcPr>
            <w:tcW w:w="964" w:type="dxa"/>
            <w:vAlign w:val="center"/>
          </w:tcPr>
          <w:p>
            <w:pPr>
              <w:jc w:val="center"/>
              <w:rPr>
                <w:noProof/>
                <w:sz w:val="18"/>
                <w:szCs w:val="18"/>
              </w:rPr>
            </w:pPr>
            <w:r>
              <w:rPr>
                <w:noProof/>
                <w:sz w:val="18"/>
                <w:szCs w:val="18"/>
              </w:rPr>
              <w:t>Година</w:t>
            </w:r>
            <w:r>
              <w:rPr>
                <w:noProof/>
                <w:sz w:val="18"/>
                <w:szCs w:val="18"/>
              </w:rPr>
              <w:br/>
            </w:r>
            <w:r>
              <w:rPr>
                <w:b/>
                <w:noProof/>
                <w:sz w:val="18"/>
                <w:szCs w:val="18"/>
              </w:rPr>
              <w:t>2</w:t>
            </w:r>
          </w:p>
        </w:tc>
        <w:tc>
          <w:tcPr>
            <w:tcW w:w="964" w:type="dxa"/>
            <w:vAlign w:val="center"/>
          </w:tcPr>
          <w:p>
            <w:pPr>
              <w:jc w:val="center"/>
              <w:rPr>
                <w:noProof/>
                <w:sz w:val="18"/>
                <w:szCs w:val="18"/>
              </w:rPr>
            </w:pPr>
            <w:r>
              <w:rPr>
                <w:noProof/>
                <w:sz w:val="18"/>
                <w:szCs w:val="18"/>
              </w:rPr>
              <w:t>Година</w:t>
            </w:r>
            <w:r>
              <w:rPr>
                <w:noProof/>
                <w:sz w:val="18"/>
                <w:szCs w:val="18"/>
              </w:rPr>
              <w:br/>
            </w:r>
            <w:r>
              <w:rPr>
                <w:b/>
                <w:noProof/>
                <w:sz w:val="18"/>
                <w:szCs w:val="18"/>
              </w:rPr>
              <w:t>3</w:t>
            </w:r>
          </w:p>
        </w:tc>
        <w:tc>
          <w:tcPr>
            <w:tcW w:w="1158" w:type="dxa"/>
            <w:vAlign w:val="center"/>
          </w:tcPr>
          <w:p>
            <w:pPr>
              <w:spacing w:before="60" w:after="60"/>
              <w:jc w:val="center"/>
              <w:rPr>
                <w:rFonts w:eastAsia="Times New Roman"/>
                <w:noProof/>
                <w:sz w:val="20"/>
              </w:rPr>
            </w:pPr>
            <w:r>
              <w:rPr>
                <w:noProof/>
                <w:sz w:val="20"/>
              </w:rPr>
              <w:t>Общо</w:t>
            </w:r>
          </w:p>
        </w:tc>
      </w:tr>
      <w:tr>
        <w:trPr>
          <w:cantSplit/>
        </w:trPr>
        <w:tc>
          <w:tcPr>
            <w:tcW w:w="2340" w:type="dxa"/>
          </w:tcPr>
          <w:p>
            <w:pPr>
              <w:rPr>
                <w:rFonts w:eastAsia="Times New Roman"/>
                <w:noProof/>
              </w:rPr>
            </w:pPr>
            <w:r>
              <w:rPr>
                <w:noProof/>
                <w:sz w:val="20"/>
              </w:rPr>
              <w:t xml:space="preserve">Република Албания </w:t>
            </w:r>
            <w:r>
              <w:rPr>
                <w:i/>
                <w:noProof/>
                <w:sz w:val="20"/>
              </w:rPr>
              <w:t xml:space="preserve"> </w:t>
            </w:r>
          </w:p>
        </w:tc>
        <w:tc>
          <w:tcPr>
            <w:tcW w:w="964" w:type="dxa"/>
            <w:vAlign w:val="center"/>
          </w:tcPr>
          <w:p>
            <w:pPr>
              <w:spacing w:before="60" w:after="60"/>
              <w:jc w:val="center"/>
              <w:rPr>
                <w:rFonts w:eastAsia="Times New Roman"/>
                <w:noProof/>
                <w:sz w:val="20"/>
              </w:rPr>
            </w:pPr>
            <w:r>
              <w:rPr>
                <w:noProof/>
                <w:sz w:val="20"/>
              </w:rPr>
              <w:t>0,160</w:t>
            </w:r>
          </w:p>
        </w:tc>
        <w:tc>
          <w:tcPr>
            <w:tcW w:w="964" w:type="dxa"/>
            <w:vAlign w:val="center"/>
          </w:tcPr>
          <w:p>
            <w:pPr>
              <w:spacing w:before="60" w:after="60"/>
              <w:jc w:val="center"/>
              <w:rPr>
                <w:rFonts w:eastAsia="Times New Roman"/>
                <w:noProof/>
                <w:sz w:val="20"/>
              </w:rPr>
            </w:pPr>
            <w:r>
              <w:rPr>
                <w:noProof/>
                <w:sz w:val="20"/>
              </w:rPr>
              <w:t>0,163</w:t>
            </w:r>
          </w:p>
        </w:tc>
        <w:tc>
          <w:tcPr>
            <w:tcW w:w="964" w:type="dxa"/>
            <w:vAlign w:val="center"/>
          </w:tcPr>
          <w:p>
            <w:pPr>
              <w:spacing w:before="60" w:after="60"/>
              <w:jc w:val="center"/>
              <w:rPr>
                <w:rFonts w:eastAsia="Times New Roman"/>
                <w:noProof/>
                <w:sz w:val="20"/>
              </w:rPr>
            </w:pPr>
            <w:r>
              <w:rPr>
                <w:noProof/>
                <w:sz w:val="20"/>
              </w:rPr>
              <w:t>0,166</w:t>
            </w:r>
          </w:p>
        </w:tc>
        <w:tc>
          <w:tcPr>
            <w:tcW w:w="1158" w:type="dxa"/>
            <w:vAlign w:val="center"/>
          </w:tcPr>
          <w:p>
            <w:pPr>
              <w:spacing w:before="60" w:after="60"/>
              <w:jc w:val="center"/>
              <w:rPr>
                <w:rFonts w:eastAsia="Times New Roman"/>
                <w:noProof/>
                <w:sz w:val="20"/>
              </w:rPr>
            </w:pPr>
            <w:r>
              <w:rPr>
                <w:noProof/>
                <w:sz w:val="20"/>
              </w:rPr>
              <w:t>0,489</w:t>
            </w:r>
          </w:p>
        </w:tc>
      </w:tr>
      <w:tr>
        <w:trPr>
          <w:cantSplit/>
        </w:trPr>
        <w:tc>
          <w:tcPr>
            <w:tcW w:w="2340" w:type="dxa"/>
          </w:tcPr>
          <w:p>
            <w:pPr>
              <w:spacing w:before="60" w:after="60"/>
              <w:rPr>
                <w:rFonts w:eastAsia="Times New Roman"/>
                <w:noProof/>
                <w:sz w:val="20"/>
              </w:rPr>
            </w:pPr>
            <w:r>
              <w:rPr>
                <w:noProof/>
                <w:sz w:val="20"/>
              </w:rPr>
              <w:t xml:space="preserve">ОБЩО съфинансирани бюджетни кредити </w:t>
            </w:r>
          </w:p>
        </w:tc>
        <w:tc>
          <w:tcPr>
            <w:tcW w:w="964" w:type="dxa"/>
            <w:vAlign w:val="center"/>
          </w:tcPr>
          <w:p>
            <w:pPr>
              <w:spacing w:before="60" w:after="60"/>
              <w:jc w:val="center"/>
              <w:rPr>
                <w:rFonts w:eastAsia="Times New Roman"/>
                <w:noProof/>
                <w:sz w:val="20"/>
              </w:rPr>
            </w:pPr>
            <w:r>
              <w:rPr>
                <w:noProof/>
                <w:sz w:val="20"/>
              </w:rPr>
              <w:t>0,160</w:t>
            </w:r>
          </w:p>
        </w:tc>
        <w:tc>
          <w:tcPr>
            <w:tcW w:w="964" w:type="dxa"/>
            <w:vAlign w:val="center"/>
          </w:tcPr>
          <w:p>
            <w:pPr>
              <w:spacing w:before="60" w:after="60"/>
              <w:jc w:val="center"/>
              <w:rPr>
                <w:rFonts w:eastAsia="Times New Roman"/>
                <w:noProof/>
                <w:sz w:val="20"/>
              </w:rPr>
            </w:pPr>
            <w:r>
              <w:rPr>
                <w:noProof/>
                <w:sz w:val="20"/>
              </w:rPr>
              <w:t>0,163</w:t>
            </w:r>
          </w:p>
        </w:tc>
        <w:tc>
          <w:tcPr>
            <w:tcW w:w="964" w:type="dxa"/>
            <w:vAlign w:val="center"/>
          </w:tcPr>
          <w:p>
            <w:pPr>
              <w:spacing w:before="60" w:after="60"/>
              <w:jc w:val="center"/>
              <w:rPr>
                <w:rFonts w:eastAsia="Times New Roman"/>
                <w:noProof/>
                <w:sz w:val="20"/>
              </w:rPr>
            </w:pPr>
            <w:r>
              <w:rPr>
                <w:noProof/>
                <w:sz w:val="20"/>
              </w:rPr>
              <w:t>0,166</w:t>
            </w:r>
          </w:p>
        </w:tc>
        <w:tc>
          <w:tcPr>
            <w:tcW w:w="1158" w:type="dxa"/>
            <w:vAlign w:val="center"/>
          </w:tcPr>
          <w:p>
            <w:pPr>
              <w:spacing w:before="60" w:after="60"/>
              <w:jc w:val="center"/>
              <w:rPr>
                <w:rFonts w:eastAsia="Times New Roman"/>
                <w:noProof/>
                <w:sz w:val="20"/>
              </w:rPr>
            </w:pPr>
            <w:r>
              <w:rPr>
                <w:noProof/>
                <w:sz w:val="20"/>
              </w:rPr>
              <w:t>0,489</w:t>
            </w:r>
          </w:p>
        </w:tc>
      </w:tr>
    </w:tbl>
    <w:p>
      <w:pPr>
        <w:pStyle w:val="Heading2"/>
        <w:rPr>
          <w:rFonts w:eastAsia="Times New Roman"/>
          <w:noProof/>
          <w:szCs w:val="24"/>
        </w:rPr>
      </w:pPr>
      <w:r>
        <w:rPr>
          <w:noProof/>
        </w:rPr>
        <w:t xml:space="preserve">Очаквано отражение върху приходите </w:t>
      </w:r>
    </w:p>
    <w:p>
      <w:pPr>
        <w:ind w:firstLine="720"/>
        <w:rPr>
          <w:rFonts w:eastAsia="Times New Roman"/>
          <w:noProof/>
        </w:rPr>
      </w:pPr>
      <w:r>
        <w:rPr>
          <w:noProof/>
        </w:rPr>
        <w:t>Предложението/инициативата има следното финансово отражение:</w:t>
      </w:r>
    </w:p>
    <w:p>
      <w:pPr>
        <w:numPr>
          <w:ilvl w:val="2"/>
          <w:numId w:val="0"/>
        </w:numPr>
        <w:tabs>
          <w:tab w:val="num" w:pos="2126"/>
        </w:tabs>
        <w:ind w:left="2126" w:hanging="709"/>
        <w:rPr>
          <w:rFonts w:eastAsia="Times New Roman"/>
          <w:noProof/>
        </w:rPr>
      </w:pPr>
      <w:r>
        <w:rPr>
          <w:rFonts w:eastAsia="Times New Roman"/>
          <w:noProof/>
        </w:rPr>
        <w:sym w:font="Wingdings" w:char="F0A8"/>
      </w:r>
      <w:r>
        <w:rPr>
          <w:noProof/>
        </w:rPr>
        <w:tab/>
        <w:t xml:space="preserve">върху собствените ресурси </w:t>
      </w:r>
    </w:p>
    <w:p>
      <w:pPr>
        <w:numPr>
          <w:ilvl w:val="2"/>
          <w:numId w:val="0"/>
        </w:numPr>
        <w:tabs>
          <w:tab w:val="num" w:pos="2126"/>
        </w:tabs>
        <w:ind w:left="2126" w:hanging="709"/>
        <w:rPr>
          <w:rFonts w:eastAsia="Times New Roman"/>
          <w:noProof/>
        </w:rPr>
      </w:pPr>
      <w:r>
        <w:rPr>
          <w:rFonts w:eastAsia="Times New Roman"/>
          <w:noProof/>
        </w:rPr>
        <w:sym w:font="Wingdings" w:char="F078"/>
      </w:r>
      <w:r>
        <w:rPr>
          <w:noProof/>
        </w:rPr>
        <w:tab/>
        <w:t xml:space="preserve">върху разните приходи </w:t>
      </w:r>
    </w:p>
    <w:p>
      <w:pPr>
        <w:jc w:val="right"/>
        <w:rPr>
          <w:rFonts w:eastAsia="Times New Roman"/>
          <w:i/>
          <w:noProof/>
          <w:sz w:val="20"/>
        </w:rPr>
      </w:pPr>
      <w:r>
        <w:rPr>
          <w:noProof/>
          <w:sz w:val="20"/>
        </w:rPr>
        <w:t>млн. EUR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4320"/>
      </w:tblGrid>
      <w:tr>
        <w:trPr>
          <w:trHeight w:val="388"/>
        </w:trPr>
        <w:tc>
          <w:tcPr>
            <w:tcW w:w="2144" w:type="dxa"/>
            <w:vMerge w:val="restart"/>
            <w:vAlign w:val="center"/>
          </w:tcPr>
          <w:p>
            <w:pPr>
              <w:spacing w:before="40" w:after="40"/>
              <w:rPr>
                <w:rFonts w:eastAsia="Times New Roman"/>
                <w:noProof/>
                <w:sz w:val="18"/>
              </w:rPr>
            </w:pPr>
            <w:r>
              <w:rPr>
                <w:noProof/>
                <w:sz w:val="18"/>
              </w:rPr>
              <w:t>Приходен бюджетен ред:</w:t>
            </w:r>
          </w:p>
        </w:tc>
        <w:tc>
          <w:tcPr>
            <w:tcW w:w="1276" w:type="dxa"/>
            <w:vMerge w:val="restart"/>
            <w:vAlign w:val="center"/>
          </w:tcPr>
          <w:p>
            <w:pPr>
              <w:jc w:val="center"/>
              <w:rPr>
                <w:rFonts w:eastAsia="Times New Roman"/>
                <w:noProof/>
                <w:sz w:val="18"/>
              </w:rPr>
            </w:pPr>
            <w:r>
              <w:rPr>
                <w:noProof/>
                <w:sz w:val="18"/>
              </w:rPr>
              <w:t>Налични бюджетни кредити за текущата финансова година</w:t>
            </w:r>
          </w:p>
        </w:tc>
        <w:tc>
          <w:tcPr>
            <w:tcW w:w="7200" w:type="dxa"/>
            <w:gridSpan w:val="4"/>
            <w:vAlign w:val="center"/>
          </w:tcPr>
          <w:p>
            <w:pPr>
              <w:jc w:val="center"/>
              <w:rPr>
                <w:rFonts w:eastAsia="Times New Roman"/>
                <w:noProof/>
                <w:sz w:val="18"/>
              </w:rPr>
            </w:pPr>
            <w:r>
              <w:rPr>
                <w:noProof/>
                <w:sz w:val="18"/>
              </w:rPr>
              <w:t>Отражение на предложението/инициативата</w:t>
            </w:r>
            <w:r>
              <w:rPr>
                <w:rStyle w:val="FootnoteReference"/>
                <w:noProof/>
              </w:rPr>
              <w:footnoteReference w:id="10"/>
            </w:r>
          </w:p>
        </w:tc>
      </w:tr>
      <w:tr>
        <w:trPr>
          <w:trHeight w:val="388"/>
        </w:trPr>
        <w:tc>
          <w:tcPr>
            <w:tcW w:w="2144" w:type="dxa"/>
            <w:vMerge/>
            <w:vAlign w:val="center"/>
          </w:tcPr>
          <w:p>
            <w:pPr>
              <w:rPr>
                <w:rFonts w:eastAsia="Times New Roman"/>
                <w:noProof/>
                <w:sz w:val="18"/>
              </w:rPr>
            </w:pPr>
          </w:p>
        </w:tc>
        <w:tc>
          <w:tcPr>
            <w:tcW w:w="1276" w:type="dxa"/>
            <w:vMerge/>
            <w:vAlign w:val="center"/>
          </w:tcPr>
          <w:p>
            <w:pPr>
              <w:rPr>
                <w:rFonts w:eastAsia="Times New Roman"/>
                <w:noProof/>
                <w:sz w:val="18"/>
              </w:rPr>
            </w:pPr>
          </w:p>
        </w:tc>
        <w:tc>
          <w:tcPr>
            <w:tcW w:w="1080" w:type="dxa"/>
            <w:vAlign w:val="center"/>
          </w:tcPr>
          <w:p>
            <w:pPr>
              <w:jc w:val="center"/>
              <w:rPr>
                <w:noProof/>
                <w:sz w:val="18"/>
                <w:szCs w:val="18"/>
              </w:rPr>
            </w:pPr>
            <w:r>
              <w:rPr>
                <w:noProof/>
                <w:sz w:val="18"/>
                <w:szCs w:val="18"/>
              </w:rPr>
              <w:t>Година</w:t>
            </w:r>
            <w:r>
              <w:rPr>
                <w:noProof/>
                <w:sz w:val="18"/>
                <w:szCs w:val="18"/>
              </w:rPr>
              <w:br/>
            </w:r>
            <w:r>
              <w:rPr>
                <w:b/>
                <w:noProof/>
                <w:sz w:val="18"/>
                <w:szCs w:val="18"/>
              </w:rPr>
              <w:t>1</w:t>
            </w:r>
          </w:p>
        </w:tc>
        <w:tc>
          <w:tcPr>
            <w:tcW w:w="900" w:type="dxa"/>
            <w:vAlign w:val="center"/>
          </w:tcPr>
          <w:p>
            <w:pPr>
              <w:jc w:val="center"/>
              <w:rPr>
                <w:noProof/>
                <w:sz w:val="18"/>
                <w:szCs w:val="18"/>
              </w:rPr>
            </w:pPr>
            <w:r>
              <w:rPr>
                <w:noProof/>
                <w:sz w:val="18"/>
                <w:szCs w:val="18"/>
              </w:rPr>
              <w:t>Година</w:t>
            </w:r>
            <w:r>
              <w:rPr>
                <w:noProof/>
                <w:sz w:val="18"/>
                <w:szCs w:val="18"/>
              </w:rPr>
              <w:br/>
            </w:r>
            <w:r>
              <w:rPr>
                <w:b/>
                <w:noProof/>
                <w:sz w:val="18"/>
                <w:szCs w:val="18"/>
              </w:rPr>
              <w:t>2</w:t>
            </w:r>
          </w:p>
        </w:tc>
        <w:tc>
          <w:tcPr>
            <w:tcW w:w="900" w:type="dxa"/>
            <w:vAlign w:val="center"/>
          </w:tcPr>
          <w:p>
            <w:pPr>
              <w:jc w:val="center"/>
              <w:rPr>
                <w:noProof/>
                <w:sz w:val="18"/>
                <w:szCs w:val="18"/>
              </w:rPr>
            </w:pPr>
            <w:r>
              <w:rPr>
                <w:noProof/>
                <w:sz w:val="18"/>
                <w:szCs w:val="18"/>
              </w:rPr>
              <w:t>Година</w:t>
            </w:r>
            <w:r>
              <w:rPr>
                <w:noProof/>
                <w:sz w:val="18"/>
                <w:szCs w:val="18"/>
              </w:rPr>
              <w:br/>
            </w:r>
            <w:r>
              <w:rPr>
                <w:b/>
                <w:noProof/>
                <w:sz w:val="18"/>
                <w:szCs w:val="18"/>
              </w:rPr>
              <w:t>3</w:t>
            </w:r>
          </w:p>
        </w:tc>
        <w:tc>
          <w:tcPr>
            <w:tcW w:w="4320" w:type="dxa"/>
            <w:vAlign w:val="center"/>
          </w:tcPr>
          <w:p>
            <w:pPr>
              <w:rPr>
                <w:rFonts w:eastAsia="Times New Roman"/>
                <w:b/>
                <w:noProof/>
                <w:sz w:val="18"/>
              </w:rPr>
            </w:pPr>
          </w:p>
        </w:tc>
      </w:tr>
      <w:tr>
        <w:trPr>
          <w:trHeight w:val="388"/>
        </w:trPr>
        <w:tc>
          <w:tcPr>
            <w:tcW w:w="2144" w:type="dxa"/>
            <w:vAlign w:val="center"/>
          </w:tcPr>
          <w:p>
            <w:pPr>
              <w:spacing w:before="40" w:after="40"/>
              <w:rPr>
                <w:rFonts w:eastAsia="Times New Roman"/>
                <w:noProof/>
                <w:sz w:val="18"/>
              </w:rPr>
            </w:pPr>
            <w:r>
              <w:rPr>
                <w:noProof/>
                <w:sz w:val="18"/>
              </w:rPr>
              <w:t>Член 603.1</w:t>
            </w:r>
          </w:p>
        </w:tc>
        <w:tc>
          <w:tcPr>
            <w:tcW w:w="1276" w:type="dxa"/>
          </w:tcPr>
          <w:p>
            <w:pPr>
              <w:spacing w:beforeLines="40" w:before="96" w:afterLines="40" w:after="96"/>
              <w:jc w:val="center"/>
              <w:rPr>
                <w:rFonts w:eastAsia="Times New Roman"/>
                <w:i/>
                <w:noProof/>
                <w:sz w:val="18"/>
              </w:rPr>
            </w:pPr>
          </w:p>
        </w:tc>
        <w:tc>
          <w:tcPr>
            <w:tcW w:w="1080" w:type="dxa"/>
          </w:tcPr>
          <w:p>
            <w:pPr>
              <w:spacing w:beforeLines="40" w:before="96" w:afterLines="40" w:after="96"/>
              <w:jc w:val="center"/>
              <w:rPr>
                <w:rFonts w:eastAsia="Times New Roman"/>
                <w:noProof/>
                <w:sz w:val="18"/>
              </w:rPr>
            </w:pPr>
            <w:r>
              <w:rPr>
                <w:noProof/>
                <w:sz w:val="18"/>
              </w:rPr>
              <w:t>0,160</w:t>
            </w:r>
          </w:p>
        </w:tc>
        <w:tc>
          <w:tcPr>
            <w:tcW w:w="900" w:type="dxa"/>
          </w:tcPr>
          <w:p>
            <w:pPr>
              <w:spacing w:beforeLines="40" w:before="96" w:afterLines="40" w:after="96"/>
              <w:jc w:val="center"/>
              <w:rPr>
                <w:rFonts w:eastAsia="Times New Roman"/>
                <w:noProof/>
                <w:sz w:val="18"/>
              </w:rPr>
            </w:pPr>
            <w:r>
              <w:rPr>
                <w:noProof/>
                <w:sz w:val="18"/>
              </w:rPr>
              <w:t>0,163</w:t>
            </w:r>
          </w:p>
        </w:tc>
        <w:tc>
          <w:tcPr>
            <w:tcW w:w="900" w:type="dxa"/>
          </w:tcPr>
          <w:p>
            <w:pPr>
              <w:spacing w:beforeLines="40" w:before="96" w:afterLines="40" w:after="96"/>
              <w:jc w:val="center"/>
              <w:rPr>
                <w:rFonts w:eastAsia="Times New Roman"/>
                <w:noProof/>
                <w:sz w:val="18"/>
              </w:rPr>
            </w:pPr>
            <w:r>
              <w:rPr>
                <w:noProof/>
                <w:sz w:val="18"/>
              </w:rPr>
              <w:t>0,166</w:t>
            </w:r>
          </w:p>
        </w:tc>
        <w:tc>
          <w:tcPr>
            <w:tcW w:w="4320" w:type="dxa"/>
          </w:tcPr>
          <w:p>
            <w:pPr>
              <w:spacing w:beforeLines="40" w:before="96" w:afterLines="40" w:after="96"/>
              <w:jc w:val="center"/>
              <w:rPr>
                <w:rFonts w:eastAsia="Times New Roman"/>
                <w:noProof/>
                <w:sz w:val="18"/>
              </w:rPr>
            </w:pPr>
          </w:p>
        </w:tc>
      </w:tr>
    </w:tbl>
    <w:p>
      <w:pPr>
        <w:ind w:left="850"/>
        <w:rPr>
          <w:rFonts w:eastAsia="Times New Roman"/>
          <w:noProof/>
          <w:sz w:val="20"/>
        </w:rPr>
      </w:pPr>
      <w:r>
        <w:rPr>
          <w:noProof/>
          <w:sz w:val="20"/>
        </w:rPr>
        <w:t>За разните „целеви“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33.02.06</w:t>
      </w:r>
    </w:p>
    <w:p>
      <w:pPr>
        <w:ind w:left="850"/>
        <w:rPr>
          <w:rFonts w:eastAsia="Times New Roman"/>
          <w:noProof/>
          <w:sz w:val="20"/>
        </w:rPr>
      </w:pPr>
      <w:r>
        <w:rPr>
          <w:noProof/>
          <w:sz w:val="20"/>
        </w:rPr>
        <w:t>Да се посочи методът за изчисляване на отражението върху приходите.</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Вж. приложение I към Решението.</w:t>
      </w:r>
    </w:p>
    <w:sectPr>
      <w:pgSz w:w="11907" w:h="16839"/>
      <w:pgMar w:top="1119" w:right="1417" w:bottom="1320" w:left="1417" w:header="240" w:footer="709"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BB3315" w15:done="0"/>
  <w15:commentEx w15:paraId="28A3705E" w15:done="0"/>
  <w15:commentEx w15:paraId="211A816C" w15:done="0"/>
  <w15:commentEx w15:paraId="10E3BEDA" w15:done="0"/>
  <w15:commentEx w15:paraId="21EC5F94" w15:paraIdParent="10E3BEDA" w15:done="0"/>
  <w15:commentEx w15:paraId="041B8703" w15:done="0"/>
  <w15:commentEx w15:paraId="2F173430" w15:done="0"/>
  <w15:commentEx w15:paraId="2839F4D3" w15:done="0"/>
  <w15:commentEx w15:paraId="5271FEE5" w15:done="0"/>
  <w15:commentEx w15:paraId="7A4C7287" w15:done="0"/>
  <w15:commentEx w15:paraId="61D28EFD" w15:done="0"/>
  <w15:commentEx w15:paraId="65C47A1E" w15:done="0"/>
  <w15:commentEx w15:paraId="3D8DB48E" w15:paraIdParent="65C47A1E" w15:done="0"/>
  <w15:commentEx w15:paraId="00547565" w15:done="0"/>
  <w15:commentEx w15:paraId="0D95CAA3" w15:paraIdParent="00547565" w15:done="0"/>
  <w15:commentEx w15:paraId="432853F2" w15:done="0"/>
  <w15:commentEx w15:paraId="7D2943DA" w15:paraIdParent="432853F2" w15:done="0"/>
  <w15:commentEx w15:paraId="331D01B9" w15:done="0"/>
  <w15:commentEx w15:paraId="7AD7F6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56, 4.3.1968 г., стр. 1, последно изменен с Регламент (ЕС, Евратом) № 1023/2013 на Европейския парламент и на Съвета от 22 октомври 2013 г., OВ L 287, 29.10.2013 г., стр. 15.</w:t>
      </w:r>
    </w:p>
  </w:footnote>
  <w:footnote w:id="2">
    <w:p>
      <w:pPr>
        <w:pStyle w:val="FootnoteText"/>
        <w:rPr>
          <w:szCs w:val="24"/>
        </w:rPr>
      </w:pPr>
      <w:r>
        <w:rPr>
          <w:rStyle w:val="FootnoteReference"/>
        </w:rPr>
        <w:footnoteRef/>
      </w:r>
      <w:r>
        <w:tab/>
        <w:t>УД: управление по дейности; БД: бюджетиране по дейности.</w:t>
      </w:r>
    </w:p>
  </w:footnote>
  <w:footnote w:id="3">
    <w:p>
      <w:pPr>
        <w:pStyle w:val="FootnoteText"/>
      </w:pPr>
      <w:r>
        <w:rPr>
          <w:rStyle w:val="FootnoteReference"/>
        </w:rPr>
        <w:footnoteRef/>
      </w:r>
      <w:r>
        <w:tab/>
        <w:t>Подробна информация за методите на управление и позоваванията на Финансовия регламент могат да бъдат намерени на уебсайта BudgWeb:</w:t>
      </w:r>
    </w:p>
    <w:p>
      <w:pPr>
        <w:pStyle w:val="FootnoteText"/>
        <w:ind w:left="1440"/>
        <w:rPr>
          <w:szCs w:val="24"/>
        </w:rPr>
      </w:pPr>
      <w:hyperlink r:id="rId1">
        <w:r>
          <w:rPr>
            <w:rStyle w:val="Hyperlink"/>
          </w:rPr>
          <w:t>https://myintracomm.ec.europa.eu/budgweb/EN/man/budgmanag/Pages/budgmanag.aspx</w:t>
        </w:r>
      </w:hyperlink>
      <w:r>
        <w:t xml:space="preserve">. </w:t>
      </w:r>
    </w:p>
  </w:footnote>
  <w:footnote w:id="4">
    <w:p>
      <w:pPr>
        <w:pStyle w:val="FootnoteText"/>
        <w:rPr>
          <w:szCs w:val="24"/>
        </w:rPr>
      </w:pPr>
      <w:r>
        <w:rPr>
          <w:rStyle w:val="FootnoteReference"/>
        </w:rPr>
        <w:footnoteRef/>
      </w:r>
      <w:r>
        <w:tab/>
        <w:t>Многогод. = многогодишни бюджетни кредити/Едногод. = едногодишни бюджетни кредити.</w:t>
      </w:r>
    </w:p>
  </w:footnote>
  <w:footnote w:id="5">
    <w:p>
      <w:pPr>
        <w:pStyle w:val="FootnoteText"/>
        <w:rPr>
          <w:szCs w:val="24"/>
        </w:rPr>
      </w:pPr>
      <w:r>
        <w:rPr>
          <w:rStyle w:val="FootnoteReference"/>
        </w:rPr>
        <w:footnoteRef/>
      </w:r>
      <w:r>
        <w:tab/>
        <w:t xml:space="preserve">ЕАСТ: Европейска асоциация за свободна търговия. </w:t>
      </w:r>
    </w:p>
  </w:footnote>
  <w:footnote w:id="6">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7">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8">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9">
    <w:p>
      <w:pPr>
        <w:pStyle w:val="FootnoteText"/>
        <w:rPr>
          <w:szCs w:val="24"/>
        </w:rPr>
      </w:pPr>
      <w:r>
        <w:rPr>
          <w:rStyle w:val="FootnoteReference"/>
        </w:rPr>
        <w:footnoteRef/>
      </w:r>
      <w:r>
        <w:tab/>
        <w:t>Предимно за структурните фондове, Европейския земеделски фонд за развитие на селските райони (ЕЗФРСР) и Европейския фонд за рибарство (ЕФР).</w:t>
      </w:r>
    </w:p>
  </w:footnote>
  <w:footnote w:id="10">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8185E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6851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CA8C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AA6C4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D44E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D602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1AE9C2"/>
    <w:lvl w:ilvl="0">
      <w:start w:val="1"/>
      <w:numFmt w:val="decimal"/>
      <w:pStyle w:val="ListNumber"/>
      <w:lvlText w:val="%1."/>
      <w:lvlJc w:val="left"/>
      <w:pPr>
        <w:tabs>
          <w:tab w:val="num" w:pos="360"/>
        </w:tabs>
        <w:ind w:left="360" w:hanging="360"/>
      </w:pPr>
    </w:lvl>
  </w:abstractNum>
  <w:abstractNum w:abstractNumId="7">
    <w:nsid w:val="FFFFFF89"/>
    <w:multiLevelType w:val="singleLevel"/>
    <w:tmpl w:val="622A7B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3"/>
  </w:num>
  <w:num w:numId="11">
    <w:abstractNumId w:val="16"/>
  </w:num>
  <w:num w:numId="12">
    <w:abstractNumId w:val="20"/>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2"/>
  </w:num>
  <w:num w:numId="16">
    <w:abstractNumId w:val="22"/>
  </w:num>
  <w:num w:numId="17">
    <w:abstractNumId w:val="11"/>
  </w:num>
  <w:num w:numId="18">
    <w:abstractNumId w:val="13"/>
  </w:num>
  <w:num w:numId="19">
    <w:abstractNumId w:val="9"/>
  </w:num>
  <w:num w:numId="20">
    <w:abstractNumId w:val="21"/>
  </w:num>
  <w:num w:numId="21">
    <w:abstractNumId w:val="8"/>
  </w:num>
  <w:num w:numId="22">
    <w:abstractNumId w:val="14"/>
  </w:num>
  <w:num w:numId="23">
    <w:abstractNumId w:val="17"/>
  </w:num>
  <w:num w:numId="24">
    <w:abstractNumId w:val="18"/>
  </w:num>
  <w:num w:numId="25">
    <w:abstractNumId w:val="10"/>
  </w:num>
  <w:num w:numId="26">
    <w:abstractNumId w:val="15"/>
  </w:num>
  <w:num w:numId="27">
    <w:abstractNumId w:val="24"/>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TSOS Andreas (FRA)">
    <w15:presenceInfo w15:providerId="AD" w15:userId="S-1-5-21-864693804-1130308216-483988704-5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07 12:30: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3"/>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CP" w:val="\u1087?\u1088?\u1080?\u1076?\u1088?\u1091?\u1078?\u1072?\u1074?\u1072?\u1097?\u1086?"/>
    <w:docVar w:name="LW_ANNEX_NBR_FIRST" w:val="1"/>
    <w:docVar w:name="LW_ANNEX_NBR_LAST" w:val="1"/>
    <w:docVar w:name="LW_CONFIDENCE" w:val=" "/>
    <w:docVar w:name="LW_CONST_RESTREINT_UE" w:val="RESTREINT UE"/>
    <w:docVar w:name="LW_CORRIGENDUM" w:val="&lt;UNUSED&gt;"/>
    <w:docVar w:name="LW_COVERPAGE_GUID" w:val="BC91E32140384FD69F07B799F21EC32A"/>
    <w:docVar w:name="LW_CROSSREFERENCE" w:val="&lt;UNUSED&gt;"/>
    <w:docVar w:name="LW_DocType" w:val="ANNEX"/>
    <w:docVar w:name="LW_EMISSION" w:val="7.3.2016"/>
    <w:docVar w:name="LW_EMISSION_ISODATE" w:val="2016-03-0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5?\u1072? \u1057?\u1098?\u1102?\u1079?\u1072? \u1074? \u1057?\u1098?\u1074?\u1077?\u1090?\u1072? \u1079?\u1072? \u1089?\u1090?\u1072?\u1073?\u1080?\u1083?\u1080?\u1079?\u1080?\u1088?\u1072?\u1085?\u1077? \u1080? \u1072?\u1089?\u1086?\u1094?\u1080?\u1080?\u1088?\u1072?\u1085?\u1077? \u1045?\u1057?\u8212?\u1056?\u1077?\u1087?\u1091?\u1073?\u1083?\u1080?\u1082?\u1072? \u1040?\u1083?\u1073?\u1072?\u1085?\u1080?\u1103? \u1086?\u1090?\u1085?\u1086?\u1089?\u1085?\u1086? \u1091?\u1095?\u1072?\u1089?\u1090?\u1080?\u1077?\u1090?\u1086? \u1085?\u1072? \u1056?\u1077?\u1087?\u1091?\u1073?\u1083?\u1080?\u1082?\u1072? \u1040?\u1083?\u1073?\u1072?\u1085?\u1080?\u1103? \u1082?\u1072?\u1090?\u1086? \u1085?\u1072?\u1073?\u1083?\u1102?\u1076?\u1072?\u1090?\u1077?\u1083? \u1074? \u1088?\u1072?\u1073?\u1086?\u1090?\u1072?\u1090?\u1072? \u1085?\u1072? \u1040?\u1075?\u1077?\u1085?\u1094?\u1080?\u1103?\u1090?\u1072? \u1085?\u1072? \u1045?\u1074?\u1088?\u1086?\u1087?\u1077?\u1081?\u1089?\u1082?\u1080?\u1103? \u1089?\u1098?\u1102?\u1079? \u1079?\u1072? \u1086?\u1089?\u1085?\u1086?\u1074?\u1085?\u1080?\u1090?\u1077? \u1087?\u1088?\u1072?\u1074?\u1072? \u1080? \u1089?\u1098?\u1086?\u1090?\u1074?\u1077?\u1090?\u1085?\u1080?\u1103? \u1088?\u1077?\u1076? \u1080? \u1091?\u1089?\u1083?\u1086?\u1074?\u1080?\u1103? \u1079?\u1072? \u1090?\u1086?\u1074?\u1072? \u1074? \u1089?\u1098?\u1086?\u1090?\u1074?\u1077?\u1090?\u1089?\u1090?\u1074?\u1080?\u1077? \u1089? \u1088?\u1072?\u1084?\u1082?\u1072?\u1090?\u1072?, \u1086?\u1087?\u1088?\u1077?\u1076?\u1077?\u1083?\u1077?\u1085?\u1072? \u1074? \u1056?\u1077?\u1075?\u1083?\u1072?\u1084?\u1077?\u1085?\u1090? (\u1045?\u1054?) \u8470? 168/2007 \u1085?\u1072? \u1057?\u1098?\u1074?\u1077?\u1090?\u1072?_x000b_"/>
    <w:docVar w:name="LW_PART_NBR" w:val="1"/>
    <w:docVar w:name="LW_PART_NBR_TOTAL" w:val="1"/>
    <w:docVar w:name="LW_REF.INST.NEW" w:val="COM"/>
    <w:docVar w:name="LW_REF.INST.NEW_ADOPTED" w:val="final"/>
    <w:docVar w:name="LW_REF.INST.NEW_TEXT" w:val="(2016) 118"/>
    <w:docVar w:name="LW_REF.INTERNE" w:val="&lt;UNUSED&gt;"/>
    <w:docVar w:name="LW_SUPERTITRE" w:val="&lt;UNUSED&gt;"/>
    <w:docVar w:name="LW_TITRE.OBJ.CP" w:val="\u1056?\u1045?\u1064?\u1045?\u1053?\u1048?\u1045? \u8470? .../ \u1086?\u1090?\u1085?\u1086?\u1089?\u1085?\u1086? \u1091?\u1095?\u1072?\u1089?\u1090?\u1080?\u1077?\u1090?\u1086? \u1085?\u1072? \u1056?\u1077?\u1087?\u1091?\u1073?\u1083?\u1080?\u1082?\u1072? \u1040?\u1083?\u1073?\u1072?\u1085?\u1080?\u1103? \u1082?\u1072?\u1090?\u1086? \u1085?\u1072?\u1073?\u1083?\u1102?\u1076?\u1072?\u1090?\u1077?\u1083? \u1074? \u1088?\u1072?\u1073?\u1086?\u1090?\u1072?\u1090?\u1072? \u1085?\u1072? \u1040?\u1075?\u1077?\u1085?\u1094?\u1080?\u1103?\u1090?\u1072? \u1085?\u1072? \u1045?\u1074?\u1088?\u1086?\u1087?\u1077?\u1081?\u1089?\u1082?\u1080?\u1103? \u1089?\u1098?\u1102?\u1079? \u1079?\u1072? \u1086?\u1089?\u1085?\u1086?\u1074?\u1085?\u1080?\u1090?\u1077? \u1087?\u1088?\u1072?\u1074?\u1072? \u1080? \u1089?\u1098?\u1086?\u1090?\u1074?\u1077?\u1090?\u1085?\u1080?\u1103? \u1088?\u1077?\u1076? \u1080? \u1091?\u1089?\u1083?\u1086?\u1074?\u1080?\u1103? \u1079?\u1072? \u1090?\u1086?\u1074?\u1072? \u1074? \u1089?\u1098?\u1086?\u1090?\u1074?\u1077?\u1090?\u1089?\u1090?\u1074?\u1080?\u1077? \u1089? \u1088?\u1072?\u1084?\u1082?\u1072?\u1090?\u1072?, \u1086?\u1087?\u1088?\u1077?\u1076?\u1077?\u1083?\u1077?\u1085?\u1072? \u1074? \u1056?\u1077?\u1075?\u1083?\u1072?\u1084?\u1077?\u1085?\u1090? (\u1045?\u1054?) \u8470? 168/2007 \u1085?\u1072? \u1057?\u1098?\u1074?\u1077?\u1090?\u1072?"/>
    <w:docVar w:name="LW_TYPE.DOC.CP" w:val="\u1055?\u1056?\u1048?\u1051?\u1054?\u1046?\u1045?\u1053?\u1048?\u1045?"/>
    <w:docVar w:name="LW_TYPEACTEPRINCIPAL.CP" w:val="\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10"/>
      </w:numPr>
    </w:pPr>
    <w:rPr>
      <w:rFonts w:eastAsia="Times New Roman"/>
    </w:rPr>
  </w:style>
  <w:style w:type="paragraph" w:customStyle="1" w:styleId="ListDash2">
    <w:name w:val="List Dash 2"/>
    <w:basedOn w:val="Normal"/>
    <w:pPr>
      <w:numPr>
        <w:numId w:val="11"/>
      </w:numPr>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10"/>
      </w:numPr>
    </w:pPr>
    <w:rPr>
      <w:rFonts w:eastAsia="Times New Roman"/>
    </w:rPr>
  </w:style>
  <w:style w:type="paragraph" w:customStyle="1" w:styleId="ListDash2">
    <w:name w:val="List Dash 2"/>
    <w:basedOn w:val="Normal"/>
    <w:pPr>
      <w:numPr>
        <w:numId w:val="11"/>
      </w:numPr>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771553">
      <w:bodyDiv w:val="1"/>
      <w:marLeft w:val="0"/>
      <w:marRight w:val="0"/>
      <w:marTop w:val="0"/>
      <w:marBottom w:val="0"/>
      <w:divBdr>
        <w:top w:val="none" w:sz="0" w:space="0" w:color="auto"/>
        <w:left w:val="none" w:sz="0" w:space="0" w:color="auto"/>
        <w:bottom w:val="none" w:sz="0" w:space="0" w:color="auto"/>
        <w:right w:val="none" w:sz="0" w:space="0" w:color="auto"/>
      </w:divBdr>
    </w:div>
    <w:div w:id="15124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europa.eu.int/comm/external_relations/see/docs/index.htm" TargetMode="External"/><Relationship Id="rId20" Type="http://schemas.openxmlformats.org/officeDocument/2006/relationships/footer" Target="footer6.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54C7F-20F7-4974-9E33-F8A7A2F8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18</Pages>
  <Words>3500</Words>
  <Characters>20128</Characters>
  <Application>Microsoft Office Word</Application>
  <DocSecurity>0</DocSecurity>
  <Lines>718</Lines>
  <Paragraphs>421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STENQVIST Paivi (JUST)</dc:creator>
  <cp:lastModifiedBy>DIGIT/A3</cp:lastModifiedBy>
  <cp:revision>7</cp:revision>
  <cp:lastPrinted>2015-12-01T16:01:00Z</cp:lastPrinted>
  <dcterms:created xsi:type="dcterms:W3CDTF">2016-03-03T11:47:00Z</dcterms:created>
  <dcterms:modified xsi:type="dcterms:W3CDTF">2016-03-07T11:30:00Z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