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257BB21AB1842A08E6E38F4192D301A" style="width:450.75pt;height:497.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ANNEXE</w:t>
      </w:r>
    </w:p>
    <w:p>
      <w:pPr>
        <w:pStyle w:val="Titreobjet"/>
        <w:rPr>
          <w:noProof/>
        </w:rPr>
      </w:pPr>
      <w:r>
        <w:rPr>
          <w:noProof/>
        </w:rPr>
        <w:t>Décision sur la participation de la République de Serbie en tant qu’observateur aux travaux de l’Agence des droits fondamentaux de l'Union européenne et les modalités de cette participation, dans le cadre établi par le règlement (CE) n° 168/2007 du Conseil</w:t>
      </w:r>
    </w:p>
    <w:p>
      <w:pPr>
        <w:pStyle w:val="Accompagnant"/>
        <w:rPr>
          <w:noProof/>
        </w:rPr>
      </w:pPr>
      <w:r>
        <w:rPr>
          <w:noProof/>
        </w:rPr>
        <w:t>accompagnant la</w:t>
      </w:r>
    </w:p>
    <w:p>
      <w:pPr>
        <w:pStyle w:val="Typeacteprincipal"/>
        <w:rPr>
          <w:noProof/>
        </w:rPr>
      </w:pPr>
      <w:r>
        <w:rPr>
          <w:noProof/>
        </w:rPr>
        <w:t>Décision du Conseil</w:t>
      </w:r>
    </w:p>
    <w:p>
      <w:pPr>
        <w:pStyle w:val="Objetacteprincipal"/>
        <w:rPr>
          <w:noProof/>
        </w:rPr>
      </w:pPr>
      <w:r>
        <w:rPr>
          <w:noProof/>
        </w:rPr>
        <w:t>sur une position de l’Union au conseil de stabilisation et d’association UE</w:t>
      </w:r>
      <w:r>
        <w:rPr>
          <w:noProof/>
        </w:rPr>
        <w:noBreakHyphen/>
        <w:t>République de Serbie en ce qui concerne la participation de la République de Serbie en tant qu’observateur aux travaux de l’Agence des droits fondamentaux de l'Union européenne et les modalités de cette participation, dans le cadre établi par le règlement (CE) n° 168/2007 du Conseil</w:t>
      </w:r>
      <w:r>
        <w:rPr>
          <w:noProof/>
        </w:rPr>
        <w:br/>
      </w:r>
    </w:p>
    <w:p>
      <w:pPr>
        <w:spacing w:before="75" w:after="75"/>
        <w:jc w:val="left"/>
        <w:rPr>
          <w:b/>
          <w:noProof/>
        </w:rPr>
      </w:pPr>
      <w:r>
        <w:rPr>
          <w:noProof/>
        </w:rPr>
        <w:t xml:space="preserve">LE CONSEIL DE STABILISATION ET D'ASSOCIATION UE-RÉPUBLIQUE DE SERBIE, </w:t>
      </w:r>
    </w:p>
    <w:p>
      <w:pPr>
        <w:spacing w:before="75" w:after="75"/>
        <w:rPr>
          <w:noProof/>
        </w:rPr>
      </w:pPr>
      <w:r>
        <w:rPr>
          <w:noProof/>
        </w:rPr>
        <w:t>vu l'accord de stabilisation et d'association entre l'Union européenne, d'une part, et la République de Serbie, d'autre part,</w:t>
      </w:r>
    </w:p>
    <w:p>
      <w:pPr>
        <w:rPr>
          <w:noProof/>
        </w:rPr>
      </w:pPr>
      <w:r>
        <w:rPr>
          <w:noProof/>
        </w:rPr>
        <w:t>vu le règlement (CE) nº 168/2007 du Conseil instituant une Agence des droits fondamentaux de l’Union européenne, et notamment son article 28,</w:t>
      </w:r>
    </w:p>
    <w:p>
      <w:pPr>
        <w:outlineLvl w:val="0"/>
        <w:rPr>
          <w:noProof/>
        </w:rPr>
      </w:pPr>
      <w:r>
        <w:rPr>
          <w:noProof/>
        </w:rPr>
        <w:t>considérant ce qui suit:</w:t>
      </w:r>
    </w:p>
    <w:p>
      <w:pPr>
        <w:spacing w:before="75" w:after="75"/>
        <w:rPr>
          <w:noProof/>
        </w:rPr>
      </w:pPr>
      <w:r>
        <w:rPr>
          <w:noProof/>
        </w:rPr>
        <w:t xml:space="preserve">(1) Le Conseil européen de Luxembourg de décembre 1997 a fait de la participation aux agences de l'Union un moyen d’accélérer la stratégie de préadhésion. Les conclusions du Conseil européen prévoient que «les États candidats pourront participer à des agences [...], sur décision à prendre au cas par cas». </w:t>
      </w:r>
    </w:p>
    <w:p>
      <w:pPr>
        <w:autoSpaceDE w:val="0"/>
        <w:autoSpaceDN w:val="0"/>
        <w:adjustRightInd w:val="0"/>
        <w:spacing w:before="75" w:after="75"/>
        <w:rPr>
          <w:iCs/>
          <w:noProof/>
        </w:rPr>
      </w:pPr>
      <w:r>
        <w:rPr>
          <w:noProof/>
        </w:rPr>
        <w:t>(2) La République de Serbie adhère aux objectifs de l’Agence des droits fondamentaux de l’Union européenne (ci-après l'«Agence») et accepte ses domaines de compétence et la description de ses tâches, tels qu’ils sont fixés par le règlement (CE) n° 168/2007 du Conseil.</w:t>
      </w:r>
    </w:p>
    <w:p>
      <w:pPr>
        <w:autoSpaceDE w:val="0"/>
        <w:autoSpaceDN w:val="0"/>
        <w:adjustRightInd w:val="0"/>
        <w:jc w:val="left"/>
        <w:rPr>
          <w:iCs/>
          <w:noProof/>
        </w:rPr>
      </w:pPr>
      <w:r>
        <w:rPr>
          <w:noProof/>
        </w:rPr>
        <w:t>(3) Il convient que l’Agence puisse examiner, dans le cadre de l’article 3, paragraphe 1, du règlement (CE) nº 168/2007 du Conseil, des questions relatives aux droits fondamentaux en République de Serbie, dans la mesure nécessaire à l’alignement progressif de ce pays sur le droit de l'Union.</w:t>
      </w:r>
    </w:p>
    <w:p>
      <w:pPr>
        <w:autoSpaceDE w:val="0"/>
        <w:autoSpaceDN w:val="0"/>
        <w:adjustRightInd w:val="0"/>
        <w:spacing w:before="75" w:after="75"/>
        <w:rPr>
          <w:iCs/>
          <w:noProof/>
        </w:rPr>
      </w:pPr>
      <w:r>
        <w:rPr>
          <w:noProof/>
        </w:rPr>
        <w:t xml:space="preserve">(4) Il y a donc lieu de permettre la participation de la République de Serbie en tant qu’observateur aux travaux de l’Agence et de fixer les modalités de cette participation, y compris les dispositions relatives à la participation aux initiatives prises par l’Agence, aux contributions financières et au personnel. </w:t>
      </w:r>
    </w:p>
    <w:p>
      <w:pPr>
        <w:rPr>
          <w:noProof/>
        </w:rPr>
      </w:pPr>
      <w:r>
        <w:rPr>
          <w:noProof/>
        </w:rPr>
        <w:t>(5) Conformément à l'article 12, paragraphe 2, point a), et à l'article 82, paragraphe 3, point a), du régime applicable aux autres agents de l'Union européenne, prévu par le règlement (CEE, Euratom, CECA) n° 259/68 du Conseil</w:t>
      </w:r>
      <w:r>
        <w:rPr>
          <w:rStyle w:val="FootnoteReference"/>
          <w:noProof/>
        </w:rPr>
        <w:footnoteReference w:id="1"/>
      </w:r>
      <w:r>
        <w:rPr>
          <w:noProof/>
        </w:rPr>
        <w:t>, le directeur de l'Agence peut, à titre exceptionnel, autoriser le recrutement de ressortissants de la République de Serbie jouissant de tous leurs droits civiques,</w:t>
      </w:r>
    </w:p>
    <w:p>
      <w:pPr>
        <w:outlineLvl w:val="0"/>
        <w:rPr>
          <w:noProof/>
        </w:rPr>
      </w:pPr>
      <w:r>
        <w:rPr>
          <w:noProof/>
        </w:rPr>
        <w:br w:type="page"/>
        <w:t>DÉCIDE:</w:t>
      </w:r>
    </w:p>
    <w:p>
      <w:pPr>
        <w:pStyle w:val="Titrearticle"/>
        <w:rPr>
          <w:noProof/>
        </w:rPr>
      </w:pPr>
      <w:r>
        <w:rPr>
          <w:noProof/>
        </w:rPr>
        <w:t>Article premier</w:t>
      </w:r>
    </w:p>
    <w:p>
      <w:pPr>
        <w:rPr>
          <w:noProof/>
        </w:rPr>
      </w:pPr>
      <w:r>
        <w:rPr>
          <w:noProof/>
        </w:rPr>
        <w:t xml:space="preserve">La République de Serbie, en sa qualité de pays candidat, participe en tant qu’observateur à l’Agence des droits fondamentaux de l’Union européenne, instituée par le règlement (CE) n° 168/2007 du Conseil. </w:t>
      </w:r>
    </w:p>
    <w:p>
      <w:pPr>
        <w:pStyle w:val="Titrearticle"/>
        <w:rPr>
          <w:noProof/>
        </w:rPr>
      </w:pPr>
      <w:r>
        <w:rPr>
          <w:noProof/>
        </w:rPr>
        <w:t>Article 2</w:t>
      </w:r>
    </w:p>
    <w:p>
      <w:pPr>
        <w:rPr>
          <w:noProof/>
        </w:rPr>
      </w:pPr>
      <w:r>
        <w:rPr>
          <w:noProof/>
        </w:rPr>
        <w:t>1. L’Agence peut examiner, dans le cadre de l’article 3, paragraphe 1, du règlement (CE) nº 168/2007 du Conseil, des questions relatives aux droits fondamentaux en République de Serbie, dans la mesure nécessaire à l'alignement progressif de ce pays sur le droit de l'Union.</w:t>
      </w:r>
    </w:p>
    <w:p>
      <w:pPr>
        <w:rPr>
          <w:noProof/>
        </w:rPr>
      </w:pPr>
      <w:r>
        <w:rPr>
          <w:noProof/>
        </w:rPr>
        <w:t xml:space="preserve">2. À cette fin, l’Agence pourra exécuter en République de Serbie les tâches prévues dans le cadre des articles 4 et 5 du règlement (CE) n° 168/2007 du Conseil. </w:t>
      </w:r>
    </w:p>
    <w:p>
      <w:pPr>
        <w:pStyle w:val="Titrearticle"/>
        <w:rPr>
          <w:noProof/>
        </w:rPr>
      </w:pPr>
      <w:r>
        <w:rPr>
          <w:noProof/>
        </w:rPr>
        <w:t>Article 3</w:t>
      </w:r>
    </w:p>
    <w:p>
      <w:pPr>
        <w:rPr>
          <w:noProof/>
        </w:rPr>
      </w:pPr>
      <w:r>
        <w:rPr>
          <w:noProof/>
        </w:rPr>
        <w:t>La République de Serbie contribue financièrement aux activités de l’Agence visées à l’article 4 du règlement (CE) n° 168/2007 du Conseil, conformément aux dispositions prévues à l’annexe de la présente décision.</w:t>
      </w:r>
    </w:p>
    <w:p>
      <w:pPr>
        <w:pStyle w:val="Titrearticle"/>
        <w:rPr>
          <w:noProof/>
        </w:rPr>
      </w:pPr>
      <w:r>
        <w:rPr>
          <w:noProof/>
        </w:rPr>
        <w:t>Article 4</w:t>
      </w:r>
    </w:p>
    <w:p>
      <w:pPr>
        <w:rPr>
          <w:noProof/>
        </w:rPr>
      </w:pPr>
      <w:r>
        <w:rPr>
          <w:noProof/>
        </w:rPr>
        <w:t>1. La République de Serbie désigne un observateur et un observateur suppléant répondant aux critères fixés à l’article 12, paragraphe 1, du règlement (CE) n° 168/2007 du Conseil. Ils participent aux travaux du conseil d’administration sur un pied d’égalité avec les membres et les membres suppléants nommés par les États membres, mais ne disposent d'aucun droit de vote.</w:t>
      </w:r>
    </w:p>
    <w:p>
      <w:pPr>
        <w:rPr>
          <w:noProof/>
        </w:rPr>
      </w:pPr>
      <w:r>
        <w:rPr>
          <w:noProof/>
        </w:rPr>
        <w:t>2. La République de Serbie désigne un fonctionnaire comme agent de liaison national, conformément à l’article 8, paragraphe 1, du règlement (CE) n° 168/2007 du Conseil.</w:t>
      </w:r>
    </w:p>
    <w:p>
      <w:pPr>
        <w:rPr>
          <w:noProof/>
        </w:rPr>
      </w:pPr>
      <w:r>
        <w:rPr>
          <w:noProof/>
        </w:rPr>
        <w:t>3. Dans les quatre mois suivant l’entrée en vigueur de la présente décision, la République de Serbie communique à la Commission européenne les noms, les qualifications et les coordonnées des personnes visées aux paragraphes 1 et 2.</w:t>
      </w:r>
    </w:p>
    <w:p>
      <w:pPr>
        <w:pStyle w:val="Titrearticle"/>
        <w:rPr>
          <w:noProof/>
        </w:rPr>
      </w:pPr>
      <w:r>
        <w:rPr>
          <w:noProof/>
        </w:rPr>
        <w:t>Article 5</w:t>
      </w:r>
    </w:p>
    <w:p>
      <w:pPr>
        <w:rPr>
          <w:noProof/>
        </w:rPr>
      </w:pPr>
      <w:r>
        <w:rPr>
          <w:noProof/>
        </w:rPr>
        <w:t>Les données fournies à l'Agence ou communiquées par elle peuvent être publiées et sont mises à la disposition du public, pour autant que les informations confidentielles bénéficient du même degré de protection en République de Serbie que dans l'Union.</w:t>
      </w:r>
    </w:p>
    <w:p>
      <w:pPr>
        <w:pStyle w:val="Titrearticle"/>
        <w:rPr>
          <w:noProof/>
        </w:rPr>
      </w:pPr>
      <w:r>
        <w:rPr>
          <w:noProof/>
        </w:rPr>
        <w:t>Article 6</w:t>
      </w:r>
    </w:p>
    <w:p>
      <w:pPr>
        <w:autoSpaceDE w:val="0"/>
        <w:autoSpaceDN w:val="0"/>
        <w:adjustRightInd w:val="0"/>
        <w:spacing w:before="0" w:after="0"/>
        <w:rPr>
          <w:bCs/>
          <w:noProof/>
        </w:rPr>
      </w:pPr>
      <w:r>
        <w:rPr>
          <w:noProof/>
        </w:rPr>
        <w:t>L'Agence jouit en République de Serbie de la même capacité juridique que celle dont bénéficient les personnes morales en vertu du droit serbe.</w:t>
      </w:r>
    </w:p>
    <w:p>
      <w:pPr>
        <w:pStyle w:val="Titrearticle"/>
        <w:rPr>
          <w:noProof/>
        </w:rPr>
      </w:pPr>
      <w:r>
        <w:rPr>
          <w:noProof/>
        </w:rPr>
        <w:t>Article 7</w:t>
      </w:r>
    </w:p>
    <w:p>
      <w:pPr>
        <w:rPr>
          <w:noProof/>
        </w:rPr>
      </w:pPr>
      <w:r>
        <w:rPr>
          <w:noProof/>
        </w:rPr>
        <w:t>Afin de permettre à l’Agence et à son personnel de s’acquitter de leurs tâches, la République de Serbie leur accorde des privilèges et immunités identiques à ceux prévus aux articles 1</w:t>
      </w:r>
      <w:r>
        <w:rPr>
          <w:noProof/>
          <w:vertAlign w:val="superscript"/>
        </w:rPr>
        <w:t>er</w:t>
      </w:r>
      <w:r>
        <w:rPr>
          <w:noProof/>
        </w:rPr>
        <w:t xml:space="preserve"> à 4, 5, 6, 10 à 13, 15, 17 et 18 du protocole n° 7 sur les privilèges et immunités de l'Union européenne, annexé aux traités sur l'Union européenne et sur le fonctionnement de l'Union européenne. </w:t>
      </w:r>
    </w:p>
    <w:p>
      <w:pPr>
        <w:pStyle w:val="Titrearticle"/>
        <w:rPr>
          <w:noProof/>
        </w:rPr>
      </w:pPr>
      <w:r>
        <w:rPr>
          <w:noProof/>
        </w:rPr>
        <w:t>Article 8</w:t>
      </w:r>
    </w:p>
    <w:p>
      <w:pPr>
        <w:rPr>
          <w:noProof/>
        </w:rPr>
      </w:pPr>
      <w:r>
        <w:rPr>
          <w:noProof/>
        </w:rPr>
        <w:t xml:space="preserve">Les parties prennent toute mesure générale ou particulière nécessaire à l’accomplissement de leurs obligations en vertu de la présente décision et les notifient au conseil de stabilisation et d’association. </w:t>
      </w:r>
    </w:p>
    <w:p>
      <w:pPr>
        <w:pStyle w:val="Titrearticle"/>
        <w:rPr>
          <w:noProof/>
        </w:rPr>
      </w:pPr>
      <w:r>
        <w:rPr>
          <w:noProof/>
        </w:rPr>
        <w:t>Article 9</w:t>
      </w:r>
    </w:p>
    <w:p>
      <w:pPr>
        <w:rPr>
          <w:noProof/>
        </w:rPr>
      </w:pPr>
      <w:r>
        <w:rPr>
          <w:noProof/>
        </w:rPr>
        <w:t xml:space="preserve">La présente décision entre en vigueur le premier jour du deuxième mois suivant la date de son adoption. </w:t>
      </w:r>
    </w:p>
    <w:p>
      <w:pPr>
        <w:rPr>
          <w:noProof/>
        </w:rPr>
        <w:sectPr>
          <w:footerReference w:type="default" r:id="rId15"/>
          <w:footerReference w:type="first" r:id="rId16"/>
          <w:pgSz w:w="11907" w:h="16840" w:code="9"/>
          <w:pgMar w:top="1134" w:right="1418" w:bottom="1134" w:left="1418" w:header="709" w:footer="709" w:gutter="0"/>
          <w:cols w:space="708"/>
          <w:docGrid w:linePitch="360"/>
        </w:sectPr>
      </w:pPr>
    </w:p>
    <w:p>
      <w:pPr>
        <w:pStyle w:val="NormalCentered"/>
        <w:rPr>
          <w:noProof/>
        </w:rPr>
      </w:pPr>
      <w:r>
        <w:rPr>
          <w:noProof/>
        </w:rPr>
        <w:t>ANNEXE I</w:t>
      </w:r>
    </w:p>
    <w:p>
      <w:pPr>
        <w:jc w:val="center"/>
        <w:rPr>
          <w:b/>
          <w:noProof/>
        </w:rPr>
      </w:pPr>
      <w:r>
        <w:rPr>
          <w:b/>
          <w:noProof/>
        </w:rPr>
        <w:t>CONTRIBUTIONS FINANCIÈRES DE LA RÉPUBLIQUE DE SERBIE À L’AGENCE DES DROITS FONDAMENTAUX DE L’UNION EUROPÉENNE</w:t>
      </w:r>
    </w:p>
    <w:p>
      <w:pPr>
        <w:pStyle w:val="NumPar1"/>
        <w:numPr>
          <w:ilvl w:val="0"/>
          <w:numId w:val="5"/>
        </w:numPr>
        <w:rPr>
          <w:noProof/>
        </w:rPr>
      </w:pPr>
      <w:r>
        <w:rPr>
          <w:noProof/>
        </w:rPr>
        <w:t>Les contributions financières à verser par la République de Serbie au budget de l’Union européenne en vue de sa participation à l’Agence des droits fondamentaux de l’Union européenne (ci-après l’«Agence»), telles que fixées au point 2, représentent le coût total de sa participation à l’Agence pour les trois premières années. À partir de la quatrième année, les montants seront déterminés en application du point 6.</w:t>
      </w:r>
    </w:p>
    <w:p>
      <w:pPr>
        <w:pStyle w:val="NumPar1"/>
        <w:rPr>
          <w:noProof/>
        </w:rPr>
      </w:pPr>
      <w:r>
        <w:rPr>
          <w:noProof/>
        </w:rPr>
        <w:t>Les contributions financières devant être versées par la République de Serbie au budget de l’Union européenne pour les trois premières années sont les suivantes: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7"/>
      </w:tblGrid>
      <w:tr>
        <w:trPr>
          <w:jc w:val="center"/>
        </w:trPr>
        <w:tc>
          <w:tcPr>
            <w:tcW w:w="4606" w:type="dxa"/>
            <w:shd w:val="clear" w:color="auto" w:fill="auto"/>
          </w:tcPr>
          <w:p>
            <w:pPr>
              <w:spacing w:before="0" w:after="0"/>
              <w:rPr>
                <w:noProof/>
              </w:rPr>
            </w:pPr>
            <w:r>
              <w:rPr>
                <w:noProof/>
              </w:rPr>
              <w:t>Année 1:</w:t>
            </w:r>
          </w:p>
        </w:tc>
        <w:tc>
          <w:tcPr>
            <w:tcW w:w="4607" w:type="dxa"/>
            <w:shd w:val="clear" w:color="auto" w:fill="auto"/>
          </w:tcPr>
          <w:p>
            <w:pPr>
              <w:spacing w:before="0" w:after="0"/>
              <w:rPr>
                <w:noProof/>
              </w:rPr>
            </w:pPr>
            <w:r>
              <w:rPr>
                <w:noProof/>
              </w:rPr>
              <w:t xml:space="preserve">183 000 EUR </w:t>
            </w:r>
          </w:p>
          <w:p>
            <w:pPr>
              <w:spacing w:before="0" w:after="0"/>
              <w:rPr>
                <w:noProof/>
              </w:rPr>
            </w:pPr>
          </w:p>
        </w:tc>
      </w:tr>
      <w:tr>
        <w:trPr>
          <w:jc w:val="center"/>
        </w:trPr>
        <w:tc>
          <w:tcPr>
            <w:tcW w:w="4606" w:type="dxa"/>
            <w:shd w:val="clear" w:color="auto" w:fill="auto"/>
          </w:tcPr>
          <w:p>
            <w:pPr>
              <w:spacing w:before="0" w:after="0"/>
              <w:rPr>
                <w:noProof/>
              </w:rPr>
            </w:pPr>
            <w:r>
              <w:rPr>
                <w:noProof/>
              </w:rPr>
              <w:t>Année 2:</w:t>
            </w:r>
          </w:p>
        </w:tc>
        <w:tc>
          <w:tcPr>
            <w:tcW w:w="4607" w:type="dxa"/>
            <w:shd w:val="clear" w:color="auto" w:fill="auto"/>
          </w:tcPr>
          <w:p>
            <w:pPr>
              <w:spacing w:before="0" w:after="0"/>
              <w:rPr>
                <w:noProof/>
              </w:rPr>
            </w:pPr>
            <w:r>
              <w:rPr>
                <w:noProof/>
              </w:rPr>
              <w:t>186 000 EUR</w:t>
            </w:r>
          </w:p>
          <w:p>
            <w:pPr>
              <w:spacing w:before="0" w:after="0"/>
              <w:rPr>
                <w:noProof/>
              </w:rPr>
            </w:pPr>
          </w:p>
        </w:tc>
      </w:tr>
      <w:tr>
        <w:trPr>
          <w:jc w:val="center"/>
        </w:trPr>
        <w:tc>
          <w:tcPr>
            <w:tcW w:w="4606" w:type="dxa"/>
            <w:shd w:val="clear" w:color="auto" w:fill="auto"/>
          </w:tcPr>
          <w:p>
            <w:pPr>
              <w:spacing w:before="0" w:after="0"/>
              <w:rPr>
                <w:noProof/>
              </w:rPr>
            </w:pPr>
            <w:r>
              <w:rPr>
                <w:noProof/>
              </w:rPr>
              <w:t>Année 3:</w:t>
            </w:r>
          </w:p>
          <w:p>
            <w:pPr>
              <w:spacing w:before="0" w:after="0"/>
              <w:rPr>
                <w:noProof/>
              </w:rPr>
            </w:pPr>
          </w:p>
        </w:tc>
        <w:tc>
          <w:tcPr>
            <w:tcW w:w="4607" w:type="dxa"/>
            <w:shd w:val="clear" w:color="auto" w:fill="auto"/>
          </w:tcPr>
          <w:p>
            <w:pPr>
              <w:spacing w:before="0" w:after="0"/>
              <w:rPr>
                <w:noProof/>
              </w:rPr>
            </w:pPr>
            <w:r>
              <w:rPr>
                <w:noProof/>
              </w:rPr>
              <w:t>189 000 EUR</w:t>
            </w:r>
          </w:p>
        </w:tc>
      </w:tr>
    </w:tbl>
    <w:p>
      <w:pPr>
        <w:pStyle w:val="NumPar1"/>
        <w:ind w:left="851"/>
        <w:rPr>
          <w:noProof/>
        </w:rPr>
      </w:pPr>
      <w:r>
        <w:rPr>
          <w:noProof/>
        </w:rPr>
        <w:t>Le concours financier éventuel apporté par les programmes d’assistance de l'Union sera convenu séparément, conformément au programme de l'Union concerné.</w:t>
      </w:r>
    </w:p>
    <w:p>
      <w:pPr>
        <w:pStyle w:val="NumPar1"/>
        <w:rPr>
          <w:noProof/>
        </w:rPr>
      </w:pPr>
      <w:r>
        <w:rPr>
          <w:noProof/>
        </w:rPr>
        <w:t xml:space="preserve">La contribution de la République de Serbie sera gérée conformément au règlement financier applicable au budget général de l'Union européenne. </w:t>
      </w:r>
    </w:p>
    <w:p>
      <w:pPr>
        <w:pStyle w:val="NumPar1"/>
        <w:rPr>
          <w:noProof/>
        </w:rPr>
      </w:pPr>
      <w:r>
        <w:rPr>
          <w:noProof/>
        </w:rPr>
        <w:t>Les frais de voyage et de séjour supportés par les représentants et les experts de la République de Serbie pour leur participation aux travaux de l'Agence ou à des réunions en rapport avec la mise en œuvre de son programme de travail sont remboursés par l'Agence sur la même base et selon les mêmes procédures que celles qui s'appliquent actuellement aux États membres de l'Union européenne.</w:t>
      </w:r>
    </w:p>
    <w:p>
      <w:pPr>
        <w:pStyle w:val="NumPar1"/>
        <w:rPr>
          <w:noProof/>
        </w:rPr>
      </w:pPr>
      <w:r>
        <w:rPr>
          <w:noProof/>
        </w:rPr>
        <w:t>Après l'entrée en vigueur de la présente décision et au début de chaque année qui suit, la Commission adresse à la République de Serbie un appel de fonds correspondant à sa contribution à l'Agence telle qu'elle est prévue par la présente décision. Pour la première année civile de sa participation, la République de Serbie paiera une contribution pro rata temporis, calculée à partir de la date de sa participation jusqu'à la fin de l'année en cours. Les années suivantes, la contribution sera telle que prévue dans le tableau figurant au point 2. À compter de la quatrième année, la contribution sera adaptée compte tenu de toute augmentation ou diminution de la subvention de l’Agence, de manière à maintenir l’analogie entre la contribution de la République de Serbie et le budget de l’Agence pour l’UE-28. La contribution pourra également être réexaminée au cours des exercices financiers suivants sur la base des données statistiques les plus récentes publiées par l’Office statistique de l’Union européenne (Eurostat).</w:t>
      </w:r>
    </w:p>
    <w:p>
      <w:pPr>
        <w:pStyle w:val="NumPar1"/>
        <w:rPr>
          <w:noProof/>
        </w:rPr>
      </w:pPr>
      <w:r>
        <w:rPr>
          <w:noProof/>
        </w:rPr>
        <w:t xml:space="preserve">Cette contribution est exprimée en euros et versée sur un compte bancaire de la Commission de l'Union européenne, libellé en euros. </w:t>
      </w:r>
    </w:p>
    <w:p>
      <w:pPr>
        <w:pStyle w:val="NumPar1"/>
        <w:rPr>
          <w:noProof/>
        </w:rPr>
      </w:pPr>
      <w:r>
        <w:rPr>
          <w:noProof/>
        </w:rPr>
        <w:t>La République de Serbie verse sa contribution conformément à l’appel de fonds pour sa part propre, au plus tard trente jours après l’envoi de cet appel de fonds par la Commission.</w:t>
      </w:r>
    </w:p>
    <w:p>
      <w:pPr>
        <w:pStyle w:val="NumPar1"/>
        <w:rPr>
          <w:noProof/>
        </w:rPr>
      </w:pPr>
      <w:r>
        <w:rPr>
          <w:noProof/>
        </w:rPr>
        <w:t>Tout retard dans le versement de la contribution donne lieu au paiement par la République de Serbie d’intérêts de retard sur le montant restant dû à la date d’échéance. Le taux d'intérêt correspond au taux appliqué par la Banque centrale européenne à la date d'échéance, pour ses opérations en euros, majoré de 1,5 point de pourcentage.</w:t>
      </w:r>
    </w:p>
    <w:p>
      <w:pPr>
        <w:pStyle w:val="Text1"/>
        <w:rPr>
          <w:noProof/>
        </w:rPr>
        <w:sectPr>
          <w:pgSz w:w="12240" w:h="15840" w:code="1"/>
          <w:pgMar w:top="794" w:right="907" w:bottom="851" w:left="1361" w:header="510" w:footer="454" w:gutter="0"/>
          <w:cols w:space="708"/>
          <w:rtlGutter/>
          <w:docGrid w:linePitch="360"/>
        </w:sectPr>
      </w:pPr>
    </w:p>
    <w:p>
      <w:pPr>
        <w:jc w:val="center"/>
        <w:rPr>
          <w:rFonts w:eastAsia="Times New Roman"/>
          <w:noProof/>
          <w:color w:val="008000"/>
          <w:u w:val="single"/>
        </w:rPr>
      </w:pPr>
      <w:r>
        <w:rPr>
          <w:b/>
          <w:noProof/>
          <w:u w:val="single"/>
        </w:rPr>
        <w:t xml:space="preserve">FICHE FINANCIÈRE LÉGISLATIVE </w:t>
      </w:r>
    </w:p>
    <w:p>
      <w:pPr>
        <w:keepNext/>
        <w:tabs>
          <w:tab w:val="left" w:pos="850"/>
        </w:tabs>
        <w:spacing w:before="360"/>
        <w:ind w:left="850" w:hanging="850"/>
        <w:outlineLvl w:val="0"/>
        <w:rPr>
          <w:rFonts w:eastAsia="Times New Roman"/>
          <w:b/>
          <w:smallCaps/>
          <w:noProof/>
        </w:rPr>
      </w:pPr>
      <w:r>
        <w:rPr>
          <w:b/>
          <w:smallCaps/>
          <w:noProof/>
        </w:rPr>
        <w:t>1.</w:t>
      </w:r>
      <w:r>
        <w:rPr>
          <w:noProof/>
        </w:rPr>
        <w:tab/>
      </w:r>
      <w:r>
        <w:rPr>
          <w:b/>
          <w:smallCaps/>
          <w:noProof/>
        </w:rPr>
        <w:t xml:space="preserve">CADRE DE LA PROPOSITION/DE L'INITIATIVE </w:t>
      </w:r>
    </w:p>
    <w:p>
      <w:pPr>
        <w:keepNext/>
        <w:tabs>
          <w:tab w:val="left" w:pos="850"/>
        </w:tabs>
        <w:ind w:left="850" w:hanging="850"/>
        <w:outlineLvl w:val="1"/>
        <w:rPr>
          <w:rFonts w:eastAsia="Times New Roman"/>
          <w:noProof/>
        </w:rPr>
      </w:pPr>
      <w:r>
        <w:rPr>
          <w:noProof/>
        </w:rPr>
        <w:tab/>
        <w:t>1.1.</w:t>
      </w:r>
      <w:r>
        <w:rPr>
          <w:noProof/>
        </w:rPr>
        <w:tab/>
        <w:t xml:space="preserve">Dénomination de la proposition/de l'initiative </w:t>
      </w:r>
    </w:p>
    <w:p>
      <w:pPr>
        <w:keepNext/>
        <w:tabs>
          <w:tab w:val="left" w:pos="850"/>
        </w:tabs>
        <w:ind w:left="850" w:hanging="850"/>
        <w:outlineLvl w:val="1"/>
        <w:rPr>
          <w:rFonts w:eastAsia="Times New Roman"/>
          <w:noProof/>
        </w:rPr>
      </w:pPr>
      <w:r>
        <w:rPr>
          <w:noProof/>
        </w:rPr>
        <w:tab/>
        <w:t>1.2.</w:t>
      </w:r>
      <w:r>
        <w:rPr>
          <w:noProof/>
        </w:rPr>
        <w:tab/>
        <w:t>Domaine(s) politique(s) concerné(s) dans la structure ABM/ABB</w:t>
      </w:r>
    </w:p>
    <w:p>
      <w:pPr>
        <w:keepNext/>
        <w:tabs>
          <w:tab w:val="left" w:pos="850"/>
        </w:tabs>
        <w:ind w:left="850" w:hanging="850"/>
        <w:outlineLvl w:val="1"/>
        <w:rPr>
          <w:rFonts w:eastAsia="Times New Roman"/>
          <w:noProof/>
        </w:rPr>
      </w:pPr>
      <w:r>
        <w:rPr>
          <w:noProof/>
        </w:rPr>
        <w:tab/>
        <w:t>1.3.</w:t>
      </w:r>
      <w:r>
        <w:rPr>
          <w:noProof/>
        </w:rPr>
        <w:tab/>
        <w:t xml:space="preserve">Nature de la proposition/de l'initiative </w:t>
      </w:r>
    </w:p>
    <w:p>
      <w:pPr>
        <w:keepNext/>
        <w:tabs>
          <w:tab w:val="left" w:pos="850"/>
        </w:tabs>
        <w:ind w:left="850" w:hanging="850"/>
        <w:outlineLvl w:val="1"/>
        <w:rPr>
          <w:rFonts w:eastAsia="Times New Roman"/>
          <w:noProof/>
        </w:rPr>
      </w:pPr>
      <w:r>
        <w:rPr>
          <w:noProof/>
        </w:rPr>
        <w:tab/>
        <w:t>1.4.</w:t>
      </w:r>
      <w:r>
        <w:rPr>
          <w:noProof/>
        </w:rPr>
        <w:tab/>
        <w:t xml:space="preserve">Objectif(s) </w:t>
      </w:r>
    </w:p>
    <w:p>
      <w:pPr>
        <w:keepNext/>
        <w:tabs>
          <w:tab w:val="left" w:pos="850"/>
        </w:tabs>
        <w:ind w:left="850" w:hanging="850"/>
        <w:outlineLvl w:val="1"/>
        <w:rPr>
          <w:rFonts w:eastAsia="Times New Roman"/>
          <w:noProof/>
        </w:rPr>
      </w:pPr>
      <w:r>
        <w:rPr>
          <w:noProof/>
        </w:rPr>
        <w:tab/>
        <w:t>1.5.</w:t>
      </w:r>
      <w:r>
        <w:rPr>
          <w:noProof/>
        </w:rPr>
        <w:tab/>
        <w:t xml:space="preserve">Justification(s) de la proposition/de l'initiative </w:t>
      </w:r>
    </w:p>
    <w:p>
      <w:pPr>
        <w:keepNext/>
        <w:tabs>
          <w:tab w:val="left" w:pos="850"/>
        </w:tabs>
        <w:ind w:left="850" w:hanging="850"/>
        <w:outlineLvl w:val="1"/>
        <w:rPr>
          <w:rFonts w:eastAsia="Times New Roman"/>
          <w:noProof/>
        </w:rPr>
      </w:pPr>
      <w:r>
        <w:rPr>
          <w:noProof/>
        </w:rPr>
        <w:tab/>
        <w:t>1.6.</w:t>
      </w:r>
      <w:r>
        <w:rPr>
          <w:noProof/>
        </w:rPr>
        <w:tab/>
        <w:t xml:space="preserve">Durée et incidence financière </w:t>
      </w:r>
    </w:p>
    <w:p>
      <w:pPr>
        <w:keepNext/>
        <w:tabs>
          <w:tab w:val="left" w:pos="850"/>
        </w:tabs>
        <w:ind w:left="850" w:hanging="850"/>
        <w:outlineLvl w:val="1"/>
        <w:rPr>
          <w:rFonts w:eastAsia="Times New Roman"/>
          <w:noProof/>
        </w:rPr>
      </w:pPr>
      <w:r>
        <w:rPr>
          <w:noProof/>
        </w:rPr>
        <w:tab/>
        <w:t>1.7.</w:t>
      </w:r>
      <w:r>
        <w:rPr>
          <w:noProof/>
        </w:rPr>
        <w:tab/>
        <w:t xml:space="preserve">Mode(s) de gestion prévu(s) </w:t>
      </w:r>
    </w:p>
    <w:p>
      <w:pPr>
        <w:keepNext/>
        <w:tabs>
          <w:tab w:val="left" w:pos="850"/>
        </w:tabs>
        <w:spacing w:before="360"/>
        <w:ind w:left="850" w:hanging="850"/>
        <w:outlineLvl w:val="0"/>
        <w:rPr>
          <w:rFonts w:eastAsia="Times New Roman"/>
          <w:b/>
          <w:smallCaps/>
          <w:noProof/>
        </w:rPr>
      </w:pPr>
      <w:r>
        <w:rPr>
          <w:b/>
          <w:smallCaps/>
          <w:noProof/>
        </w:rPr>
        <w:t>2.</w:t>
      </w:r>
      <w:r>
        <w:rPr>
          <w:noProof/>
        </w:rPr>
        <w:tab/>
      </w:r>
      <w:r>
        <w:rPr>
          <w:b/>
          <w:smallCaps/>
          <w:noProof/>
        </w:rPr>
        <w:t xml:space="preserve">MESURES DE GESTION </w:t>
      </w:r>
    </w:p>
    <w:p>
      <w:pPr>
        <w:keepNext/>
        <w:tabs>
          <w:tab w:val="left" w:pos="850"/>
        </w:tabs>
        <w:ind w:left="850" w:hanging="850"/>
        <w:outlineLvl w:val="1"/>
        <w:rPr>
          <w:rFonts w:eastAsia="Times New Roman"/>
          <w:noProof/>
        </w:rPr>
      </w:pPr>
      <w:r>
        <w:rPr>
          <w:noProof/>
        </w:rPr>
        <w:tab/>
        <w:t>2.1.</w:t>
      </w:r>
      <w:r>
        <w:rPr>
          <w:noProof/>
        </w:rPr>
        <w:tab/>
        <w:t xml:space="preserve">Dispositions en matière de suivi et de compte rendu </w:t>
      </w:r>
    </w:p>
    <w:p>
      <w:pPr>
        <w:keepNext/>
        <w:tabs>
          <w:tab w:val="left" w:pos="850"/>
        </w:tabs>
        <w:ind w:left="850" w:hanging="850"/>
        <w:outlineLvl w:val="1"/>
        <w:rPr>
          <w:rFonts w:eastAsia="Times New Roman"/>
          <w:noProof/>
        </w:rPr>
      </w:pPr>
      <w:r>
        <w:rPr>
          <w:noProof/>
        </w:rPr>
        <w:tab/>
        <w:t>2.2.</w:t>
      </w:r>
      <w:r>
        <w:rPr>
          <w:noProof/>
        </w:rPr>
        <w:tab/>
        <w:t xml:space="preserve">Système de gestion et de contrôle </w:t>
      </w:r>
    </w:p>
    <w:p>
      <w:pPr>
        <w:keepNext/>
        <w:tabs>
          <w:tab w:val="left" w:pos="850"/>
        </w:tabs>
        <w:ind w:left="850" w:hanging="850"/>
        <w:outlineLvl w:val="1"/>
        <w:rPr>
          <w:rFonts w:eastAsia="Times New Roman"/>
          <w:noProof/>
        </w:rPr>
      </w:pPr>
      <w:r>
        <w:rPr>
          <w:noProof/>
        </w:rPr>
        <w:tab/>
        <w:t>2.3.</w:t>
      </w:r>
      <w:r>
        <w:rPr>
          <w:noProof/>
        </w:rPr>
        <w:tab/>
        <w:t xml:space="preserve">Mesures de prévention des fraudes et irrégularités </w:t>
      </w:r>
    </w:p>
    <w:p>
      <w:pPr>
        <w:keepNext/>
        <w:tabs>
          <w:tab w:val="left" w:pos="850"/>
        </w:tabs>
        <w:spacing w:before="360"/>
        <w:ind w:left="850" w:hanging="850"/>
        <w:outlineLvl w:val="0"/>
        <w:rPr>
          <w:rFonts w:eastAsia="Times New Roman"/>
          <w:b/>
          <w:smallCaps/>
          <w:noProof/>
        </w:rPr>
      </w:pPr>
      <w:r>
        <w:rPr>
          <w:b/>
          <w:smallCaps/>
          <w:noProof/>
        </w:rPr>
        <w:t>3.</w:t>
      </w:r>
      <w:r>
        <w:rPr>
          <w:noProof/>
        </w:rPr>
        <w:tab/>
      </w:r>
      <w:r>
        <w:rPr>
          <w:b/>
          <w:smallCaps/>
          <w:noProof/>
        </w:rPr>
        <w:t xml:space="preserve">INCIDENCE FINANCIÈRE ESTIMÉE DE LA PROPOSITION/DE L'INITIATIVE </w:t>
      </w:r>
    </w:p>
    <w:p>
      <w:pPr>
        <w:keepNext/>
        <w:tabs>
          <w:tab w:val="left" w:pos="850"/>
        </w:tabs>
        <w:ind w:left="850" w:hanging="850"/>
        <w:outlineLvl w:val="1"/>
        <w:rPr>
          <w:rFonts w:eastAsia="Times New Roman"/>
          <w:noProof/>
        </w:rPr>
      </w:pPr>
      <w:r>
        <w:rPr>
          <w:noProof/>
        </w:rPr>
        <w:tab/>
        <w:t>3.1.</w:t>
      </w:r>
      <w:r>
        <w:rPr>
          <w:noProof/>
        </w:rPr>
        <w:tab/>
        <w:t xml:space="preserve">Rubrique(s) du cadre financier pluriannuel et ligne(s) budgétaire(s) de dépenses concernée(s) </w:t>
      </w:r>
    </w:p>
    <w:p>
      <w:pPr>
        <w:keepNext/>
        <w:tabs>
          <w:tab w:val="left" w:pos="850"/>
        </w:tabs>
        <w:ind w:left="850" w:hanging="850"/>
        <w:outlineLvl w:val="1"/>
        <w:rPr>
          <w:rFonts w:eastAsia="Times New Roman"/>
          <w:b/>
          <w:noProof/>
        </w:rPr>
      </w:pPr>
      <w:r>
        <w:rPr>
          <w:noProof/>
        </w:rPr>
        <w:tab/>
        <w:t>3.2.</w:t>
      </w:r>
      <w:r>
        <w:rPr>
          <w:noProof/>
        </w:rPr>
        <w:tab/>
        <w:t>Incidence estimée sur les dépenses</w:t>
      </w:r>
      <w:r>
        <w:rPr>
          <w:b/>
          <w:noProof/>
        </w:rPr>
        <w:t xml:space="preserve"> </w:t>
      </w:r>
    </w:p>
    <w:p>
      <w:pPr>
        <w:keepNext/>
        <w:tabs>
          <w:tab w:val="left" w:pos="850"/>
        </w:tabs>
        <w:ind w:left="850" w:hanging="850"/>
        <w:outlineLvl w:val="2"/>
        <w:rPr>
          <w:rFonts w:eastAsia="Times New Roman"/>
          <w:i/>
          <w:noProof/>
        </w:rPr>
      </w:pPr>
      <w:r>
        <w:rPr>
          <w:noProof/>
        </w:rPr>
        <w:tab/>
      </w:r>
      <w:r>
        <w:rPr>
          <w:i/>
          <w:noProof/>
        </w:rPr>
        <w:t>3.2.1.</w:t>
      </w:r>
      <w:r>
        <w:rPr>
          <w:noProof/>
        </w:rPr>
        <w:tab/>
      </w:r>
      <w:r>
        <w:rPr>
          <w:i/>
          <w:noProof/>
        </w:rPr>
        <w:t xml:space="preserve">Synthèse de l'incidence estimée sur les dépenses </w:t>
      </w:r>
    </w:p>
    <w:p>
      <w:pPr>
        <w:keepNext/>
        <w:tabs>
          <w:tab w:val="left" w:pos="850"/>
        </w:tabs>
        <w:ind w:left="850" w:hanging="850"/>
        <w:outlineLvl w:val="2"/>
        <w:rPr>
          <w:rFonts w:eastAsia="Times New Roman"/>
          <w:i/>
          <w:noProof/>
        </w:rPr>
      </w:pPr>
      <w:r>
        <w:rPr>
          <w:noProof/>
        </w:rPr>
        <w:tab/>
      </w:r>
      <w:r>
        <w:rPr>
          <w:i/>
          <w:noProof/>
        </w:rPr>
        <w:t>3.2.2.</w:t>
      </w:r>
      <w:r>
        <w:rPr>
          <w:noProof/>
        </w:rPr>
        <w:tab/>
      </w:r>
      <w:r>
        <w:rPr>
          <w:i/>
          <w:noProof/>
        </w:rPr>
        <w:t xml:space="preserve">Incidence estimée sur les crédits de l’Agence </w:t>
      </w:r>
    </w:p>
    <w:p>
      <w:pPr>
        <w:keepNext/>
        <w:tabs>
          <w:tab w:val="left" w:pos="850"/>
        </w:tabs>
        <w:ind w:left="850" w:hanging="850"/>
        <w:outlineLvl w:val="2"/>
        <w:rPr>
          <w:rFonts w:eastAsia="Times New Roman"/>
          <w:i/>
          <w:noProof/>
        </w:rPr>
      </w:pPr>
      <w:r>
        <w:rPr>
          <w:noProof/>
        </w:rPr>
        <w:tab/>
      </w:r>
      <w:r>
        <w:rPr>
          <w:i/>
          <w:noProof/>
        </w:rPr>
        <w:t>3.2.3.</w:t>
      </w:r>
      <w:r>
        <w:rPr>
          <w:noProof/>
        </w:rPr>
        <w:tab/>
      </w:r>
      <w:r>
        <w:rPr>
          <w:i/>
          <w:noProof/>
        </w:rPr>
        <w:t>Incidence estimée sur les ressources humaines de l’Agence</w:t>
      </w:r>
    </w:p>
    <w:p>
      <w:pPr>
        <w:keepNext/>
        <w:tabs>
          <w:tab w:val="left" w:pos="850"/>
        </w:tabs>
        <w:ind w:left="850" w:hanging="850"/>
        <w:outlineLvl w:val="2"/>
        <w:rPr>
          <w:rFonts w:eastAsia="Times New Roman"/>
          <w:i/>
          <w:noProof/>
        </w:rPr>
      </w:pPr>
      <w:r>
        <w:rPr>
          <w:noProof/>
        </w:rPr>
        <w:tab/>
      </w:r>
      <w:r>
        <w:rPr>
          <w:i/>
          <w:noProof/>
        </w:rPr>
        <w:t>3.2.4.</w:t>
      </w:r>
      <w:r>
        <w:rPr>
          <w:noProof/>
        </w:rPr>
        <w:tab/>
      </w:r>
      <w:r>
        <w:rPr>
          <w:i/>
          <w:noProof/>
        </w:rPr>
        <w:t>Compatibilité avec le cadre financier pluriannuel actuel</w:t>
      </w:r>
    </w:p>
    <w:p>
      <w:pPr>
        <w:keepNext/>
        <w:tabs>
          <w:tab w:val="left" w:pos="850"/>
        </w:tabs>
        <w:ind w:left="850" w:hanging="850"/>
        <w:outlineLvl w:val="2"/>
        <w:rPr>
          <w:rFonts w:eastAsia="Times New Roman"/>
          <w:i/>
          <w:noProof/>
        </w:rPr>
      </w:pPr>
      <w:r>
        <w:rPr>
          <w:noProof/>
        </w:rPr>
        <w:tab/>
      </w:r>
      <w:r>
        <w:rPr>
          <w:i/>
          <w:noProof/>
        </w:rPr>
        <w:t>3.2.5.</w:t>
      </w:r>
      <w:r>
        <w:rPr>
          <w:noProof/>
        </w:rPr>
        <w:tab/>
      </w:r>
      <w:r>
        <w:rPr>
          <w:i/>
          <w:noProof/>
        </w:rPr>
        <w:t xml:space="preserve">Participation de tiers au financement </w:t>
      </w:r>
    </w:p>
    <w:p>
      <w:pPr>
        <w:keepNext/>
        <w:tabs>
          <w:tab w:val="left" w:pos="850"/>
        </w:tabs>
        <w:ind w:left="850" w:hanging="850"/>
        <w:jc w:val="left"/>
        <w:outlineLvl w:val="1"/>
        <w:rPr>
          <w:rFonts w:eastAsia="Times New Roman"/>
          <w:noProof/>
        </w:rPr>
      </w:pPr>
      <w:r>
        <w:rPr>
          <w:noProof/>
        </w:rPr>
        <w:tab/>
        <w:t>3.3.</w:t>
      </w:r>
      <w:r>
        <w:rPr>
          <w:noProof/>
        </w:rPr>
        <w:tab/>
        <w:t>Incidence estimée sur les recettes</w:t>
      </w:r>
    </w:p>
    <w:p>
      <w:pPr>
        <w:rPr>
          <w:rFonts w:eastAsia="Times New Roman"/>
          <w:noProof/>
        </w:rPr>
        <w:sectPr>
          <w:pgSz w:w="12240" w:h="15840"/>
          <w:pgMar w:top="794" w:right="907" w:bottom="851" w:left="1361" w:header="510" w:footer="454" w:gutter="0"/>
          <w:cols w:space="720"/>
          <w:docGrid w:linePitch="326"/>
        </w:sectPr>
      </w:pPr>
    </w:p>
    <w:p>
      <w:pPr>
        <w:jc w:val="center"/>
        <w:rPr>
          <w:rFonts w:eastAsia="Times New Roman"/>
          <w:b/>
          <w:noProof/>
          <w:u w:val="single"/>
        </w:rPr>
      </w:pPr>
      <w:r>
        <w:rPr>
          <w:b/>
          <w:noProof/>
          <w:u w:val="single"/>
        </w:rPr>
        <w:t xml:space="preserve">FICHE FINANCIÈRE LÉGISLATIVE </w:t>
      </w:r>
    </w:p>
    <w:p>
      <w:pPr>
        <w:pStyle w:val="Heading1"/>
        <w:numPr>
          <w:ilvl w:val="0"/>
          <w:numId w:val="12"/>
        </w:numPr>
        <w:rPr>
          <w:rFonts w:eastAsia="Times New Roman"/>
          <w:noProof/>
          <w:szCs w:val="24"/>
        </w:rPr>
      </w:pPr>
      <w:r>
        <w:rPr>
          <w:noProof/>
        </w:rPr>
        <w:t xml:space="preserve">CADRE DE LA PROPOSITION/DE L'INITIATIVE </w:t>
      </w:r>
    </w:p>
    <w:p>
      <w:pPr>
        <w:pStyle w:val="Heading2"/>
        <w:rPr>
          <w:rFonts w:eastAsia="Times New Roman"/>
          <w:noProof/>
          <w:lang w:eastAsia="en-GB" w:bidi="ar-SA"/>
        </w:rPr>
      </w:pPr>
      <w:r>
        <w:rPr>
          <w:rFonts w:eastAsia="Times New Roman"/>
          <w:noProof/>
          <w:lang w:eastAsia="en-GB" w:bidi="ar-SA"/>
        </w:rPr>
        <w:t xml:space="preserve">Dénomination de la proposition/de l'initiative </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Décision du Conseil sur une position de l’Union en ce qui concerne la participation de la République de Serbie en tant qu’observateur aux travaux de l’Agence des droits fondamentaux de l'Union européenne et les modalités de cette participation, dans le cadre établi par le règlement (CE) n° 168/2007 du Conseil</w:t>
      </w:r>
    </w:p>
    <w:p>
      <w:pPr>
        <w:pStyle w:val="Heading2"/>
        <w:rPr>
          <w:rFonts w:eastAsia="Times New Roman"/>
          <w:noProof/>
          <w:lang w:eastAsia="en-GB" w:bidi="ar-SA"/>
        </w:rPr>
      </w:pPr>
      <w:r>
        <w:rPr>
          <w:rFonts w:eastAsia="Times New Roman"/>
          <w:noProof/>
          <w:lang w:eastAsia="en-GB" w:bidi="ar-SA"/>
        </w:rPr>
        <w:t>Domaine(s) politique(s) concerné(s) dans la structure ABM/ABB</w:t>
      </w:r>
      <w:r>
        <w:rPr>
          <w:rStyle w:val="FootnoteReference"/>
          <w:noProof/>
        </w:rPr>
        <w:footnoteReference w:id="2"/>
      </w:r>
      <w:r>
        <w:rPr>
          <w:rFonts w:eastAsia="Times New Roman"/>
          <w:noProof/>
          <w:lang w:eastAsia="en-GB" w:bidi="ar-SA"/>
        </w:rPr>
        <w:t xml:space="preserve"> </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u w:val="single"/>
        </w:rPr>
        <w:t>Domaine(s) politique(s)</w:t>
      </w:r>
      <w:r>
        <w:rPr>
          <w:noProof/>
        </w:rPr>
        <w:t>:</w:t>
      </w:r>
      <w:r>
        <w:rPr>
          <w:noProof/>
        </w:rPr>
        <w:tab/>
      </w:r>
      <w:r>
        <w:rPr>
          <w:noProof/>
        </w:rPr>
        <w:tab/>
        <w:t>33</w:t>
      </w:r>
      <w:r>
        <w:rPr>
          <w:noProof/>
        </w:rPr>
        <w:tab/>
        <w:t>«Justice et consommateurs»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u w:val="single"/>
        </w:rPr>
        <w:t>Activité(s):</w:t>
      </w:r>
      <w:r>
        <w:rPr>
          <w:noProof/>
        </w:rPr>
        <w:tab/>
        <w:t>33 02</w:t>
      </w:r>
      <w:r>
        <w:rPr>
          <w:noProof/>
        </w:rPr>
        <w:tab/>
        <w:t>«Droits, égalité et citoyenneté»</w:t>
      </w:r>
    </w:p>
    <w:p>
      <w:pPr>
        <w:pStyle w:val="Heading2"/>
        <w:rPr>
          <w:rFonts w:eastAsia="Times New Roman"/>
          <w:noProof/>
          <w:lang w:eastAsia="en-GB" w:bidi="ar-SA"/>
        </w:rPr>
      </w:pPr>
      <w:r>
        <w:rPr>
          <w:rFonts w:eastAsia="Times New Roman"/>
          <w:noProof/>
          <w:lang w:eastAsia="en-GB" w:bidi="ar-SA"/>
        </w:rPr>
        <w:t xml:space="preserve">Nature de la proposition/de l'initiative </w:t>
      </w:r>
    </w:p>
    <w:p>
      <w:pPr>
        <w:ind w:left="850"/>
        <w:rPr>
          <w:rFonts w:eastAsia="Times New Roman"/>
          <w:b/>
          <w:noProof/>
        </w:rPr>
      </w:pPr>
      <w:r>
        <w:rPr>
          <w:noProof/>
        </w:rPr>
        <w:t xml:space="preserve">La proposition/l'initiative porte sur </w:t>
      </w:r>
      <w:r>
        <w:rPr>
          <w:b/>
          <w:noProof/>
        </w:rPr>
        <w:t xml:space="preserve">une action nouvelle </w:t>
      </w:r>
    </w:p>
    <w:p>
      <w:pPr>
        <w:pStyle w:val="Heading2"/>
        <w:rPr>
          <w:rFonts w:eastAsia="Times New Roman"/>
          <w:noProof/>
          <w:lang w:eastAsia="en-GB" w:bidi="ar-SA"/>
        </w:rPr>
      </w:pPr>
      <w:r>
        <w:rPr>
          <w:rFonts w:eastAsia="Times New Roman"/>
          <w:noProof/>
          <w:lang w:eastAsia="en-GB" w:bidi="ar-SA"/>
        </w:rPr>
        <w:t>Objectif(s)</w:t>
      </w:r>
    </w:p>
    <w:p>
      <w:pPr>
        <w:pStyle w:val="Heading3"/>
        <w:rPr>
          <w:rFonts w:eastAsia="Times New Roman"/>
          <w:noProof/>
          <w:lang w:eastAsia="en-GB" w:bidi="ar-SA"/>
        </w:rPr>
      </w:pPr>
      <w:r>
        <w:rPr>
          <w:rFonts w:eastAsia="Times New Roman"/>
          <w:noProof/>
          <w:lang w:eastAsia="en-GB" w:bidi="ar-SA"/>
        </w:rPr>
        <w:t xml:space="preserve">Objectif(s) stratégique(s) pluriannuel(s) de la Commission visé(s) par la proposition/l'initiative </w:t>
      </w:r>
    </w:p>
    <w:p>
      <w:pPr>
        <w:pBdr>
          <w:top w:val="single" w:sz="4" w:space="1" w:color="auto"/>
          <w:left w:val="single" w:sz="4" w:space="4" w:color="auto"/>
          <w:bottom w:val="single" w:sz="4" w:space="1" w:color="auto"/>
          <w:right w:val="single" w:sz="4" w:space="4" w:color="auto"/>
        </w:pBdr>
        <w:ind w:left="850"/>
        <w:rPr>
          <w:rFonts w:eastAsia="Times New Roman"/>
          <w:noProof/>
          <w:color w:val="0000FF"/>
        </w:rPr>
      </w:pPr>
      <w:r>
        <w:rPr>
          <w:noProof/>
        </w:rPr>
        <w:t>La participation de la République de Serbie en tant qu’observateur aux travaux de l’Agence contribuera à l’alignement progressif de ce pays sur le droit de l’Union et à la réussite de sa préparation à l’adhésion à l’Union européenne.</w:t>
      </w:r>
    </w:p>
    <w:p>
      <w:pPr>
        <w:pStyle w:val="Heading3"/>
        <w:rPr>
          <w:rFonts w:eastAsia="Times New Roman"/>
          <w:noProof/>
          <w:lang w:eastAsia="en-GB" w:bidi="ar-SA"/>
        </w:rPr>
      </w:pPr>
      <w:r>
        <w:rPr>
          <w:rFonts w:eastAsia="Times New Roman"/>
          <w:noProof/>
          <w:lang w:eastAsia="en-GB" w:bidi="ar-SA"/>
        </w:rPr>
        <w:t xml:space="preserve">Objectif(s) spécifique(s) et activité(s) ABM/ABB concernée(s)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u w:val="single"/>
        </w:rPr>
        <w:t>Objectif spécifique:</w:t>
      </w:r>
    </w:p>
    <w:p>
      <w:pPr>
        <w:pBdr>
          <w:top w:val="single" w:sz="4" w:space="1" w:color="auto"/>
          <w:left w:val="single" w:sz="4" w:space="4" w:color="auto"/>
          <w:bottom w:val="single" w:sz="4" w:space="1" w:color="auto"/>
          <w:right w:val="single" w:sz="4" w:space="4" w:color="auto"/>
        </w:pBdr>
        <w:ind w:left="850"/>
        <w:rPr>
          <w:rFonts w:eastAsia="Times New Roman"/>
          <w:noProof/>
          <w:color w:val="0000FF"/>
        </w:rPr>
      </w:pPr>
      <w:r>
        <w:rPr>
          <w:noProof/>
        </w:rPr>
        <w:t>La décision proposée permettra à la République de Serbie de participer en tant qu'observateur aux travaux de l'Agence et à celle-ci d'examiner des questions relatives aux droits fondamentaux en République de Serbie.</w:t>
      </w:r>
      <w:r>
        <w:rPr>
          <w:noProof/>
          <w:color w:val="0000FF"/>
        </w:rPr>
        <w:t xml:space="preserve">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u w:val="single"/>
        </w:rPr>
        <w:t>Activité(s) ABM/ABB concernée(s):</w:t>
      </w:r>
      <w:r>
        <w:rPr>
          <w:noProof/>
        </w:rPr>
        <w:t xml:space="preserve">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33 02</w:t>
      </w:r>
      <w:r>
        <w:rPr>
          <w:noProof/>
        </w:rPr>
        <w:tab/>
      </w:r>
      <w:r>
        <w:rPr>
          <w:noProof/>
        </w:rPr>
        <w:tab/>
        <w:t>«Droits, égalité et citoyenneté»</w:t>
      </w:r>
    </w:p>
    <w:p>
      <w:pPr>
        <w:pStyle w:val="Heading3"/>
        <w:rPr>
          <w:rFonts w:eastAsia="Times New Roman"/>
          <w:noProof/>
          <w:lang w:eastAsia="en-GB" w:bidi="ar-SA"/>
        </w:rPr>
      </w:pPr>
      <w:r>
        <w:rPr>
          <w:rFonts w:eastAsia="Times New Roman"/>
          <w:noProof/>
          <w:lang w:eastAsia="en-GB" w:bidi="ar-SA"/>
        </w:rPr>
        <w:t xml:space="preserve">Résultat(s) et incidence(s) attendus </w:t>
      </w:r>
    </w:p>
    <w:p>
      <w:pPr>
        <w:ind w:left="850"/>
        <w:rPr>
          <w:rFonts w:eastAsia="Times New Roman"/>
          <w:i/>
          <w:noProof/>
          <w:sz w:val="20"/>
        </w:rPr>
      </w:pPr>
      <w:r>
        <w:rPr>
          <w:i/>
          <w:noProof/>
          <w:sz w:val="20"/>
        </w:rPr>
        <w:t>Préciser les effets que la proposition/l'initiative devrait avoir sur les bénéficiaires/la population visée.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La participation de la République de Serbie en tant qu’observateur aux travaux de l’Agence contribuera à l’alignement progressif de ce pays sur le droit de l’Union et à la réussite de sa préparation à l’adhésion à l’Union européenne.</w:t>
      </w:r>
    </w:p>
    <w:p>
      <w:pPr>
        <w:pStyle w:val="Heading3"/>
        <w:rPr>
          <w:rFonts w:eastAsia="Times New Roman"/>
          <w:noProof/>
          <w:lang w:eastAsia="en-GB" w:bidi="ar-SA"/>
        </w:rPr>
      </w:pPr>
      <w:r>
        <w:rPr>
          <w:rFonts w:eastAsia="Times New Roman"/>
          <w:noProof/>
          <w:lang w:eastAsia="en-GB" w:bidi="ar-SA"/>
        </w:rPr>
        <w:t xml:space="preserve">Indicateurs de résultats et d'incidences </w:t>
      </w:r>
    </w:p>
    <w:p>
      <w:pPr>
        <w:ind w:left="850"/>
        <w:rPr>
          <w:rFonts w:eastAsia="Times New Roman"/>
          <w:i/>
          <w:noProof/>
          <w:sz w:val="20"/>
        </w:rPr>
      </w:pPr>
      <w:r>
        <w:rPr>
          <w:i/>
          <w:noProof/>
          <w:sz w:val="20"/>
        </w:rPr>
        <w:t>Préciser les indicateurs permettant de suivre la réalisation de la proposition/de l'initiative.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xml:space="preserve">La décision proposée permettra à l’Agence d'exécuter en République de Serbie les tâches prévues dans le cadre des articles 4 et 5 du règlement (CE) n° 168/2007 du Conseil (ci-après le «règlement»). </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Les indicateurs de performance sont au cœur des activités de planification, de suivi, d’évaluation et de compte rendu de l’Agence. Les indicateurs fixés dans le cadre de mesure des performances (CMP) sont utilisés pour mesurer la performance globale de l’Agence. Le CMP contient des indicateurs au niveau des projets, qui décrivent le résultat prévu de chaque intervention, et des indicateurs à court terme, à long terme et d'impact visé, dont la plupart sont mesurés après l'achèvement des interventions et, plus précisément, de l’initiative envisagée. Il est important de souligner que le CMP est lié à la fois au plan stratégique et aux programmes de travail annuels. Le CMP de l’Agence comprend une logique d’intervention et une liste des indicateurs de performance, ainsi que l'objectif, les critères d'appréciation, les mesures, les sources et les outils correspondants. Il regroupe toutes les informations et les données relatives aux performances dans un cadre logique. Le CMP de l’Agence est organisé de manière à soutenir l’analyse des performances (c’est-à-dire les activités de suivi, d’évaluation et de compte rendu) à différents niveaux de l’Agence – au niveau d'un projet, d’une activité ou d’un domaine thématique, ainsi qu'au niveau stratégique – et sera utilisé pour le suivi de la mise en œuvre de l’initiative. En particulier, les indicateurs sont différenciés par niveau de réalisation (résultat et incidence à court terme, à long terme et souhaitée) selon les niveaux d’activités représentés dans le modèle logique. Ils sont définis chaque année (également pour l'activité ABM/ABB concernée par l’initiative) dans les programmes de travail opérationnels de l’Agence (document de programmation). Un suivi et une évaluation des performances sont inclus dans le rapport correspondant (rapport d’activité annuel consolidé).</w:t>
      </w:r>
    </w:p>
    <w:p>
      <w:pPr>
        <w:pStyle w:val="Heading2"/>
        <w:rPr>
          <w:rFonts w:eastAsia="Times New Roman"/>
          <w:noProof/>
          <w:lang w:eastAsia="en-GB" w:bidi="ar-SA"/>
        </w:rPr>
      </w:pPr>
      <w:r>
        <w:rPr>
          <w:rFonts w:eastAsia="Times New Roman"/>
          <w:noProof/>
          <w:lang w:eastAsia="en-GB" w:bidi="ar-SA"/>
        </w:rPr>
        <w:t xml:space="preserve">Justification(s) de la proposition/de l'initiative </w:t>
      </w:r>
    </w:p>
    <w:p>
      <w:pPr>
        <w:pStyle w:val="Heading3"/>
        <w:rPr>
          <w:rFonts w:eastAsia="Times New Roman"/>
          <w:noProof/>
          <w:lang w:eastAsia="en-GB" w:bidi="ar-SA"/>
        </w:rPr>
      </w:pPr>
      <w:r>
        <w:rPr>
          <w:rFonts w:eastAsia="Times New Roman"/>
          <w:noProof/>
          <w:lang w:eastAsia="en-GB" w:bidi="ar-SA"/>
        </w:rPr>
        <w:t xml:space="preserve">Besoin(s) à satisfaire à court ou à long terme </w:t>
      </w:r>
    </w:p>
    <w:p>
      <w:pPr>
        <w:pBdr>
          <w:top w:val="single" w:sz="4" w:space="1" w:color="auto"/>
          <w:left w:val="single" w:sz="4" w:space="4" w:color="auto"/>
          <w:bottom w:val="single" w:sz="4" w:space="1" w:color="auto"/>
          <w:right w:val="single" w:sz="4" w:space="4" w:color="auto"/>
        </w:pBdr>
        <w:ind w:left="850"/>
        <w:rPr>
          <w:rFonts w:eastAsia="Times New Roman"/>
          <w:bCs/>
          <w:noProof/>
          <w:szCs w:val="24"/>
        </w:rPr>
      </w:pPr>
      <w:r>
        <w:rPr>
          <w:noProof/>
        </w:rPr>
        <w:t>La décision proposée devrait permettre à la République de Serbie de participer en tant qu'observateur aux travaux de l'Agence et à celle-ci d'examiner des questions relatives aux droits fondamentaux en République de Serbie, dans le cadre fixé par le règlement (CE) n° 168/2007 du Conseil.</w:t>
      </w:r>
    </w:p>
    <w:p>
      <w:pPr>
        <w:pStyle w:val="Heading3"/>
        <w:rPr>
          <w:rFonts w:eastAsia="Times New Roman"/>
          <w:noProof/>
          <w:lang w:eastAsia="en-GB" w:bidi="ar-SA"/>
        </w:rPr>
      </w:pPr>
      <w:r>
        <w:rPr>
          <w:rFonts w:eastAsia="Times New Roman"/>
          <w:noProof/>
          <w:lang w:eastAsia="en-GB" w:bidi="ar-SA"/>
        </w:rPr>
        <w:t>Valeur ajoutée de l'intervention de l'UE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La participation de la République de Serbie en tant qu’observateur aux travaux de l’Agence contribuera à l’alignement progressif de ce pays sur le droit de l’Union.</w:t>
      </w:r>
    </w:p>
    <w:p>
      <w:pPr>
        <w:pStyle w:val="Heading3"/>
        <w:rPr>
          <w:rFonts w:eastAsia="Times New Roman"/>
          <w:noProof/>
          <w:lang w:eastAsia="en-GB" w:bidi="ar-SA"/>
        </w:rPr>
      </w:pPr>
      <w:r>
        <w:rPr>
          <w:rFonts w:eastAsia="Times New Roman"/>
          <w:noProof/>
          <w:lang w:eastAsia="en-GB" w:bidi="ar-SA"/>
        </w:rPr>
        <w:t>Leçons tirées d'expériences similaires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La proposition de règlement (CE) n° 168/2007 du Conseil contenait une analyse d'impact qui abordait la question de la portée géographique des activités de l'Agence.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L'Observatoire européen des phénomènes racistes et xénophobes (EUMC), le précurseur de l'Agence des droits fondamentaux de l'Union européenne, a réalisé des projets PHARE dans différents pays candidats à l'adhésion (en 2003, dans les dix pays candidats qui ont adhéré à l'UE en 2004, ainsi qu'en Roumanie, Bulgarie, Turquie et Croatie), qui se sont révélés très positifs, tant pour les pays candidats que pour l'EUMC.</w:t>
      </w:r>
    </w:p>
    <w:p>
      <w:pPr>
        <w:pStyle w:val="Heading3"/>
        <w:rPr>
          <w:rFonts w:eastAsia="Times New Roman"/>
          <w:noProof/>
          <w:lang w:eastAsia="en-GB" w:bidi="ar-SA"/>
        </w:rPr>
      </w:pPr>
      <w:r>
        <w:rPr>
          <w:rFonts w:eastAsia="Times New Roman"/>
          <w:noProof/>
          <w:lang w:eastAsia="en-GB" w:bidi="ar-SA"/>
        </w:rPr>
        <w:t>Compatibilité et synergie éventuelle avec d'autres instruments appropriés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Une partie du coût de la participation de la République de Serbie sera supportée par l'IAP.</w:t>
      </w:r>
    </w:p>
    <w:p>
      <w:pPr>
        <w:pStyle w:val="Heading2"/>
        <w:rPr>
          <w:rFonts w:eastAsia="Times New Roman"/>
          <w:noProof/>
          <w:lang w:eastAsia="en-GB" w:bidi="ar-SA"/>
        </w:rPr>
      </w:pPr>
      <w:r>
        <w:rPr>
          <w:rFonts w:eastAsia="Times New Roman"/>
          <w:noProof/>
          <w:lang w:eastAsia="en-GB" w:bidi="ar-SA"/>
        </w:rPr>
        <w:t xml:space="preserve">Durée et incidence financière </w:t>
      </w:r>
    </w:p>
    <w:p>
      <w:pPr>
        <w:tabs>
          <w:tab w:val="num" w:pos="840"/>
        </w:tabs>
        <w:ind w:left="840" w:firstLine="11"/>
        <w:rPr>
          <w:rFonts w:eastAsia="Times New Roman"/>
          <w:noProof/>
        </w:rPr>
      </w:pPr>
      <w:r>
        <w:rPr>
          <w:noProof/>
        </w:rPr>
        <w:t>Proposition/initiative en vigueur à partir de la date d’entrée en vigueur de la décision (voir son article 9) jusqu’à l’adhésion de la République de Serbie à l’Union européenne.</w:t>
      </w:r>
    </w:p>
    <w:p>
      <w:pPr>
        <w:tabs>
          <w:tab w:val="num" w:pos="840"/>
        </w:tabs>
        <w:ind w:left="840" w:firstLine="11"/>
        <w:rPr>
          <w:rFonts w:eastAsia="Times New Roman"/>
          <w:noProof/>
        </w:rPr>
      </w:pPr>
      <w:r>
        <w:rPr>
          <w:noProof/>
        </w:rPr>
        <w:t>Incidence financière à partir de la date d’entrée en vigueur de la décision jusqu’à l’adhésion de la République de Serbie à l’Union européenne.</w:t>
      </w:r>
    </w:p>
    <w:p>
      <w:pPr>
        <w:pStyle w:val="Heading2"/>
        <w:rPr>
          <w:rFonts w:eastAsia="Times New Roman"/>
          <w:noProof/>
          <w:lang w:eastAsia="en-GB" w:bidi="ar-SA"/>
        </w:rPr>
      </w:pPr>
      <w:r>
        <w:rPr>
          <w:rFonts w:eastAsia="Times New Roman"/>
          <w:noProof/>
          <w:lang w:eastAsia="en-GB" w:bidi="ar-SA"/>
        </w:rPr>
        <w:t>Mode(s) de gestion prévu(s)</w:t>
      </w:r>
      <w:r>
        <w:rPr>
          <w:rStyle w:val="FootnoteReference"/>
          <w:noProof/>
        </w:rPr>
        <w:footnoteReference w:id="3"/>
      </w:r>
      <w:r>
        <w:rPr>
          <w:rFonts w:eastAsia="Times New Roman"/>
          <w:noProof/>
          <w:lang w:eastAsia="en-GB" w:bidi="ar-SA"/>
        </w:rPr>
        <w:t xml:space="preserve"> </w:t>
      </w:r>
    </w:p>
    <w:p>
      <w:pPr>
        <w:ind w:left="850"/>
        <w:rPr>
          <w:rFonts w:eastAsia="Times New Roman"/>
          <w:noProof/>
        </w:rPr>
      </w:pPr>
      <w:r>
        <w:rPr>
          <w:b/>
          <w:noProof/>
        </w:rPr>
        <w:t>Gestion indirecte</w:t>
      </w:r>
      <w:r>
        <w:rPr>
          <w:noProof/>
        </w:rPr>
        <w:t xml:space="preserve"> en confiant des tâches d’exécution budgétaire aux organismes visés aux articles 208 et 209 du règlement financier.</w:t>
      </w:r>
    </w:p>
    <w:p>
      <w:pPr>
        <w:rPr>
          <w:rFonts w:eastAsia="Times New Roman"/>
          <w:noProof/>
        </w:rPr>
        <w:sectPr>
          <w:pgSz w:w="12240" w:h="15840"/>
          <w:pgMar w:top="794" w:right="907" w:bottom="851" w:left="1361" w:header="510" w:footer="454" w:gutter="0"/>
          <w:cols w:space="720"/>
          <w:docGrid w:linePitch="326"/>
        </w:sectPr>
      </w:pPr>
    </w:p>
    <w:p>
      <w:pPr>
        <w:pStyle w:val="Heading1"/>
        <w:rPr>
          <w:rFonts w:eastAsia="Times New Roman"/>
          <w:noProof/>
          <w:szCs w:val="24"/>
        </w:rPr>
      </w:pPr>
      <w:r>
        <w:rPr>
          <w:noProof/>
        </w:rPr>
        <w:t xml:space="preserve">MESURES DE GESTION </w:t>
      </w:r>
    </w:p>
    <w:p>
      <w:pPr>
        <w:pStyle w:val="Heading2"/>
        <w:rPr>
          <w:rFonts w:eastAsia="Times New Roman"/>
          <w:noProof/>
          <w:szCs w:val="24"/>
        </w:rPr>
      </w:pPr>
      <w:r>
        <w:rPr>
          <w:noProof/>
        </w:rPr>
        <w:t xml:space="preserve">Dispositions en matière de suivi et de compte rendu </w:t>
      </w:r>
    </w:p>
    <w:p>
      <w:pPr>
        <w:ind w:left="850"/>
        <w:rPr>
          <w:rFonts w:eastAsia="Times New Roman"/>
          <w:i/>
          <w:noProof/>
          <w:sz w:val="20"/>
        </w:rPr>
      </w:pPr>
      <w:r>
        <w:rPr>
          <w:i/>
          <w:noProof/>
          <w:sz w:val="20"/>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rFonts w:eastAsia="Times New Roman"/>
          <w:noProof/>
          <w:color w:val="0000FF"/>
        </w:rPr>
      </w:pPr>
      <w:r>
        <w:rPr>
          <w:noProof/>
        </w:rPr>
        <w:t>Les travaux de l'Agence des droits fondamentaux de l'UE, notamment la participation de pays candidats aux activités de l'Agence, sont régulièrement évalués conformément au cadre établi par le règlement (CE) n° 168/2007 du Conseil et compte tenu du cadre pluriannuel et des documents de programmation de l'Agence.</w:t>
      </w:r>
      <w:r>
        <w:rPr>
          <w:noProof/>
          <w:color w:val="0000FF"/>
        </w:rPr>
        <w:t xml:space="preserve"> </w:t>
      </w:r>
    </w:p>
    <w:p>
      <w:pPr>
        <w:pStyle w:val="Heading2"/>
        <w:rPr>
          <w:noProof/>
        </w:rPr>
      </w:pPr>
      <w:r>
        <w:rPr>
          <w:noProof/>
        </w:rPr>
        <w:t xml:space="preserve">Système de gestion et de contrôle </w:t>
      </w:r>
    </w:p>
    <w:p>
      <w:pPr>
        <w:pStyle w:val="Heading3"/>
        <w:rPr>
          <w:rFonts w:eastAsia="Times New Roman"/>
          <w:noProof/>
          <w:lang w:val="en-GB" w:eastAsia="en-GB" w:bidi="ar-SA"/>
        </w:rPr>
      </w:pPr>
      <w:r>
        <w:rPr>
          <w:rFonts w:eastAsia="Times New Roman"/>
          <w:noProof/>
          <w:lang w:val="en-GB" w:eastAsia="en-GB" w:bidi="ar-SA"/>
        </w:rPr>
        <w:t xml:space="preserve">Risque(s) identifié(s)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1) Connaissance par le personnel du marché spécifique.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2) Problèmes spécifiques liés à la collecte de données relatives aux droits fondamentaux du fait de l'absence de prestataires sur le marché.</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3) Incidence sur le processus de passation des marchés du fait de l'absence de prestataires de services en matière de collecte de données relatives aux droits fondamentaux.</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4) Incidence sur les résultats de la recherche du fait de l'insuffisance ou de l'absence de données.</w:t>
      </w:r>
    </w:p>
    <w:p>
      <w:pPr>
        <w:pStyle w:val="Heading3"/>
        <w:rPr>
          <w:rFonts w:eastAsia="Times New Roman"/>
          <w:noProof/>
          <w:lang w:eastAsia="en-GB" w:bidi="ar-SA"/>
        </w:rPr>
      </w:pPr>
      <w:r>
        <w:rPr>
          <w:rFonts w:eastAsia="Times New Roman"/>
          <w:noProof/>
          <w:lang w:eastAsia="en-GB" w:bidi="ar-SA"/>
        </w:rPr>
        <w:t xml:space="preserve">Moyen(s) de contrôle prévu(s)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1) Analyse des connaissances, aptitudes et compétences particulières requises pour la mise en œuvre de l'action et identification des mesures de formation nécessaires en ce qui concerne le personnel.</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2) Renforcement de la surveillance des activités des contractants, en particulier lorsque la fourniture de données relatives aux droits fondamentaux est une activité nouvelle pour eux.</w:t>
      </w:r>
    </w:p>
    <w:p>
      <w:pPr>
        <w:pStyle w:val="Heading2"/>
        <w:rPr>
          <w:rFonts w:eastAsia="Times New Roman"/>
          <w:noProof/>
          <w:lang w:eastAsia="en-GB" w:bidi="ar-SA"/>
        </w:rPr>
      </w:pPr>
      <w:r>
        <w:rPr>
          <w:rFonts w:eastAsia="Times New Roman"/>
          <w:noProof/>
          <w:lang w:eastAsia="en-GB" w:bidi="ar-SA"/>
        </w:rPr>
        <w:t xml:space="preserve">Mesures de prévention des fraudes et irrégularités </w:t>
      </w:r>
    </w:p>
    <w:p>
      <w:pPr>
        <w:ind w:left="850"/>
        <w:rPr>
          <w:rFonts w:eastAsia="Times New Roman"/>
          <w:i/>
          <w:noProof/>
          <w:sz w:val="20"/>
        </w:rPr>
      </w:pPr>
      <w:r>
        <w:rPr>
          <w:i/>
          <w:noProof/>
          <w:sz w:val="20"/>
        </w:rPr>
        <w:t>Préciser les mesures de prévention et de protection existantes ou envisagées.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Afin de lutter contre la fraude, la corruption et d'autres activités illicites, les dispositions du règlement (UE, Euratom) n° 883/2013 s’appliquent sans restriction à l'Agence des droits fondamentaux de l'UE.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L'Agence adhère à l'accord interinstitutionnel du 25 mai 1999 entre le Parlement européen, le Conseil de l'Union européenne et la Commission des Communautés européennes relatif aux enquêtes internes effectuées par l'Office européen de lutte antifraude (OLAF) et applique sans délai la disposition applicable dans le contexte de la stratégie de lutte contre la fraude et du plan d'action correspondant de l'Agence.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Les décisions de financement et les accords et instruments d'application y relatifs prévoient expressément que la Cour des comptes et l'OLAF peuvent, au besoin, effectuer un contrôle sur place auprès des bénéficiaires des crédits de l'Agence, ainsi qu'auprès des agents chargés de l'attribution de ces crédits.</w:t>
      </w:r>
    </w:p>
    <w:p>
      <w:pPr>
        <w:rPr>
          <w:rFonts w:eastAsia="Times New Roman"/>
          <w:noProof/>
        </w:rPr>
        <w:sectPr>
          <w:pgSz w:w="12240" w:h="15840"/>
          <w:pgMar w:top="794" w:right="907" w:bottom="851" w:left="1361" w:header="510" w:footer="454" w:gutter="0"/>
          <w:cols w:space="720"/>
          <w:docGrid w:linePitch="326"/>
        </w:sectPr>
      </w:pPr>
    </w:p>
    <w:p>
      <w:pPr>
        <w:pStyle w:val="Heading1"/>
        <w:rPr>
          <w:rFonts w:eastAsia="Times New Roman"/>
          <w:noProof/>
          <w:szCs w:val="24"/>
        </w:rPr>
      </w:pPr>
      <w:r>
        <w:rPr>
          <w:noProof/>
        </w:rPr>
        <w:t xml:space="preserve">INCIDENCE FINANCIÈRE ESTIMÉE DE LA PROPOSITION/DE L'INITIATIVE </w:t>
      </w:r>
    </w:p>
    <w:p>
      <w:pPr>
        <w:pStyle w:val="Heading2"/>
        <w:rPr>
          <w:rFonts w:eastAsia="Times New Roman"/>
          <w:noProof/>
          <w:lang w:eastAsia="en-GB" w:bidi="ar-SA"/>
        </w:rPr>
      </w:pPr>
      <w:r>
        <w:rPr>
          <w:rFonts w:eastAsia="Times New Roman"/>
          <w:noProof/>
          <w:lang w:eastAsia="en-GB" w:bidi="ar-SA"/>
        </w:rPr>
        <w:t xml:space="preserve">Rubrique(s) du cadre financier pluriannuel et ligne(s) budgétaire(s) de dépenses concernée(s) </w:t>
      </w:r>
    </w:p>
    <w:p>
      <w:pPr>
        <w:tabs>
          <w:tab w:val="num" w:pos="1134"/>
        </w:tabs>
        <w:ind w:left="1134" w:hanging="283"/>
        <w:rPr>
          <w:rFonts w:eastAsia="Times New Roman"/>
          <w:noProof/>
        </w:rPr>
      </w:pPr>
      <w:r>
        <w:rPr>
          <w:noProof/>
        </w:rPr>
        <w:t xml:space="preserve">Lignes budgétaires existantes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rFonts w:eastAsia="Times New Roman"/>
                <w:noProof/>
                <w:sz w:val="18"/>
              </w:rPr>
            </w:pPr>
            <w:r>
              <w:rPr>
                <w:noProof/>
                <w:sz w:val="18"/>
              </w:rPr>
              <w:t>Rubrique du cadre financier pluriannuel</w:t>
            </w:r>
          </w:p>
        </w:tc>
        <w:tc>
          <w:tcPr>
            <w:tcW w:w="3960" w:type="dxa"/>
            <w:vAlign w:val="center"/>
          </w:tcPr>
          <w:p>
            <w:pPr>
              <w:spacing w:before="60" w:after="60"/>
              <w:jc w:val="center"/>
              <w:rPr>
                <w:rFonts w:eastAsia="Times New Roman"/>
                <w:noProof/>
              </w:rPr>
            </w:pPr>
            <w:r>
              <w:rPr>
                <w:noProof/>
                <w:sz w:val="20"/>
              </w:rPr>
              <w:t>Ligne budgétaire</w:t>
            </w:r>
          </w:p>
        </w:tc>
        <w:tc>
          <w:tcPr>
            <w:tcW w:w="1080" w:type="dxa"/>
            <w:vAlign w:val="center"/>
          </w:tcPr>
          <w:p>
            <w:pPr>
              <w:spacing w:before="60" w:after="60"/>
              <w:jc w:val="center"/>
              <w:rPr>
                <w:rFonts w:eastAsia="Times New Roman"/>
                <w:noProof/>
              </w:rPr>
            </w:pPr>
            <w:r>
              <w:rPr>
                <w:noProof/>
              </w:rPr>
              <w:t xml:space="preserve">Nature de </w:t>
            </w:r>
            <w:r>
              <w:rPr>
                <w:noProof/>
                <w:sz w:val="18"/>
              </w:rPr>
              <w:t>la dépense</w:t>
            </w:r>
          </w:p>
        </w:tc>
        <w:tc>
          <w:tcPr>
            <w:tcW w:w="4556" w:type="dxa"/>
            <w:gridSpan w:val="4"/>
            <w:vAlign w:val="center"/>
          </w:tcPr>
          <w:p>
            <w:pPr>
              <w:spacing w:before="60" w:after="60"/>
              <w:jc w:val="center"/>
              <w:rPr>
                <w:rFonts w:eastAsia="Times New Roman"/>
                <w:noProof/>
              </w:rPr>
            </w:pPr>
            <w:r>
              <w:rPr>
                <w:noProof/>
                <w:sz w:val="20"/>
              </w:rPr>
              <w:t xml:space="preserve">Participation </w:t>
            </w:r>
          </w:p>
        </w:tc>
      </w:tr>
      <w:tr>
        <w:tc>
          <w:tcPr>
            <w:tcW w:w="1080" w:type="dxa"/>
            <w:vMerge/>
            <w:vAlign w:val="center"/>
          </w:tcPr>
          <w:p>
            <w:pPr>
              <w:rPr>
                <w:rFonts w:eastAsia="Times New Roman"/>
                <w:noProof/>
                <w:sz w:val="18"/>
              </w:rPr>
            </w:pPr>
          </w:p>
        </w:tc>
        <w:tc>
          <w:tcPr>
            <w:tcW w:w="3960" w:type="dxa"/>
            <w:vAlign w:val="center"/>
          </w:tcPr>
          <w:p>
            <w:pPr>
              <w:rPr>
                <w:rFonts w:eastAsia="Times New Roman"/>
                <w:noProof/>
              </w:rPr>
            </w:pPr>
            <w:r>
              <w:rPr>
                <w:noProof/>
              </w:rPr>
              <w:t xml:space="preserve">Numéro </w:t>
            </w:r>
            <w:r>
              <w:rPr>
                <w:noProof/>
                <w:sz w:val="20"/>
              </w:rPr>
              <w:t>Rubrique………………………...…………</w:t>
            </w:r>
          </w:p>
        </w:tc>
        <w:tc>
          <w:tcPr>
            <w:tcW w:w="1080" w:type="dxa"/>
            <w:vAlign w:val="center"/>
          </w:tcPr>
          <w:p>
            <w:pPr>
              <w:jc w:val="center"/>
              <w:rPr>
                <w:rFonts w:eastAsia="Times New Roman"/>
                <w:noProof/>
              </w:rPr>
            </w:pPr>
            <w:r>
              <w:rPr>
                <w:noProof/>
                <w:sz w:val="18"/>
              </w:rPr>
              <w:t>CD/CND</w:t>
            </w:r>
            <w:r>
              <w:rPr>
                <w:rStyle w:val="FootnoteReference"/>
                <w:noProof/>
              </w:rPr>
              <w:footnoteReference w:id="4"/>
            </w:r>
          </w:p>
        </w:tc>
        <w:tc>
          <w:tcPr>
            <w:tcW w:w="956" w:type="dxa"/>
            <w:vAlign w:val="center"/>
          </w:tcPr>
          <w:p>
            <w:pPr>
              <w:jc w:val="center"/>
              <w:rPr>
                <w:rFonts w:eastAsia="Times New Roman"/>
                <w:noProof/>
              </w:rPr>
            </w:pPr>
            <w:r>
              <w:rPr>
                <w:noProof/>
                <w:sz w:val="18"/>
              </w:rPr>
              <w:t>de pays AELE</w:t>
            </w:r>
            <w:r>
              <w:rPr>
                <w:rStyle w:val="FootnoteReference"/>
                <w:noProof/>
              </w:rPr>
              <w:footnoteReference w:id="5"/>
            </w:r>
          </w:p>
        </w:tc>
        <w:tc>
          <w:tcPr>
            <w:tcW w:w="1080" w:type="dxa"/>
            <w:vAlign w:val="center"/>
          </w:tcPr>
          <w:p>
            <w:pPr>
              <w:jc w:val="center"/>
              <w:rPr>
                <w:rFonts w:eastAsia="Times New Roman"/>
                <w:noProof/>
                <w:sz w:val="18"/>
              </w:rPr>
            </w:pPr>
            <w:r>
              <w:rPr>
                <w:noProof/>
                <w:sz w:val="18"/>
              </w:rPr>
              <w:t>de pays candidats</w:t>
            </w:r>
            <w:r>
              <w:rPr>
                <w:rStyle w:val="FootnoteReference"/>
                <w:noProof/>
              </w:rPr>
              <w:footnoteReference w:id="6"/>
            </w:r>
          </w:p>
        </w:tc>
        <w:tc>
          <w:tcPr>
            <w:tcW w:w="956" w:type="dxa"/>
            <w:vAlign w:val="center"/>
          </w:tcPr>
          <w:p>
            <w:pPr>
              <w:jc w:val="center"/>
              <w:rPr>
                <w:rFonts w:eastAsia="Times New Roman"/>
                <w:noProof/>
                <w:sz w:val="18"/>
              </w:rPr>
            </w:pPr>
            <w:r>
              <w:rPr>
                <w:noProof/>
                <w:sz w:val="18"/>
              </w:rPr>
              <w:t>de pays tiers</w:t>
            </w:r>
          </w:p>
        </w:tc>
        <w:tc>
          <w:tcPr>
            <w:tcW w:w="1564" w:type="dxa"/>
            <w:vAlign w:val="center"/>
          </w:tcPr>
          <w:p>
            <w:pPr>
              <w:jc w:val="center"/>
              <w:rPr>
                <w:rFonts w:eastAsia="Times New Roman"/>
                <w:noProof/>
                <w:sz w:val="16"/>
                <w:szCs w:val="16"/>
              </w:rPr>
            </w:pPr>
            <w:r>
              <w:rPr>
                <w:noProof/>
                <w:sz w:val="16"/>
              </w:rPr>
              <w:t xml:space="preserve">au sens de l’article 21, paragraphe 2, point b), du règlement financier </w:t>
            </w:r>
          </w:p>
        </w:tc>
      </w:tr>
      <w:tr>
        <w:tc>
          <w:tcPr>
            <w:tcW w:w="1080" w:type="dxa"/>
            <w:vAlign w:val="center"/>
          </w:tcPr>
          <w:p>
            <w:pPr>
              <w:jc w:val="center"/>
              <w:rPr>
                <w:rFonts w:eastAsia="Times New Roman"/>
                <w:noProof/>
              </w:rPr>
            </w:pPr>
            <w:r>
              <w:rPr>
                <w:noProof/>
                <w:sz w:val="20"/>
              </w:rPr>
              <w:t>3</w:t>
            </w:r>
          </w:p>
        </w:tc>
        <w:tc>
          <w:tcPr>
            <w:tcW w:w="3960" w:type="dxa"/>
            <w:vAlign w:val="center"/>
          </w:tcPr>
          <w:p>
            <w:pPr>
              <w:spacing w:before="60"/>
              <w:rPr>
                <w:rFonts w:eastAsia="Times New Roman"/>
                <w:noProof/>
              </w:rPr>
            </w:pPr>
            <w:r>
              <w:rPr>
                <w:noProof/>
                <w:sz w:val="20"/>
              </w:rPr>
              <w:t>33.0206</w:t>
            </w:r>
          </w:p>
          <w:p>
            <w:pPr>
              <w:spacing w:after="60"/>
              <w:rPr>
                <w:rFonts w:eastAsia="Times New Roman"/>
                <w:noProof/>
              </w:rPr>
            </w:pPr>
            <w:r>
              <w:rPr>
                <w:noProof/>
                <w:sz w:val="20"/>
              </w:rPr>
              <w:t>Agence des droits fondamentaux de l’Union européenne</w:t>
            </w:r>
          </w:p>
        </w:tc>
        <w:tc>
          <w:tcPr>
            <w:tcW w:w="1080" w:type="dxa"/>
            <w:vAlign w:val="center"/>
          </w:tcPr>
          <w:p>
            <w:pPr>
              <w:jc w:val="center"/>
              <w:rPr>
                <w:rFonts w:eastAsia="Times New Roman"/>
                <w:noProof/>
              </w:rPr>
            </w:pPr>
            <w:r>
              <w:rPr>
                <w:noProof/>
                <w:sz w:val="18"/>
              </w:rPr>
              <w:t>CND</w:t>
            </w:r>
          </w:p>
        </w:tc>
        <w:tc>
          <w:tcPr>
            <w:tcW w:w="956" w:type="dxa"/>
            <w:vAlign w:val="center"/>
          </w:tcPr>
          <w:p>
            <w:pPr>
              <w:jc w:val="center"/>
              <w:rPr>
                <w:rFonts w:eastAsia="Times New Roman"/>
                <w:noProof/>
                <w:sz w:val="18"/>
              </w:rPr>
            </w:pPr>
            <w:r>
              <w:rPr>
                <w:noProof/>
                <w:sz w:val="18"/>
              </w:rPr>
              <w:t>NON</w:t>
            </w:r>
          </w:p>
        </w:tc>
        <w:tc>
          <w:tcPr>
            <w:tcW w:w="1080" w:type="dxa"/>
            <w:vAlign w:val="center"/>
          </w:tcPr>
          <w:p>
            <w:pPr>
              <w:jc w:val="center"/>
              <w:rPr>
                <w:rFonts w:eastAsia="Times New Roman"/>
                <w:noProof/>
                <w:sz w:val="18"/>
              </w:rPr>
            </w:pPr>
            <w:r>
              <w:rPr>
                <w:noProof/>
                <w:sz w:val="18"/>
              </w:rPr>
              <w:t>OUI</w:t>
            </w:r>
          </w:p>
        </w:tc>
        <w:tc>
          <w:tcPr>
            <w:tcW w:w="956" w:type="dxa"/>
            <w:vAlign w:val="center"/>
          </w:tcPr>
          <w:p>
            <w:pPr>
              <w:jc w:val="center"/>
              <w:rPr>
                <w:rFonts w:eastAsia="Times New Roman"/>
                <w:noProof/>
                <w:sz w:val="18"/>
              </w:rPr>
            </w:pPr>
            <w:r>
              <w:rPr>
                <w:noProof/>
                <w:sz w:val="18"/>
              </w:rPr>
              <w:t>NON</w:t>
            </w:r>
          </w:p>
        </w:tc>
        <w:tc>
          <w:tcPr>
            <w:tcW w:w="1564" w:type="dxa"/>
            <w:vAlign w:val="center"/>
          </w:tcPr>
          <w:p>
            <w:pPr>
              <w:jc w:val="center"/>
              <w:rPr>
                <w:rFonts w:eastAsia="Times New Roman"/>
                <w:noProof/>
                <w:sz w:val="18"/>
              </w:rPr>
            </w:pPr>
            <w:r>
              <w:rPr>
                <w:noProof/>
                <w:sz w:val="18"/>
              </w:rPr>
              <w:t>OUI</w:t>
            </w:r>
          </w:p>
        </w:tc>
      </w:tr>
    </w:tbl>
    <w:p>
      <w:pPr>
        <w:pStyle w:val="Heading2"/>
        <w:rPr>
          <w:rFonts w:eastAsia="Times New Roman"/>
          <w:noProof/>
          <w:lang w:eastAsia="en-GB" w:bidi="ar-SA"/>
        </w:rPr>
      </w:pPr>
      <w:r>
        <w:rPr>
          <w:rFonts w:eastAsia="Times New Roman"/>
          <w:noProof/>
          <w:lang w:eastAsia="en-GB" w:bidi="ar-SA"/>
        </w:rPr>
        <w:t xml:space="preserve">Incidence estimée sur les dépenses </w:t>
      </w:r>
    </w:p>
    <w:p>
      <w:pPr>
        <w:pStyle w:val="Heading3"/>
        <w:rPr>
          <w:rFonts w:eastAsia="Times New Roman"/>
          <w:noProof/>
          <w:lang w:eastAsia="en-GB" w:bidi="ar-SA"/>
        </w:rPr>
      </w:pPr>
      <w:r>
        <w:rPr>
          <w:rFonts w:eastAsia="Times New Roman"/>
          <w:noProof/>
          <w:lang w:eastAsia="en-GB" w:bidi="ar-SA"/>
        </w:rPr>
        <w:t xml:space="preserve">Synthèse de l'incidence estimée sur les dépenses </w:t>
      </w:r>
    </w:p>
    <w:p>
      <w:pPr>
        <w:jc w:val="right"/>
        <w:rPr>
          <w:rFonts w:eastAsia="Times New Roman"/>
          <w:noProof/>
          <w:sz w:val="20"/>
        </w:rPr>
      </w:pPr>
      <w:r>
        <w:rPr>
          <w:noProof/>
          <w:sz w:val="20"/>
        </w:rPr>
        <w:t>En millions d'euros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rPr>
            </w:pPr>
            <w:r>
              <w:rPr>
                <w:b/>
                <w:noProof/>
              </w:rPr>
              <w:t>Rubrique du cadre financier</w:t>
            </w:r>
            <w:r>
              <w:rPr>
                <w:rFonts w:eastAsia="Times New Roman"/>
                <w:noProof/>
                <w:sz w:val="22"/>
              </w:rPr>
              <w:br/>
            </w:r>
            <w:r>
              <w:rPr>
                <w:b/>
                <w:noProof/>
                <w:sz w:val="22"/>
              </w:rPr>
              <w:t xml:space="preserve">pluriannuel </w:t>
            </w:r>
          </w:p>
        </w:tc>
        <w:tc>
          <w:tcPr>
            <w:tcW w:w="1080" w:type="dxa"/>
            <w:vAlign w:val="center"/>
          </w:tcPr>
          <w:p>
            <w:pPr>
              <w:spacing w:before="60" w:after="60"/>
              <w:jc w:val="center"/>
              <w:rPr>
                <w:rFonts w:eastAsia="Times New Roman"/>
                <w:noProof/>
              </w:rPr>
            </w:pPr>
            <w:r>
              <w:rPr>
                <w:noProof/>
                <w:sz w:val="22"/>
              </w:rPr>
              <w:t>Numéro</w:t>
            </w:r>
          </w:p>
        </w:tc>
        <w:tc>
          <w:tcPr>
            <w:tcW w:w="7817" w:type="dxa"/>
            <w:vAlign w:val="center"/>
          </w:tcPr>
          <w:p>
            <w:pPr>
              <w:spacing w:before="60" w:after="60"/>
              <w:rPr>
                <w:rFonts w:eastAsia="Times New Roman"/>
                <w:noProof/>
              </w:rPr>
            </w:pPr>
            <w:r>
              <w:rPr>
                <w:noProof/>
                <w:sz w:val="22"/>
              </w:rPr>
              <w:t>3 ..……………………………………………………………….</w:t>
            </w:r>
          </w:p>
        </w:tc>
      </w:tr>
    </w:tbl>
    <w:p>
      <w:pPr>
        <w:rPr>
          <w:rFonts w:eastAsia="Times New Roman"/>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tc>
          <w:tcPr>
            <w:tcW w:w="3960" w:type="dxa"/>
            <w:vAlign w:val="center"/>
          </w:tcPr>
          <w:p>
            <w:pPr>
              <w:jc w:val="center"/>
              <w:rPr>
                <w:rFonts w:eastAsia="Times New Roman"/>
                <w:noProof/>
              </w:rPr>
            </w:pPr>
            <w:r>
              <w:rPr>
                <w:noProof/>
                <w:sz w:val="22"/>
              </w:rPr>
              <w:t>Agence des droits fondamentaux de l’Union européenne – FRA</w:t>
            </w:r>
          </w:p>
        </w:tc>
        <w:tc>
          <w:tcPr>
            <w:tcW w:w="1560" w:type="dxa"/>
            <w:gridSpan w:val="2"/>
          </w:tcPr>
          <w:p>
            <w:pPr>
              <w:rPr>
                <w:rFonts w:eastAsia="Times New Roman"/>
                <w:noProof/>
                <w:sz w:val="20"/>
              </w:rPr>
            </w:pPr>
          </w:p>
        </w:tc>
        <w:tc>
          <w:tcPr>
            <w:tcW w:w="534" w:type="dxa"/>
          </w:tcPr>
          <w:p>
            <w:pPr>
              <w:jc w:val="center"/>
              <w:rPr>
                <w:rFonts w:eastAsia="Times New Roman"/>
                <w:noProof/>
                <w:sz w:val="20"/>
              </w:rPr>
            </w:pPr>
          </w:p>
        </w:tc>
        <w:tc>
          <w:tcPr>
            <w:tcW w:w="868" w:type="dxa"/>
            <w:vAlign w:val="center"/>
          </w:tcPr>
          <w:p>
            <w:pPr>
              <w:jc w:val="center"/>
              <w:rPr>
                <w:rFonts w:eastAsia="Times New Roman"/>
                <w:noProof/>
                <w:sz w:val="20"/>
              </w:rPr>
            </w:pPr>
            <w:r>
              <w:rPr>
                <w:noProof/>
              </w:rPr>
              <w:t>Année</w:t>
            </w:r>
            <w:r>
              <w:rPr>
                <w:b/>
                <w:noProof/>
                <w:sz w:val="20"/>
              </w:rPr>
              <w:t>1</w:t>
            </w:r>
          </w:p>
        </w:tc>
        <w:tc>
          <w:tcPr>
            <w:tcW w:w="868" w:type="dxa"/>
            <w:vAlign w:val="center"/>
          </w:tcPr>
          <w:p>
            <w:pPr>
              <w:jc w:val="center"/>
              <w:rPr>
                <w:rFonts w:eastAsia="Times New Roman"/>
                <w:noProof/>
                <w:sz w:val="20"/>
              </w:rPr>
            </w:pPr>
            <w:r>
              <w:rPr>
                <w:noProof/>
              </w:rPr>
              <w:t>Année</w:t>
            </w:r>
            <w:r>
              <w:rPr>
                <w:b/>
                <w:noProof/>
                <w:sz w:val="20"/>
              </w:rPr>
              <w:t>2</w:t>
            </w:r>
          </w:p>
        </w:tc>
        <w:tc>
          <w:tcPr>
            <w:tcW w:w="868" w:type="dxa"/>
            <w:vAlign w:val="center"/>
          </w:tcPr>
          <w:p>
            <w:pPr>
              <w:jc w:val="center"/>
              <w:rPr>
                <w:rFonts w:eastAsia="Times New Roman"/>
                <w:noProof/>
                <w:sz w:val="20"/>
              </w:rPr>
            </w:pPr>
            <w:r>
              <w:rPr>
                <w:noProof/>
              </w:rPr>
              <w:t>Année</w:t>
            </w:r>
            <w:r>
              <w:rPr>
                <w:b/>
                <w:noProof/>
                <w:sz w:val="20"/>
              </w:rPr>
              <w:t>3</w:t>
            </w:r>
          </w:p>
        </w:tc>
        <w:tc>
          <w:tcPr>
            <w:tcW w:w="1777" w:type="dxa"/>
            <w:vAlign w:val="center"/>
          </w:tcPr>
          <w:p>
            <w:pPr>
              <w:jc w:val="center"/>
              <w:rPr>
                <w:rFonts w:eastAsia="Times New Roman"/>
                <w:b/>
                <w:noProof/>
                <w:sz w:val="20"/>
              </w:rPr>
            </w:pPr>
            <w:r>
              <w:rPr>
                <w:b/>
                <w:noProof/>
                <w:sz w:val="20"/>
              </w:rPr>
              <w:t>TOTAL</w:t>
            </w:r>
          </w:p>
        </w:tc>
      </w:tr>
      <w:tr>
        <w:trPr>
          <w:trHeight w:val="277"/>
        </w:trPr>
        <w:tc>
          <w:tcPr>
            <w:tcW w:w="3960" w:type="dxa"/>
            <w:vMerge w:val="restart"/>
            <w:vAlign w:val="center"/>
          </w:tcPr>
          <w:p>
            <w:pPr>
              <w:rPr>
                <w:rFonts w:eastAsia="Times New Roman"/>
                <w:noProof/>
              </w:rPr>
            </w:pPr>
            <w:r>
              <w:rPr>
                <w:noProof/>
                <w:sz w:val="20"/>
              </w:rPr>
              <w:t>Titre 1 – Dépenses en personnel</w:t>
            </w:r>
          </w:p>
        </w:tc>
        <w:tc>
          <w:tcPr>
            <w:tcW w:w="1440" w:type="dxa"/>
            <w:vAlign w:val="center"/>
          </w:tcPr>
          <w:p>
            <w:pPr>
              <w:spacing w:before="20" w:after="20"/>
              <w:rPr>
                <w:rFonts w:eastAsia="Times New Roman"/>
                <w:noProof/>
              </w:rPr>
            </w:pPr>
            <w:r>
              <w:rPr>
                <w:noProof/>
                <w:sz w:val="18"/>
              </w:rPr>
              <w:t>Engagements</w:t>
            </w:r>
          </w:p>
        </w:tc>
        <w:tc>
          <w:tcPr>
            <w:tcW w:w="654" w:type="dxa"/>
            <w:gridSpan w:val="2"/>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20"/>
              </w:rPr>
            </w:pPr>
            <w:r>
              <w:rPr>
                <w:noProof/>
                <w:sz w:val="20"/>
              </w:rPr>
              <w:t>0,074</w:t>
            </w:r>
          </w:p>
        </w:tc>
        <w:tc>
          <w:tcPr>
            <w:tcW w:w="868" w:type="dxa"/>
            <w:vAlign w:val="center"/>
          </w:tcPr>
          <w:p>
            <w:pPr>
              <w:spacing w:before="20" w:after="20"/>
              <w:jc w:val="right"/>
              <w:rPr>
                <w:rFonts w:eastAsia="Times New Roman"/>
                <w:noProof/>
                <w:sz w:val="20"/>
              </w:rPr>
            </w:pPr>
            <w:r>
              <w:rPr>
                <w:noProof/>
                <w:sz w:val="20"/>
              </w:rPr>
              <w:t>0,075</w:t>
            </w:r>
          </w:p>
        </w:tc>
        <w:tc>
          <w:tcPr>
            <w:tcW w:w="868" w:type="dxa"/>
            <w:vAlign w:val="center"/>
          </w:tcPr>
          <w:p>
            <w:pPr>
              <w:spacing w:before="20" w:after="20"/>
              <w:jc w:val="right"/>
              <w:rPr>
                <w:rFonts w:eastAsia="Times New Roman"/>
                <w:noProof/>
                <w:sz w:val="20"/>
              </w:rPr>
            </w:pPr>
            <w:r>
              <w:rPr>
                <w:noProof/>
                <w:sz w:val="20"/>
              </w:rPr>
              <w:t>0,076</w:t>
            </w:r>
          </w:p>
        </w:tc>
        <w:tc>
          <w:tcPr>
            <w:tcW w:w="1777" w:type="dxa"/>
            <w:vAlign w:val="center"/>
          </w:tcPr>
          <w:p>
            <w:pPr>
              <w:spacing w:before="20" w:after="20"/>
              <w:jc w:val="right"/>
              <w:rPr>
                <w:rFonts w:eastAsia="Times New Roman"/>
                <w:b/>
                <w:noProof/>
                <w:sz w:val="20"/>
              </w:rPr>
            </w:pPr>
            <w:r>
              <w:rPr>
                <w:b/>
                <w:noProof/>
                <w:sz w:val="20"/>
              </w:rPr>
              <w:t>0,225</w:t>
            </w:r>
          </w:p>
        </w:tc>
      </w:tr>
      <w:tr>
        <w:tc>
          <w:tcPr>
            <w:tcW w:w="3960" w:type="dxa"/>
            <w:vMerge/>
            <w:vAlign w:val="center"/>
          </w:tcPr>
          <w:p>
            <w:pPr>
              <w:rPr>
                <w:rFonts w:eastAsia="Times New Roman"/>
                <w:noProof/>
              </w:rPr>
            </w:pPr>
          </w:p>
        </w:tc>
        <w:tc>
          <w:tcPr>
            <w:tcW w:w="1440" w:type="dxa"/>
            <w:vAlign w:val="center"/>
          </w:tcPr>
          <w:p>
            <w:pPr>
              <w:spacing w:before="20" w:after="20"/>
              <w:rPr>
                <w:rFonts w:eastAsia="Times New Roman"/>
                <w:noProof/>
                <w:sz w:val="18"/>
              </w:rPr>
            </w:pPr>
            <w:r>
              <w:rPr>
                <w:noProof/>
                <w:sz w:val="18"/>
              </w:rPr>
              <w:t>Paiements</w:t>
            </w:r>
          </w:p>
        </w:tc>
        <w:tc>
          <w:tcPr>
            <w:tcW w:w="654" w:type="dxa"/>
            <w:gridSpan w:val="2"/>
            <w:vAlign w:val="center"/>
          </w:tcPr>
          <w:p>
            <w:pPr>
              <w:spacing w:before="20" w:after="20"/>
              <w:jc w:val="center"/>
              <w:rPr>
                <w:rFonts w:eastAsia="Times New Roman"/>
                <w:noProof/>
                <w:sz w:val="14"/>
              </w:rPr>
            </w:pPr>
            <w:r>
              <w:rPr>
                <w:noProof/>
                <w:sz w:val="14"/>
              </w:rPr>
              <w:t>(2)</w:t>
            </w:r>
          </w:p>
        </w:tc>
        <w:tc>
          <w:tcPr>
            <w:tcW w:w="868" w:type="dxa"/>
            <w:vAlign w:val="center"/>
          </w:tcPr>
          <w:p>
            <w:pPr>
              <w:spacing w:before="20" w:after="20"/>
              <w:rPr>
                <w:rFonts w:eastAsia="Times New Roman"/>
                <w:noProof/>
                <w:sz w:val="20"/>
              </w:rPr>
            </w:pPr>
            <w:r>
              <w:rPr>
                <w:noProof/>
                <w:sz w:val="20"/>
              </w:rPr>
              <w:t xml:space="preserve">    0,074</w:t>
            </w:r>
          </w:p>
        </w:tc>
        <w:tc>
          <w:tcPr>
            <w:tcW w:w="868" w:type="dxa"/>
            <w:vAlign w:val="center"/>
          </w:tcPr>
          <w:p>
            <w:pPr>
              <w:spacing w:before="20" w:after="20"/>
              <w:jc w:val="right"/>
              <w:rPr>
                <w:rFonts w:eastAsia="Times New Roman"/>
                <w:noProof/>
                <w:sz w:val="20"/>
              </w:rPr>
            </w:pPr>
            <w:r>
              <w:rPr>
                <w:noProof/>
                <w:sz w:val="20"/>
              </w:rPr>
              <w:t>0,075</w:t>
            </w:r>
          </w:p>
        </w:tc>
        <w:tc>
          <w:tcPr>
            <w:tcW w:w="868" w:type="dxa"/>
            <w:vAlign w:val="center"/>
          </w:tcPr>
          <w:p>
            <w:pPr>
              <w:spacing w:before="20" w:after="20"/>
              <w:jc w:val="right"/>
              <w:rPr>
                <w:rFonts w:eastAsia="Times New Roman"/>
                <w:noProof/>
                <w:sz w:val="20"/>
              </w:rPr>
            </w:pPr>
            <w:r>
              <w:rPr>
                <w:noProof/>
                <w:sz w:val="20"/>
              </w:rPr>
              <w:t>0,076</w:t>
            </w:r>
          </w:p>
        </w:tc>
        <w:tc>
          <w:tcPr>
            <w:tcW w:w="1777" w:type="dxa"/>
            <w:vAlign w:val="center"/>
          </w:tcPr>
          <w:p>
            <w:pPr>
              <w:spacing w:before="20" w:after="20"/>
              <w:jc w:val="right"/>
              <w:rPr>
                <w:rFonts w:eastAsia="Times New Roman"/>
                <w:b/>
                <w:noProof/>
                <w:sz w:val="20"/>
              </w:rPr>
            </w:pPr>
            <w:r>
              <w:rPr>
                <w:b/>
                <w:noProof/>
                <w:sz w:val="20"/>
              </w:rPr>
              <w:t>0,225</w:t>
            </w:r>
          </w:p>
        </w:tc>
      </w:tr>
      <w:tr>
        <w:tc>
          <w:tcPr>
            <w:tcW w:w="3960" w:type="dxa"/>
            <w:vMerge w:val="restart"/>
            <w:vAlign w:val="center"/>
          </w:tcPr>
          <w:p>
            <w:pPr>
              <w:rPr>
                <w:rFonts w:eastAsia="Times New Roman"/>
                <w:noProof/>
              </w:rPr>
            </w:pPr>
            <w:r>
              <w:rPr>
                <w:noProof/>
                <w:sz w:val="20"/>
              </w:rPr>
              <w:t>Titre 2 – Dépenses immobilières et dépenses diverses de fonctionnement</w:t>
            </w:r>
          </w:p>
        </w:tc>
        <w:tc>
          <w:tcPr>
            <w:tcW w:w="1440" w:type="dxa"/>
            <w:vAlign w:val="center"/>
          </w:tcPr>
          <w:p>
            <w:pPr>
              <w:spacing w:before="20" w:after="20"/>
              <w:rPr>
                <w:rFonts w:eastAsia="Times New Roman"/>
                <w:noProof/>
                <w:sz w:val="18"/>
              </w:rPr>
            </w:pPr>
            <w:r>
              <w:rPr>
                <w:noProof/>
                <w:sz w:val="18"/>
              </w:rPr>
              <w:t>Engagements</w:t>
            </w:r>
          </w:p>
        </w:tc>
        <w:tc>
          <w:tcPr>
            <w:tcW w:w="654" w:type="dxa"/>
            <w:gridSpan w:val="2"/>
            <w:vAlign w:val="center"/>
          </w:tcPr>
          <w:p>
            <w:pPr>
              <w:spacing w:before="20" w:after="20"/>
              <w:jc w:val="center"/>
              <w:rPr>
                <w:rFonts w:eastAsia="Times New Roman"/>
                <w:noProof/>
                <w:sz w:val="14"/>
              </w:rPr>
            </w:pPr>
            <w:r>
              <w:rPr>
                <w:noProof/>
                <w:sz w:val="14"/>
              </w:rPr>
              <w:t>(1a)</w:t>
            </w:r>
          </w:p>
        </w:tc>
        <w:tc>
          <w:tcPr>
            <w:tcW w:w="868" w:type="dxa"/>
            <w:vAlign w:val="center"/>
          </w:tcPr>
          <w:p>
            <w:pPr>
              <w:spacing w:before="20" w:after="20"/>
              <w:jc w:val="right"/>
              <w:rPr>
                <w:rFonts w:eastAsia="Times New Roman"/>
                <w:noProof/>
                <w:sz w:val="20"/>
              </w:rPr>
            </w:pPr>
            <w:r>
              <w:rPr>
                <w:noProof/>
                <w:sz w:val="20"/>
              </w:rPr>
              <w:t>0,020</w:t>
            </w:r>
          </w:p>
        </w:tc>
        <w:tc>
          <w:tcPr>
            <w:tcW w:w="868" w:type="dxa"/>
            <w:vAlign w:val="center"/>
          </w:tcPr>
          <w:p>
            <w:pPr>
              <w:spacing w:before="20" w:after="20"/>
              <w:jc w:val="right"/>
              <w:rPr>
                <w:rFonts w:eastAsia="Times New Roman"/>
                <w:noProof/>
                <w:sz w:val="20"/>
              </w:rPr>
            </w:pPr>
            <w:r>
              <w:rPr>
                <w:noProof/>
                <w:sz w:val="20"/>
              </w:rPr>
              <w:t>0,021</w:t>
            </w:r>
          </w:p>
        </w:tc>
        <w:tc>
          <w:tcPr>
            <w:tcW w:w="868" w:type="dxa"/>
            <w:vAlign w:val="center"/>
          </w:tcPr>
          <w:p>
            <w:pPr>
              <w:spacing w:before="20" w:after="20"/>
              <w:jc w:val="right"/>
              <w:rPr>
                <w:rFonts w:eastAsia="Times New Roman"/>
                <w:noProof/>
                <w:sz w:val="20"/>
              </w:rPr>
            </w:pPr>
            <w:r>
              <w:rPr>
                <w:noProof/>
                <w:sz w:val="20"/>
              </w:rPr>
              <w:t>0,021</w:t>
            </w:r>
          </w:p>
        </w:tc>
        <w:tc>
          <w:tcPr>
            <w:tcW w:w="1777" w:type="dxa"/>
            <w:vAlign w:val="center"/>
          </w:tcPr>
          <w:p>
            <w:pPr>
              <w:spacing w:before="20" w:after="20"/>
              <w:jc w:val="right"/>
              <w:rPr>
                <w:rFonts w:eastAsia="Times New Roman"/>
                <w:b/>
                <w:noProof/>
                <w:sz w:val="20"/>
              </w:rPr>
            </w:pPr>
            <w:r>
              <w:rPr>
                <w:b/>
                <w:noProof/>
                <w:sz w:val="20"/>
              </w:rPr>
              <w:t>0,062</w:t>
            </w:r>
          </w:p>
        </w:tc>
      </w:tr>
      <w:tr>
        <w:tc>
          <w:tcPr>
            <w:tcW w:w="3960" w:type="dxa"/>
            <w:vMerge/>
            <w:vAlign w:val="center"/>
          </w:tcPr>
          <w:p>
            <w:pPr>
              <w:rPr>
                <w:rFonts w:eastAsia="Times New Roman"/>
                <w:noProof/>
              </w:rPr>
            </w:pPr>
          </w:p>
        </w:tc>
        <w:tc>
          <w:tcPr>
            <w:tcW w:w="1440" w:type="dxa"/>
            <w:vAlign w:val="center"/>
          </w:tcPr>
          <w:p>
            <w:pPr>
              <w:spacing w:before="20" w:after="20"/>
              <w:rPr>
                <w:rFonts w:eastAsia="Times New Roman"/>
                <w:noProof/>
                <w:sz w:val="18"/>
              </w:rPr>
            </w:pPr>
            <w:r>
              <w:rPr>
                <w:noProof/>
                <w:sz w:val="18"/>
              </w:rPr>
              <w:t>Paiements</w:t>
            </w:r>
          </w:p>
        </w:tc>
        <w:tc>
          <w:tcPr>
            <w:tcW w:w="654" w:type="dxa"/>
            <w:gridSpan w:val="2"/>
            <w:vAlign w:val="center"/>
          </w:tcPr>
          <w:p>
            <w:pPr>
              <w:spacing w:before="20" w:after="20"/>
              <w:jc w:val="center"/>
              <w:rPr>
                <w:rFonts w:eastAsia="Times New Roman"/>
                <w:noProof/>
                <w:sz w:val="14"/>
              </w:rPr>
            </w:pPr>
            <w:r>
              <w:rPr>
                <w:noProof/>
                <w:sz w:val="14"/>
              </w:rPr>
              <w:t>(2a)</w:t>
            </w:r>
          </w:p>
        </w:tc>
        <w:tc>
          <w:tcPr>
            <w:tcW w:w="868" w:type="dxa"/>
            <w:vAlign w:val="center"/>
          </w:tcPr>
          <w:p>
            <w:pPr>
              <w:spacing w:before="20" w:after="20"/>
              <w:jc w:val="right"/>
              <w:rPr>
                <w:rFonts w:eastAsia="Times New Roman"/>
                <w:noProof/>
                <w:sz w:val="20"/>
              </w:rPr>
            </w:pPr>
            <w:r>
              <w:rPr>
                <w:noProof/>
                <w:sz w:val="20"/>
              </w:rPr>
              <w:t>0,020</w:t>
            </w:r>
          </w:p>
        </w:tc>
        <w:tc>
          <w:tcPr>
            <w:tcW w:w="868" w:type="dxa"/>
            <w:vAlign w:val="center"/>
          </w:tcPr>
          <w:p>
            <w:pPr>
              <w:spacing w:before="20" w:after="20"/>
              <w:jc w:val="right"/>
              <w:rPr>
                <w:rFonts w:eastAsia="Times New Roman"/>
                <w:noProof/>
                <w:sz w:val="20"/>
              </w:rPr>
            </w:pPr>
            <w:r>
              <w:rPr>
                <w:noProof/>
                <w:sz w:val="20"/>
              </w:rPr>
              <w:t>0,021</w:t>
            </w:r>
          </w:p>
        </w:tc>
        <w:tc>
          <w:tcPr>
            <w:tcW w:w="868" w:type="dxa"/>
            <w:vAlign w:val="center"/>
          </w:tcPr>
          <w:p>
            <w:pPr>
              <w:spacing w:before="20" w:after="20"/>
              <w:jc w:val="right"/>
              <w:rPr>
                <w:rFonts w:eastAsia="Times New Roman"/>
                <w:noProof/>
                <w:sz w:val="20"/>
              </w:rPr>
            </w:pPr>
            <w:r>
              <w:rPr>
                <w:noProof/>
                <w:sz w:val="20"/>
              </w:rPr>
              <w:t>0,021</w:t>
            </w:r>
          </w:p>
        </w:tc>
        <w:tc>
          <w:tcPr>
            <w:tcW w:w="1777" w:type="dxa"/>
            <w:vAlign w:val="center"/>
          </w:tcPr>
          <w:p>
            <w:pPr>
              <w:spacing w:before="20" w:after="20"/>
              <w:jc w:val="right"/>
              <w:rPr>
                <w:rFonts w:eastAsia="Times New Roman"/>
                <w:b/>
                <w:noProof/>
                <w:sz w:val="20"/>
              </w:rPr>
            </w:pPr>
            <w:r>
              <w:rPr>
                <w:b/>
                <w:noProof/>
                <w:sz w:val="20"/>
              </w:rPr>
              <w:t>0,062</w:t>
            </w:r>
          </w:p>
        </w:tc>
      </w:tr>
      <w:tr>
        <w:trPr>
          <w:trHeight w:val="319"/>
        </w:trPr>
        <w:tc>
          <w:tcPr>
            <w:tcW w:w="3960" w:type="dxa"/>
            <w:vAlign w:val="center"/>
          </w:tcPr>
          <w:p>
            <w:pPr>
              <w:spacing w:before="60" w:after="60"/>
              <w:rPr>
                <w:rFonts w:eastAsia="Times New Roman"/>
                <w:noProof/>
              </w:rPr>
            </w:pPr>
            <w:r>
              <w:rPr>
                <w:noProof/>
                <w:sz w:val="20"/>
              </w:rPr>
              <w:t>Titre 3 – Dépenses de fonctionnement</w:t>
            </w:r>
          </w:p>
        </w:tc>
        <w:tc>
          <w:tcPr>
            <w:tcW w:w="1440" w:type="dxa"/>
            <w:vAlign w:val="center"/>
          </w:tcPr>
          <w:p>
            <w:pPr>
              <w:spacing w:before="40" w:after="40"/>
              <w:rPr>
                <w:rFonts w:eastAsia="Times New Roman"/>
                <w:noProof/>
                <w:sz w:val="18"/>
              </w:rPr>
            </w:pPr>
            <w:r>
              <w:rPr>
                <w:noProof/>
                <w:sz w:val="18"/>
              </w:rPr>
              <w:t>Engagements</w:t>
            </w:r>
          </w:p>
        </w:tc>
        <w:tc>
          <w:tcPr>
            <w:tcW w:w="654" w:type="dxa"/>
            <w:gridSpan w:val="2"/>
            <w:vAlign w:val="center"/>
          </w:tcPr>
          <w:p>
            <w:pPr>
              <w:spacing w:before="40" w:after="40"/>
              <w:jc w:val="center"/>
              <w:rPr>
                <w:rFonts w:eastAsia="Times New Roman"/>
                <w:noProof/>
                <w:sz w:val="14"/>
              </w:rPr>
            </w:pPr>
            <w:r>
              <w:rPr>
                <w:noProof/>
                <w:sz w:val="14"/>
              </w:rPr>
              <w:t>(3a)</w:t>
            </w:r>
          </w:p>
        </w:tc>
        <w:tc>
          <w:tcPr>
            <w:tcW w:w="868" w:type="dxa"/>
            <w:vAlign w:val="center"/>
          </w:tcPr>
          <w:p>
            <w:pPr>
              <w:spacing w:before="40" w:after="40"/>
              <w:jc w:val="right"/>
              <w:rPr>
                <w:rFonts w:eastAsia="Times New Roman"/>
                <w:b/>
                <w:noProof/>
                <w:sz w:val="20"/>
              </w:rPr>
            </w:pPr>
            <w:r>
              <w:rPr>
                <w:b/>
                <w:noProof/>
                <w:sz w:val="20"/>
              </w:rPr>
              <w:t>0,086</w:t>
            </w:r>
          </w:p>
        </w:tc>
        <w:tc>
          <w:tcPr>
            <w:tcW w:w="868" w:type="dxa"/>
            <w:vAlign w:val="center"/>
          </w:tcPr>
          <w:p>
            <w:pPr>
              <w:spacing w:before="40" w:after="40"/>
              <w:jc w:val="right"/>
              <w:rPr>
                <w:rFonts w:eastAsia="Times New Roman"/>
                <w:b/>
                <w:noProof/>
                <w:sz w:val="20"/>
              </w:rPr>
            </w:pPr>
            <w:r>
              <w:rPr>
                <w:b/>
                <w:noProof/>
                <w:sz w:val="20"/>
              </w:rPr>
              <w:t>0,087</w:t>
            </w:r>
          </w:p>
        </w:tc>
        <w:tc>
          <w:tcPr>
            <w:tcW w:w="868" w:type="dxa"/>
            <w:vAlign w:val="center"/>
          </w:tcPr>
          <w:p>
            <w:pPr>
              <w:spacing w:before="40" w:after="40"/>
              <w:jc w:val="right"/>
              <w:rPr>
                <w:rFonts w:eastAsia="Times New Roman"/>
                <w:b/>
                <w:noProof/>
                <w:sz w:val="20"/>
              </w:rPr>
            </w:pPr>
            <w:r>
              <w:rPr>
                <w:b/>
                <w:noProof/>
                <w:sz w:val="20"/>
              </w:rPr>
              <w:t>0,089</w:t>
            </w:r>
          </w:p>
        </w:tc>
        <w:tc>
          <w:tcPr>
            <w:tcW w:w="1777" w:type="dxa"/>
            <w:vAlign w:val="center"/>
          </w:tcPr>
          <w:p>
            <w:pPr>
              <w:spacing w:before="40" w:after="40"/>
              <w:jc w:val="right"/>
              <w:rPr>
                <w:rFonts w:eastAsia="Times New Roman"/>
                <w:b/>
                <w:noProof/>
                <w:sz w:val="20"/>
              </w:rPr>
            </w:pPr>
            <w:r>
              <w:rPr>
                <w:b/>
                <w:noProof/>
                <w:sz w:val="20"/>
              </w:rPr>
              <w:t>0,262</w:t>
            </w:r>
          </w:p>
        </w:tc>
      </w:tr>
      <w:tr>
        <w:trPr>
          <w:trHeight w:val="319"/>
        </w:trPr>
        <w:tc>
          <w:tcPr>
            <w:tcW w:w="3960" w:type="dxa"/>
            <w:vAlign w:val="center"/>
          </w:tcPr>
          <w:p>
            <w:pPr>
              <w:spacing w:before="60" w:after="60"/>
              <w:rPr>
                <w:rFonts w:eastAsia="Times New Roman"/>
                <w:b/>
                <w:noProof/>
                <w:sz w:val="20"/>
              </w:rPr>
            </w:pPr>
          </w:p>
        </w:tc>
        <w:tc>
          <w:tcPr>
            <w:tcW w:w="1440" w:type="dxa"/>
            <w:vAlign w:val="center"/>
          </w:tcPr>
          <w:p>
            <w:pPr>
              <w:spacing w:before="40" w:after="40"/>
              <w:rPr>
                <w:rFonts w:eastAsia="Times New Roman"/>
                <w:noProof/>
                <w:sz w:val="18"/>
              </w:rPr>
            </w:pPr>
            <w:r>
              <w:rPr>
                <w:noProof/>
                <w:sz w:val="18"/>
              </w:rPr>
              <w:t>Paiements</w:t>
            </w:r>
          </w:p>
        </w:tc>
        <w:tc>
          <w:tcPr>
            <w:tcW w:w="654" w:type="dxa"/>
            <w:gridSpan w:val="2"/>
            <w:vAlign w:val="center"/>
          </w:tcPr>
          <w:p>
            <w:pPr>
              <w:spacing w:before="40" w:after="40"/>
              <w:jc w:val="center"/>
              <w:rPr>
                <w:rFonts w:eastAsia="Times New Roman"/>
                <w:noProof/>
                <w:sz w:val="14"/>
              </w:rPr>
            </w:pPr>
            <w:r>
              <w:rPr>
                <w:noProof/>
                <w:sz w:val="14"/>
              </w:rPr>
              <w:t>(3b)</w:t>
            </w:r>
          </w:p>
        </w:tc>
        <w:tc>
          <w:tcPr>
            <w:tcW w:w="868" w:type="dxa"/>
            <w:vAlign w:val="center"/>
          </w:tcPr>
          <w:p>
            <w:pPr>
              <w:spacing w:before="40" w:after="40"/>
              <w:jc w:val="right"/>
              <w:rPr>
                <w:rFonts w:eastAsia="Times New Roman"/>
                <w:b/>
                <w:noProof/>
                <w:sz w:val="20"/>
              </w:rPr>
            </w:pPr>
            <w:r>
              <w:rPr>
                <w:b/>
                <w:noProof/>
                <w:sz w:val="20"/>
              </w:rPr>
              <w:t>0,086</w:t>
            </w:r>
          </w:p>
        </w:tc>
        <w:tc>
          <w:tcPr>
            <w:tcW w:w="868" w:type="dxa"/>
            <w:vAlign w:val="center"/>
          </w:tcPr>
          <w:p>
            <w:pPr>
              <w:spacing w:before="40" w:after="40"/>
              <w:jc w:val="right"/>
              <w:rPr>
                <w:rFonts w:eastAsia="Times New Roman"/>
                <w:b/>
                <w:noProof/>
                <w:sz w:val="20"/>
              </w:rPr>
            </w:pPr>
            <w:r>
              <w:rPr>
                <w:b/>
                <w:noProof/>
                <w:sz w:val="20"/>
              </w:rPr>
              <w:t>0,087</w:t>
            </w:r>
          </w:p>
        </w:tc>
        <w:tc>
          <w:tcPr>
            <w:tcW w:w="868" w:type="dxa"/>
            <w:vAlign w:val="center"/>
          </w:tcPr>
          <w:p>
            <w:pPr>
              <w:spacing w:before="40" w:after="40"/>
              <w:jc w:val="right"/>
              <w:rPr>
                <w:rFonts w:eastAsia="Times New Roman"/>
                <w:b/>
                <w:noProof/>
                <w:sz w:val="20"/>
              </w:rPr>
            </w:pPr>
            <w:r>
              <w:rPr>
                <w:b/>
                <w:noProof/>
                <w:sz w:val="20"/>
              </w:rPr>
              <w:t>0,089</w:t>
            </w:r>
          </w:p>
        </w:tc>
        <w:tc>
          <w:tcPr>
            <w:tcW w:w="1777" w:type="dxa"/>
            <w:vAlign w:val="center"/>
          </w:tcPr>
          <w:p>
            <w:pPr>
              <w:spacing w:before="40" w:after="40"/>
              <w:jc w:val="right"/>
              <w:rPr>
                <w:rFonts w:eastAsia="Times New Roman"/>
                <w:b/>
                <w:noProof/>
                <w:sz w:val="20"/>
              </w:rPr>
            </w:pPr>
            <w:r>
              <w:rPr>
                <w:b/>
                <w:noProof/>
                <w:sz w:val="20"/>
              </w:rPr>
              <w:t>0,262</w:t>
            </w:r>
          </w:p>
        </w:tc>
      </w:tr>
      <w:tr>
        <w:tc>
          <w:tcPr>
            <w:tcW w:w="3960" w:type="dxa"/>
            <w:vMerge w:val="restart"/>
            <w:vAlign w:val="center"/>
          </w:tcPr>
          <w:p>
            <w:pPr>
              <w:jc w:val="center"/>
              <w:rPr>
                <w:rFonts w:eastAsia="Times New Roman"/>
                <w:noProof/>
              </w:rPr>
            </w:pPr>
            <w:r>
              <w:rPr>
                <w:b/>
                <w:noProof/>
              </w:rPr>
              <w:t>TOTAL des crédits</w:t>
            </w:r>
            <w:r>
              <w:rPr>
                <w:rFonts w:eastAsia="Times New Roman"/>
                <w:noProof/>
                <w:sz w:val="22"/>
              </w:rPr>
              <w:br/>
            </w:r>
            <w:r>
              <w:rPr>
                <w:b/>
                <w:noProof/>
                <w:sz w:val="22"/>
              </w:rPr>
              <w:t>pour l'Agence des droits fondamentaux de l’Union européenne</w:t>
            </w:r>
          </w:p>
        </w:tc>
        <w:tc>
          <w:tcPr>
            <w:tcW w:w="1440" w:type="dxa"/>
            <w:vAlign w:val="center"/>
          </w:tcPr>
          <w:p>
            <w:pPr>
              <w:rPr>
                <w:rFonts w:eastAsia="Times New Roman"/>
                <w:noProof/>
                <w:sz w:val="18"/>
              </w:rPr>
            </w:pPr>
            <w:r>
              <w:rPr>
                <w:noProof/>
                <w:sz w:val="18"/>
              </w:rPr>
              <w:t>Engagements</w:t>
            </w:r>
          </w:p>
        </w:tc>
        <w:tc>
          <w:tcPr>
            <w:tcW w:w="654" w:type="dxa"/>
            <w:gridSpan w:val="2"/>
            <w:vAlign w:val="center"/>
          </w:tcPr>
          <w:p>
            <w:pPr>
              <w:jc w:val="center"/>
              <w:rPr>
                <w:rFonts w:eastAsia="Times New Roman"/>
                <w:noProof/>
                <w:sz w:val="14"/>
              </w:rPr>
            </w:pPr>
            <w:r>
              <w:rPr>
                <w:noProof/>
                <w:sz w:val="14"/>
              </w:rPr>
              <w:t>=1+1a +3a</w:t>
            </w:r>
          </w:p>
        </w:tc>
        <w:tc>
          <w:tcPr>
            <w:tcW w:w="868" w:type="dxa"/>
            <w:vAlign w:val="center"/>
          </w:tcPr>
          <w:p>
            <w:pPr>
              <w:spacing w:before="20" w:after="20"/>
              <w:jc w:val="right"/>
              <w:rPr>
                <w:rFonts w:eastAsia="Times New Roman"/>
                <w:noProof/>
                <w:sz w:val="20"/>
              </w:rPr>
            </w:pPr>
            <w:r>
              <w:rPr>
                <w:noProof/>
                <w:sz w:val="20"/>
              </w:rPr>
              <w:t>0,180</w:t>
            </w:r>
          </w:p>
        </w:tc>
        <w:tc>
          <w:tcPr>
            <w:tcW w:w="868" w:type="dxa"/>
            <w:vAlign w:val="center"/>
          </w:tcPr>
          <w:p>
            <w:pPr>
              <w:spacing w:before="20" w:after="20"/>
              <w:jc w:val="right"/>
              <w:rPr>
                <w:rFonts w:eastAsia="Times New Roman"/>
                <w:noProof/>
                <w:sz w:val="20"/>
              </w:rPr>
            </w:pPr>
            <w:r>
              <w:rPr>
                <w:noProof/>
                <w:sz w:val="20"/>
              </w:rPr>
              <w:t>0,183</w:t>
            </w:r>
          </w:p>
        </w:tc>
        <w:tc>
          <w:tcPr>
            <w:tcW w:w="868" w:type="dxa"/>
            <w:vAlign w:val="center"/>
          </w:tcPr>
          <w:p>
            <w:pPr>
              <w:spacing w:before="20" w:after="20"/>
              <w:jc w:val="right"/>
              <w:rPr>
                <w:rFonts w:eastAsia="Times New Roman"/>
                <w:noProof/>
                <w:sz w:val="20"/>
              </w:rPr>
            </w:pPr>
            <w:r>
              <w:rPr>
                <w:noProof/>
                <w:sz w:val="20"/>
              </w:rPr>
              <w:t>0,186</w:t>
            </w:r>
          </w:p>
        </w:tc>
        <w:tc>
          <w:tcPr>
            <w:tcW w:w="1777" w:type="dxa"/>
            <w:vAlign w:val="center"/>
          </w:tcPr>
          <w:p>
            <w:pPr>
              <w:spacing w:before="20" w:after="20"/>
              <w:jc w:val="right"/>
              <w:rPr>
                <w:rFonts w:eastAsia="Times New Roman"/>
                <w:b/>
                <w:noProof/>
                <w:sz w:val="20"/>
              </w:rPr>
            </w:pPr>
            <w:r>
              <w:rPr>
                <w:b/>
                <w:noProof/>
                <w:sz w:val="20"/>
              </w:rPr>
              <w:t>0,549</w:t>
            </w:r>
          </w:p>
        </w:tc>
      </w:tr>
      <w:tr>
        <w:tc>
          <w:tcPr>
            <w:tcW w:w="3960" w:type="dxa"/>
            <w:vMerge/>
            <w:vAlign w:val="center"/>
          </w:tcPr>
          <w:p>
            <w:pPr>
              <w:rPr>
                <w:rFonts w:eastAsia="Times New Roman"/>
                <w:b/>
                <w:noProof/>
              </w:rPr>
            </w:pPr>
          </w:p>
        </w:tc>
        <w:tc>
          <w:tcPr>
            <w:tcW w:w="1440" w:type="dxa"/>
            <w:vAlign w:val="center"/>
          </w:tcPr>
          <w:p>
            <w:pPr>
              <w:rPr>
                <w:rFonts w:eastAsia="Times New Roman"/>
                <w:noProof/>
                <w:sz w:val="18"/>
              </w:rPr>
            </w:pPr>
            <w:r>
              <w:rPr>
                <w:noProof/>
                <w:sz w:val="18"/>
              </w:rPr>
              <w:t>Paiements</w:t>
            </w:r>
          </w:p>
        </w:tc>
        <w:tc>
          <w:tcPr>
            <w:tcW w:w="654" w:type="dxa"/>
            <w:gridSpan w:val="2"/>
            <w:vAlign w:val="center"/>
          </w:tcPr>
          <w:p>
            <w:pPr>
              <w:jc w:val="center"/>
              <w:rPr>
                <w:rFonts w:eastAsia="Times New Roman"/>
                <w:noProof/>
                <w:sz w:val="14"/>
              </w:rPr>
            </w:pPr>
            <w:r>
              <w:rPr>
                <w:noProof/>
                <w:sz w:val="14"/>
              </w:rPr>
              <w:t>=2+2a</w:t>
            </w:r>
          </w:p>
          <w:p>
            <w:pPr>
              <w:jc w:val="center"/>
              <w:rPr>
                <w:rFonts w:eastAsia="Times New Roman"/>
                <w:noProof/>
                <w:sz w:val="14"/>
              </w:rPr>
            </w:pPr>
            <w:r>
              <w:rPr>
                <w:noProof/>
                <w:sz w:val="14"/>
              </w:rPr>
              <w:t>+3b</w:t>
            </w:r>
          </w:p>
        </w:tc>
        <w:tc>
          <w:tcPr>
            <w:tcW w:w="868" w:type="dxa"/>
            <w:vAlign w:val="center"/>
          </w:tcPr>
          <w:p>
            <w:pPr>
              <w:spacing w:before="20" w:after="20"/>
              <w:jc w:val="right"/>
              <w:rPr>
                <w:rFonts w:eastAsia="Times New Roman"/>
                <w:noProof/>
                <w:sz w:val="20"/>
              </w:rPr>
            </w:pPr>
            <w:r>
              <w:rPr>
                <w:noProof/>
                <w:sz w:val="20"/>
              </w:rPr>
              <w:t>0,180</w:t>
            </w:r>
          </w:p>
        </w:tc>
        <w:tc>
          <w:tcPr>
            <w:tcW w:w="868" w:type="dxa"/>
            <w:vAlign w:val="center"/>
          </w:tcPr>
          <w:p>
            <w:pPr>
              <w:spacing w:before="20" w:after="20"/>
              <w:jc w:val="right"/>
              <w:rPr>
                <w:rFonts w:eastAsia="Times New Roman"/>
                <w:noProof/>
                <w:sz w:val="20"/>
              </w:rPr>
            </w:pPr>
            <w:r>
              <w:rPr>
                <w:noProof/>
                <w:sz w:val="20"/>
              </w:rPr>
              <w:t>0,183</w:t>
            </w:r>
          </w:p>
        </w:tc>
        <w:tc>
          <w:tcPr>
            <w:tcW w:w="868" w:type="dxa"/>
            <w:vAlign w:val="center"/>
          </w:tcPr>
          <w:p>
            <w:pPr>
              <w:spacing w:before="20" w:after="20"/>
              <w:jc w:val="right"/>
              <w:rPr>
                <w:rFonts w:eastAsia="Times New Roman"/>
                <w:noProof/>
                <w:sz w:val="20"/>
              </w:rPr>
            </w:pPr>
            <w:r>
              <w:rPr>
                <w:noProof/>
                <w:sz w:val="20"/>
              </w:rPr>
              <w:t>0,186</w:t>
            </w:r>
          </w:p>
        </w:tc>
        <w:tc>
          <w:tcPr>
            <w:tcW w:w="1777" w:type="dxa"/>
            <w:vAlign w:val="center"/>
          </w:tcPr>
          <w:p>
            <w:pPr>
              <w:spacing w:before="20" w:after="20"/>
              <w:jc w:val="right"/>
              <w:rPr>
                <w:rFonts w:eastAsia="Times New Roman"/>
                <w:b/>
                <w:noProof/>
                <w:sz w:val="20"/>
              </w:rPr>
            </w:pPr>
            <w:r>
              <w:rPr>
                <w:b/>
                <w:noProof/>
                <w:sz w:val="20"/>
              </w:rPr>
              <w:t>0,549</w:t>
            </w:r>
          </w:p>
        </w:tc>
      </w:tr>
    </w:tbl>
    <w:p>
      <w:pPr>
        <w:jc w:val="left"/>
        <w:rPr>
          <w:rFonts w:eastAsia="Times New Roman"/>
          <w:noProof/>
        </w:rPr>
      </w:pPr>
      <w:r>
        <w:rPr>
          <w:noProof/>
        </w:rPr>
        <w:br/>
        <w:t xml:space="preserve">Les frais de l’Agence seront couverts par les recettes affectées provenant de la contribution financière du pays candidat. </w:t>
      </w:r>
      <w:r>
        <w:rPr>
          <w:noProof/>
        </w:rPr>
        <w:br/>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rPr>
            </w:pPr>
            <w:r>
              <w:rPr>
                <w:noProof/>
              </w:rPr>
              <w:br w:type="page"/>
            </w:r>
            <w:r>
              <w:rPr>
                <w:b/>
                <w:noProof/>
              </w:rPr>
              <w:t>Rubrique du cadre financier</w:t>
            </w:r>
            <w:r>
              <w:rPr>
                <w:rFonts w:eastAsia="Times New Roman"/>
                <w:noProof/>
                <w:sz w:val="22"/>
              </w:rPr>
              <w:br/>
            </w:r>
            <w:r>
              <w:rPr>
                <w:b/>
                <w:noProof/>
                <w:sz w:val="22"/>
              </w:rPr>
              <w:t xml:space="preserve">pluriannuel </w:t>
            </w:r>
          </w:p>
        </w:tc>
        <w:tc>
          <w:tcPr>
            <w:tcW w:w="1080" w:type="dxa"/>
            <w:shd w:val="thinDiagStripe" w:color="C0C0C0" w:fill="auto"/>
            <w:vAlign w:val="center"/>
          </w:tcPr>
          <w:p>
            <w:pPr>
              <w:spacing w:before="60" w:after="60"/>
              <w:jc w:val="center"/>
              <w:rPr>
                <w:rFonts w:eastAsia="Times New Roman"/>
                <w:noProof/>
                <w:color w:val="0000FF"/>
              </w:rPr>
            </w:pPr>
            <w:r>
              <w:rPr>
                <w:b/>
                <w:noProof/>
                <w:sz w:val="22"/>
              </w:rPr>
              <w:t>5</w:t>
            </w:r>
          </w:p>
        </w:tc>
        <w:tc>
          <w:tcPr>
            <w:tcW w:w="7817" w:type="dxa"/>
            <w:vAlign w:val="center"/>
          </w:tcPr>
          <w:p>
            <w:pPr>
              <w:spacing w:before="60" w:after="60"/>
              <w:rPr>
                <w:rFonts w:eastAsia="Times New Roman"/>
                <w:noProof/>
              </w:rPr>
            </w:pPr>
            <w:r>
              <w:rPr>
                <w:noProof/>
                <w:sz w:val="22"/>
              </w:rPr>
              <w:t>«Dépenses administratives»</w:t>
            </w:r>
          </w:p>
        </w:tc>
      </w:tr>
    </w:tbl>
    <w:p>
      <w:pPr>
        <w:jc w:val="right"/>
        <w:rPr>
          <w:rFonts w:eastAsia="Times New Roman"/>
          <w:noProof/>
          <w:sz w:val="20"/>
        </w:rPr>
      </w:pPr>
      <w:r>
        <w:rPr>
          <w:noProof/>
          <w:sz w:val="20"/>
        </w:rPr>
        <w:t>En millions d'euros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rFonts w:eastAsia="Times New Roman"/>
                <w:noProof/>
              </w:rPr>
            </w:pPr>
          </w:p>
        </w:tc>
        <w:tc>
          <w:tcPr>
            <w:tcW w:w="1560" w:type="dxa"/>
            <w:tcBorders>
              <w:top w:val="nil"/>
              <w:left w:val="nil"/>
              <w:right w:val="nil"/>
            </w:tcBorders>
          </w:tcPr>
          <w:p>
            <w:pPr>
              <w:rPr>
                <w:rFonts w:eastAsia="Times New Roman"/>
                <w:noProof/>
                <w:sz w:val="20"/>
              </w:rPr>
            </w:pPr>
          </w:p>
        </w:tc>
        <w:tc>
          <w:tcPr>
            <w:tcW w:w="534" w:type="dxa"/>
            <w:tcBorders>
              <w:top w:val="nil"/>
              <w:left w:val="nil"/>
            </w:tcBorders>
          </w:tcPr>
          <w:p>
            <w:pPr>
              <w:jc w:val="center"/>
              <w:rPr>
                <w:rFonts w:eastAsia="Times New Roman"/>
                <w:noProof/>
                <w:sz w:val="20"/>
              </w:rPr>
            </w:pPr>
          </w:p>
        </w:tc>
        <w:tc>
          <w:tcPr>
            <w:tcW w:w="868" w:type="dxa"/>
            <w:vAlign w:val="center"/>
          </w:tcPr>
          <w:p>
            <w:pPr>
              <w:jc w:val="center"/>
              <w:rPr>
                <w:rFonts w:eastAsia="Times New Roman"/>
                <w:noProof/>
                <w:sz w:val="20"/>
              </w:rPr>
            </w:pPr>
            <w:r>
              <w:rPr>
                <w:noProof/>
              </w:rPr>
              <w:t>Année</w:t>
            </w:r>
            <w:r>
              <w:rPr>
                <w:b/>
                <w:noProof/>
                <w:sz w:val="20"/>
              </w:rPr>
              <w:t>1</w:t>
            </w:r>
          </w:p>
        </w:tc>
        <w:tc>
          <w:tcPr>
            <w:tcW w:w="868" w:type="dxa"/>
            <w:vAlign w:val="center"/>
          </w:tcPr>
          <w:p>
            <w:pPr>
              <w:jc w:val="center"/>
              <w:rPr>
                <w:rFonts w:eastAsia="Times New Roman"/>
                <w:noProof/>
                <w:sz w:val="20"/>
              </w:rPr>
            </w:pPr>
            <w:r>
              <w:rPr>
                <w:noProof/>
              </w:rPr>
              <w:t>Année</w:t>
            </w:r>
            <w:r>
              <w:rPr>
                <w:b/>
                <w:noProof/>
                <w:sz w:val="20"/>
              </w:rPr>
              <w:t>2</w:t>
            </w:r>
          </w:p>
        </w:tc>
        <w:tc>
          <w:tcPr>
            <w:tcW w:w="868" w:type="dxa"/>
            <w:vAlign w:val="center"/>
          </w:tcPr>
          <w:p>
            <w:pPr>
              <w:jc w:val="center"/>
              <w:rPr>
                <w:rFonts w:eastAsia="Times New Roman"/>
                <w:noProof/>
                <w:sz w:val="20"/>
              </w:rPr>
            </w:pPr>
            <w:r>
              <w:rPr>
                <w:noProof/>
              </w:rPr>
              <w:t>Année</w:t>
            </w:r>
            <w:r>
              <w:rPr>
                <w:b/>
                <w:noProof/>
                <w:sz w:val="20"/>
              </w:rPr>
              <w:t>3</w:t>
            </w:r>
          </w:p>
        </w:tc>
        <w:tc>
          <w:tcPr>
            <w:tcW w:w="1777" w:type="dxa"/>
            <w:vAlign w:val="center"/>
          </w:tcPr>
          <w:p>
            <w:pPr>
              <w:jc w:val="center"/>
              <w:rPr>
                <w:rFonts w:eastAsia="Times New Roman"/>
                <w:b/>
                <w:noProof/>
                <w:sz w:val="20"/>
              </w:rPr>
            </w:pPr>
            <w:r>
              <w:rPr>
                <w:b/>
                <w:noProof/>
                <w:sz w:val="20"/>
              </w:rPr>
              <w:t>TOTAL</w:t>
            </w:r>
          </w:p>
        </w:tc>
      </w:tr>
      <w:tr>
        <w:trPr>
          <w:gridAfter w:val="6"/>
          <w:wAfter w:w="6475" w:type="dxa"/>
        </w:trPr>
        <w:tc>
          <w:tcPr>
            <w:tcW w:w="3960" w:type="dxa"/>
            <w:vAlign w:val="center"/>
          </w:tcPr>
          <w:p>
            <w:pPr>
              <w:spacing w:before="60" w:after="60"/>
              <w:jc w:val="center"/>
              <w:rPr>
                <w:rFonts w:eastAsia="Times New Roman"/>
                <w:noProof/>
              </w:rPr>
            </w:pPr>
            <w:r>
              <w:rPr>
                <w:noProof/>
                <w:sz w:val="22"/>
              </w:rPr>
              <w:t>Commission</w:t>
            </w:r>
          </w:p>
        </w:tc>
      </w:tr>
      <w:tr>
        <w:trPr>
          <w:trHeight w:val="313"/>
        </w:trPr>
        <w:tc>
          <w:tcPr>
            <w:tcW w:w="6054" w:type="dxa"/>
            <w:gridSpan w:val="3"/>
            <w:vAlign w:val="center"/>
          </w:tcPr>
          <w:p>
            <w:pPr>
              <w:spacing w:before="20" w:after="20"/>
              <w:rPr>
                <w:rFonts w:eastAsia="Times New Roman"/>
                <w:noProof/>
              </w:rPr>
            </w:pPr>
            <w:r>
              <w:rPr>
                <w:rFonts w:eastAsia="Times New Roman"/>
                <w:noProof/>
                <w:sz w:val="22"/>
              </w:rPr>
              <w:sym w:font="Wingdings" w:char="F09F"/>
            </w:r>
            <w:r>
              <w:rPr>
                <w:noProof/>
              </w:rPr>
              <w:t xml:space="preserve"> Ressources humaines</w:t>
            </w:r>
          </w:p>
        </w:tc>
        <w:tc>
          <w:tcPr>
            <w:tcW w:w="868" w:type="dxa"/>
            <w:vAlign w:val="center"/>
          </w:tcPr>
          <w:p>
            <w:pPr>
              <w:spacing w:before="20" w:after="20"/>
              <w:jc w:val="right"/>
              <w:rPr>
                <w:rFonts w:eastAsia="Times New Roman"/>
                <w:noProof/>
                <w:sz w:val="20"/>
              </w:rPr>
            </w:pPr>
            <w:r>
              <w:rPr>
                <w:noProof/>
                <w:sz w:val="20"/>
              </w:rPr>
              <w:t>0,067</w:t>
            </w:r>
          </w:p>
        </w:tc>
        <w:tc>
          <w:tcPr>
            <w:tcW w:w="868" w:type="dxa"/>
            <w:vAlign w:val="center"/>
          </w:tcPr>
          <w:p>
            <w:pPr>
              <w:spacing w:before="20" w:after="20"/>
              <w:jc w:val="right"/>
              <w:rPr>
                <w:rFonts w:eastAsia="Times New Roman"/>
                <w:noProof/>
                <w:sz w:val="20"/>
              </w:rPr>
            </w:pPr>
            <w:r>
              <w:rPr>
                <w:noProof/>
                <w:sz w:val="20"/>
              </w:rPr>
              <w:t>0,067</w:t>
            </w:r>
          </w:p>
        </w:tc>
        <w:tc>
          <w:tcPr>
            <w:tcW w:w="868" w:type="dxa"/>
            <w:vAlign w:val="center"/>
          </w:tcPr>
          <w:p>
            <w:pPr>
              <w:spacing w:before="20" w:after="20"/>
              <w:jc w:val="right"/>
              <w:rPr>
                <w:rFonts w:eastAsia="Times New Roman"/>
                <w:noProof/>
                <w:sz w:val="20"/>
              </w:rPr>
            </w:pPr>
            <w:r>
              <w:rPr>
                <w:noProof/>
                <w:sz w:val="20"/>
              </w:rPr>
              <w:t>0,067</w:t>
            </w:r>
          </w:p>
        </w:tc>
        <w:tc>
          <w:tcPr>
            <w:tcW w:w="1777" w:type="dxa"/>
            <w:vAlign w:val="center"/>
          </w:tcPr>
          <w:p>
            <w:pPr>
              <w:spacing w:before="20" w:after="20"/>
              <w:jc w:val="center"/>
              <w:rPr>
                <w:rFonts w:eastAsia="Times New Roman"/>
                <w:b/>
                <w:noProof/>
                <w:sz w:val="20"/>
              </w:rPr>
            </w:pPr>
            <w:r>
              <w:rPr>
                <w:b/>
                <w:noProof/>
                <w:sz w:val="20"/>
              </w:rPr>
              <w:t>0,201</w:t>
            </w:r>
          </w:p>
        </w:tc>
      </w:tr>
      <w:tr>
        <w:trPr>
          <w:trHeight w:val="351"/>
        </w:trPr>
        <w:tc>
          <w:tcPr>
            <w:tcW w:w="6054" w:type="dxa"/>
            <w:gridSpan w:val="3"/>
            <w:vAlign w:val="center"/>
          </w:tcPr>
          <w:p>
            <w:pPr>
              <w:spacing w:before="20" w:after="20"/>
              <w:rPr>
                <w:rFonts w:eastAsia="Times New Roman"/>
                <w:noProof/>
              </w:rPr>
            </w:pPr>
            <w:r>
              <w:rPr>
                <w:rFonts w:eastAsia="Times New Roman"/>
                <w:noProof/>
                <w:sz w:val="22"/>
              </w:rPr>
              <w:sym w:font="Wingdings" w:char="F09F"/>
            </w:r>
            <w:r>
              <w:rPr>
                <w:noProof/>
              </w:rPr>
              <w:t xml:space="preserve"> Autres dépenses administratives</w:t>
            </w:r>
          </w:p>
        </w:tc>
        <w:tc>
          <w:tcPr>
            <w:tcW w:w="868" w:type="dxa"/>
          </w:tcPr>
          <w:p>
            <w:pPr>
              <w:spacing w:before="20" w:after="20"/>
              <w:jc w:val="right"/>
              <w:rPr>
                <w:rFonts w:eastAsia="Times New Roman"/>
                <w:b/>
                <w:noProof/>
                <w:sz w:val="20"/>
              </w:rPr>
            </w:pPr>
          </w:p>
        </w:tc>
        <w:tc>
          <w:tcPr>
            <w:tcW w:w="868" w:type="dxa"/>
          </w:tcPr>
          <w:p>
            <w:pPr>
              <w:spacing w:before="20" w:after="20"/>
              <w:jc w:val="right"/>
              <w:rPr>
                <w:rFonts w:eastAsia="Times New Roman"/>
                <w:b/>
                <w:noProof/>
                <w:sz w:val="20"/>
              </w:rPr>
            </w:pPr>
          </w:p>
        </w:tc>
        <w:tc>
          <w:tcPr>
            <w:tcW w:w="868" w:type="dxa"/>
          </w:tcPr>
          <w:p>
            <w:pPr>
              <w:spacing w:before="20" w:after="20"/>
              <w:jc w:val="right"/>
              <w:rPr>
                <w:rFonts w:eastAsia="Times New Roman"/>
                <w:b/>
                <w:noProof/>
                <w:sz w:val="20"/>
              </w:rPr>
            </w:pPr>
          </w:p>
        </w:tc>
        <w:tc>
          <w:tcPr>
            <w:tcW w:w="1777" w:type="dxa"/>
            <w:vAlign w:val="center"/>
          </w:tcPr>
          <w:p>
            <w:pPr>
              <w:spacing w:before="20" w:after="20"/>
              <w:jc w:val="center"/>
              <w:rPr>
                <w:rFonts w:eastAsia="Times New Roman"/>
                <w:b/>
                <w:noProof/>
                <w:sz w:val="20"/>
              </w:rPr>
            </w:pPr>
          </w:p>
        </w:tc>
      </w:tr>
      <w:tr>
        <w:tc>
          <w:tcPr>
            <w:tcW w:w="3960" w:type="dxa"/>
            <w:vAlign w:val="center"/>
          </w:tcPr>
          <w:p>
            <w:pPr>
              <w:jc w:val="center"/>
              <w:rPr>
                <w:rFonts w:eastAsia="Times New Roman"/>
                <w:b/>
                <w:noProof/>
              </w:rPr>
            </w:pPr>
            <w:r>
              <w:rPr>
                <w:b/>
                <w:noProof/>
                <w:sz w:val="22"/>
              </w:rPr>
              <w:t>TOTAL Commission</w:t>
            </w:r>
          </w:p>
        </w:tc>
        <w:tc>
          <w:tcPr>
            <w:tcW w:w="2094" w:type="dxa"/>
            <w:gridSpan w:val="2"/>
            <w:vAlign w:val="center"/>
          </w:tcPr>
          <w:p>
            <w:pPr>
              <w:rPr>
                <w:rFonts w:eastAsia="Times New Roman"/>
                <w:noProof/>
                <w:sz w:val="14"/>
              </w:rPr>
            </w:pPr>
            <w:r>
              <w:rPr>
                <w:noProof/>
                <w:sz w:val="18"/>
              </w:rPr>
              <w:t xml:space="preserve">Crédits </w:t>
            </w:r>
          </w:p>
        </w:tc>
        <w:tc>
          <w:tcPr>
            <w:tcW w:w="868" w:type="dxa"/>
            <w:vAlign w:val="center"/>
          </w:tcPr>
          <w:p>
            <w:pPr>
              <w:spacing w:before="60" w:after="60"/>
              <w:jc w:val="right"/>
              <w:rPr>
                <w:rFonts w:eastAsia="Times New Roman"/>
                <w:noProof/>
                <w:sz w:val="20"/>
              </w:rPr>
            </w:pPr>
            <w:r>
              <w:rPr>
                <w:noProof/>
                <w:sz w:val="20"/>
              </w:rPr>
              <w:t>0,067</w:t>
            </w:r>
          </w:p>
        </w:tc>
        <w:tc>
          <w:tcPr>
            <w:tcW w:w="868" w:type="dxa"/>
            <w:vAlign w:val="center"/>
          </w:tcPr>
          <w:p>
            <w:pPr>
              <w:spacing w:before="20" w:after="20"/>
              <w:jc w:val="right"/>
              <w:rPr>
                <w:rFonts w:eastAsia="Times New Roman"/>
                <w:noProof/>
                <w:sz w:val="20"/>
              </w:rPr>
            </w:pPr>
            <w:r>
              <w:rPr>
                <w:noProof/>
                <w:sz w:val="20"/>
              </w:rPr>
              <w:t>0,067</w:t>
            </w:r>
          </w:p>
        </w:tc>
        <w:tc>
          <w:tcPr>
            <w:tcW w:w="868" w:type="dxa"/>
            <w:vAlign w:val="center"/>
          </w:tcPr>
          <w:p>
            <w:pPr>
              <w:spacing w:before="20" w:after="20"/>
              <w:jc w:val="right"/>
              <w:rPr>
                <w:rFonts w:eastAsia="Times New Roman"/>
                <w:noProof/>
                <w:sz w:val="20"/>
              </w:rPr>
            </w:pPr>
            <w:r>
              <w:rPr>
                <w:noProof/>
                <w:sz w:val="20"/>
              </w:rPr>
              <w:t>0,067</w:t>
            </w:r>
          </w:p>
        </w:tc>
        <w:tc>
          <w:tcPr>
            <w:tcW w:w="1777" w:type="dxa"/>
            <w:vAlign w:val="center"/>
          </w:tcPr>
          <w:p>
            <w:pPr>
              <w:spacing w:before="20" w:after="20"/>
              <w:jc w:val="center"/>
              <w:rPr>
                <w:rFonts w:eastAsia="Times New Roman"/>
                <w:b/>
                <w:noProof/>
                <w:sz w:val="20"/>
              </w:rPr>
            </w:pPr>
            <w:r>
              <w:rPr>
                <w:b/>
                <w:noProof/>
                <w:sz w:val="20"/>
              </w:rPr>
              <w:t>0,201</w:t>
            </w:r>
          </w:p>
        </w:tc>
      </w:tr>
    </w:tbl>
    <w:p>
      <w:pPr>
        <w:rPr>
          <w:rFonts w:eastAsia="Times New Roman"/>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777"/>
      </w:tblGrid>
      <w:tr>
        <w:tc>
          <w:tcPr>
            <w:tcW w:w="3960" w:type="dxa"/>
            <w:shd w:val="thinDiagStripe" w:color="C0C0C0" w:fill="auto"/>
            <w:vAlign w:val="center"/>
          </w:tcPr>
          <w:p>
            <w:pPr>
              <w:jc w:val="center"/>
              <w:rPr>
                <w:rFonts w:eastAsia="Times New Roman"/>
                <w:b/>
                <w:noProof/>
              </w:rPr>
            </w:pPr>
            <w:r>
              <w:rPr>
                <w:b/>
                <w:noProof/>
              </w:rPr>
              <w:t>TOTAL des crédits</w:t>
            </w:r>
            <w:r>
              <w:rPr>
                <w:rFonts w:eastAsia="Times New Roman"/>
                <w:noProof/>
                <w:sz w:val="22"/>
              </w:rPr>
              <w:br/>
            </w:r>
            <w:r>
              <w:rPr>
                <w:b/>
                <w:noProof/>
                <w:sz w:val="22"/>
              </w:rPr>
              <w:t>pour la RUBRIQUE 5</w:t>
            </w:r>
            <w:r>
              <w:rPr>
                <w:rFonts w:eastAsia="Times New Roman"/>
                <w:noProof/>
                <w:sz w:val="22"/>
              </w:rPr>
              <w:br/>
            </w:r>
            <w:r>
              <w:rPr>
                <w:noProof/>
                <w:sz w:val="22"/>
              </w:rPr>
              <w:t>du cadre financier pluriannuel</w:t>
            </w:r>
            <w:r>
              <w:rPr>
                <w:b/>
                <w:noProof/>
                <w:sz w:val="22"/>
              </w:rPr>
              <w:t xml:space="preserve"> </w:t>
            </w:r>
          </w:p>
        </w:tc>
        <w:tc>
          <w:tcPr>
            <w:tcW w:w="2094" w:type="dxa"/>
            <w:vAlign w:val="center"/>
          </w:tcPr>
          <w:p>
            <w:pPr>
              <w:spacing w:before="40" w:after="40"/>
              <w:rPr>
                <w:rFonts w:eastAsia="Times New Roman"/>
                <w:noProof/>
              </w:rPr>
            </w:pPr>
            <w:r>
              <w:rPr>
                <w:noProof/>
                <w:sz w:val="18"/>
              </w:rPr>
              <w:t>(Total engagements = Total paiements)</w:t>
            </w:r>
          </w:p>
        </w:tc>
        <w:tc>
          <w:tcPr>
            <w:tcW w:w="868" w:type="dxa"/>
            <w:vAlign w:val="center"/>
          </w:tcPr>
          <w:p>
            <w:pPr>
              <w:spacing w:before="20" w:after="20"/>
              <w:jc w:val="right"/>
              <w:rPr>
                <w:rFonts w:eastAsia="Times New Roman"/>
                <w:noProof/>
                <w:sz w:val="20"/>
              </w:rPr>
            </w:pPr>
            <w:r>
              <w:rPr>
                <w:noProof/>
                <w:sz w:val="20"/>
              </w:rPr>
              <w:t>0,067</w:t>
            </w:r>
          </w:p>
        </w:tc>
        <w:tc>
          <w:tcPr>
            <w:tcW w:w="868" w:type="dxa"/>
            <w:vAlign w:val="center"/>
          </w:tcPr>
          <w:p>
            <w:pPr>
              <w:spacing w:before="20" w:after="20"/>
              <w:jc w:val="right"/>
              <w:rPr>
                <w:rFonts w:eastAsia="Times New Roman"/>
                <w:noProof/>
                <w:sz w:val="20"/>
              </w:rPr>
            </w:pPr>
            <w:r>
              <w:rPr>
                <w:noProof/>
                <w:sz w:val="20"/>
              </w:rPr>
              <w:t>0,067</w:t>
            </w:r>
          </w:p>
        </w:tc>
        <w:tc>
          <w:tcPr>
            <w:tcW w:w="868" w:type="dxa"/>
            <w:vAlign w:val="center"/>
          </w:tcPr>
          <w:p>
            <w:pPr>
              <w:spacing w:before="20" w:after="20"/>
              <w:jc w:val="right"/>
              <w:rPr>
                <w:rFonts w:eastAsia="Times New Roman"/>
                <w:noProof/>
                <w:sz w:val="20"/>
              </w:rPr>
            </w:pPr>
            <w:r>
              <w:rPr>
                <w:noProof/>
                <w:sz w:val="20"/>
              </w:rPr>
              <w:t>0,067</w:t>
            </w:r>
          </w:p>
        </w:tc>
        <w:tc>
          <w:tcPr>
            <w:tcW w:w="1777" w:type="dxa"/>
            <w:vAlign w:val="center"/>
          </w:tcPr>
          <w:p>
            <w:pPr>
              <w:spacing w:before="20" w:after="20"/>
              <w:jc w:val="center"/>
              <w:rPr>
                <w:rFonts w:eastAsia="Times New Roman"/>
                <w:b/>
                <w:noProof/>
                <w:sz w:val="20"/>
              </w:rPr>
            </w:pPr>
            <w:r>
              <w:rPr>
                <w:b/>
                <w:noProof/>
                <w:sz w:val="20"/>
              </w:rPr>
              <w:t>0,201</w:t>
            </w:r>
          </w:p>
        </w:tc>
      </w:tr>
    </w:tbl>
    <w:p>
      <w:pPr>
        <w:jc w:val="right"/>
        <w:rPr>
          <w:rFonts w:eastAsia="Times New Roman"/>
          <w:noProof/>
          <w:sz w:val="20"/>
        </w:rPr>
      </w:pPr>
      <w:r>
        <w:rPr>
          <w:noProof/>
          <w:sz w:val="20"/>
        </w:rPr>
        <w:t>En millions d'euros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rFonts w:eastAsia="Times New Roman"/>
                <w:noProof/>
              </w:rPr>
            </w:pPr>
          </w:p>
        </w:tc>
        <w:tc>
          <w:tcPr>
            <w:tcW w:w="1560" w:type="dxa"/>
            <w:tcBorders>
              <w:top w:val="nil"/>
              <w:left w:val="nil"/>
              <w:right w:val="nil"/>
            </w:tcBorders>
          </w:tcPr>
          <w:p>
            <w:pPr>
              <w:rPr>
                <w:rFonts w:eastAsia="Times New Roman"/>
                <w:noProof/>
                <w:sz w:val="20"/>
              </w:rPr>
            </w:pPr>
          </w:p>
        </w:tc>
        <w:tc>
          <w:tcPr>
            <w:tcW w:w="534" w:type="dxa"/>
            <w:tcBorders>
              <w:top w:val="nil"/>
              <w:left w:val="nil"/>
            </w:tcBorders>
          </w:tcPr>
          <w:p>
            <w:pPr>
              <w:jc w:val="center"/>
              <w:rPr>
                <w:rFonts w:eastAsia="Times New Roman"/>
                <w:noProof/>
                <w:sz w:val="20"/>
              </w:rPr>
            </w:pPr>
          </w:p>
        </w:tc>
        <w:tc>
          <w:tcPr>
            <w:tcW w:w="868" w:type="dxa"/>
            <w:vAlign w:val="center"/>
          </w:tcPr>
          <w:p>
            <w:pPr>
              <w:jc w:val="center"/>
              <w:rPr>
                <w:rFonts w:eastAsia="Times New Roman"/>
                <w:noProof/>
                <w:sz w:val="20"/>
              </w:rPr>
            </w:pPr>
            <w:r>
              <w:rPr>
                <w:noProof/>
              </w:rPr>
              <w:t>Année</w:t>
            </w:r>
            <w:r>
              <w:rPr>
                <w:b/>
                <w:noProof/>
                <w:sz w:val="20"/>
              </w:rPr>
              <w:t>1</w:t>
            </w:r>
          </w:p>
        </w:tc>
        <w:tc>
          <w:tcPr>
            <w:tcW w:w="868" w:type="dxa"/>
            <w:vAlign w:val="center"/>
          </w:tcPr>
          <w:p>
            <w:pPr>
              <w:jc w:val="center"/>
              <w:rPr>
                <w:rFonts w:eastAsia="Times New Roman"/>
                <w:noProof/>
                <w:sz w:val="20"/>
              </w:rPr>
            </w:pPr>
            <w:r>
              <w:rPr>
                <w:noProof/>
              </w:rPr>
              <w:t>Année</w:t>
            </w:r>
            <w:r>
              <w:rPr>
                <w:b/>
                <w:noProof/>
                <w:sz w:val="20"/>
              </w:rPr>
              <w:t>2</w:t>
            </w:r>
          </w:p>
        </w:tc>
        <w:tc>
          <w:tcPr>
            <w:tcW w:w="868" w:type="dxa"/>
            <w:vAlign w:val="center"/>
          </w:tcPr>
          <w:p>
            <w:pPr>
              <w:jc w:val="center"/>
              <w:rPr>
                <w:rFonts w:eastAsia="Times New Roman"/>
                <w:noProof/>
                <w:sz w:val="20"/>
              </w:rPr>
            </w:pPr>
            <w:r>
              <w:rPr>
                <w:noProof/>
              </w:rPr>
              <w:t>Année</w:t>
            </w:r>
            <w:r>
              <w:rPr>
                <w:b/>
                <w:noProof/>
                <w:sz w:val="20"/>
              </w:rPr>
              <w:t>3</w:t>
            </w:r>
          </w:p>
        </w:tc>
        <w:tc>
          <w:tcPr>
            <w:tcW w:w="1777" w:type="dxa"/>
            <w:vAlign w:val="center"/>
          </w:tcPr>
          <w:p>
            <w:pPr>
              <w:jc w:val="center"/>
              <w:rPr>
                <w:rFonts w:eastAsia="Times New Roman"/>
                <w:b/>
                <w:noProof/>
                <w:sz w:val="20"/>
              </w:rPr>
            </w:pPr>
            <w:r>
              <w:rPr>
                <w:b/>
                <w:noProof/>
                <w:sz w:val="20"/>
              </w:rPr>
              <w:t>TOTAL</w:t>
            </w:r>
          </w:p>
        </w:tc>
      </w:tr>
      <w:tr>
        <w:tc>
          <w:tcPr>
            <w:tcW w:w="3960" w:type="dxa"/>
            <w:vMerge w:val="restart"/>
            <w:shd w:val="clear" w:color="auto" w:fill="C0C0C0"/>
            <w:vAlign w:val="center"/>
          </w:tcPr>
          <w:p>
            <w:pPr>
              <w:jc w:val="center"/>
              <w:rPr>
                <w:rFonts w:eastAsia="Times New Roman"/>
                <w:b/>
                <w:noProof/>
              </w:rPr>
            </w:pPr>
            <w:r>
              <w:rPr>
                <w:b/>
                <w:noProof/>
              </w:rPr>
              <w:t>TOTAL des crédits</w:t>
            </w:r>
            <w:r>
              <w:rPr>
                <w:rFonts w:eastAsia="Times New Roman"/>
                <w:noProof/>
                <w:sz w:val="22"/>
              </w:rPr>
              <w:br/>
            </w:r>
            <w:r>
              <w:rPr>
                <w:b/>
                <w:noProof/>
                <w:sz w:val="22"/>
              </w:rPr>
              <w:t>pour les RUBRIQUES 1 à 5</w:t>
            </w:r>
            <w:r>
              <w:rPr>
                <w:rFonts w:eastAsia="Times New Roman"/>
                <w:noProof/>
                <w:sz w:val="22"/>
              </w:rPr>
              <w:br/>
            </w:r>
            <w:r>
              <w:rPr>
                <w:noProof/>
                <w:sz w:val="22"/>
              </w:rPr>
              <w:t>du cadre financier pluriannuel</w:t>
            </w:r>
            <w:r>
              <w:rPr>
                <w:b/>
                <w:noProof/>
                <w:sz w:val="22"/>
              </w:rPr>
              <w:t xml:space="preserve"> </w:t>
            </w:r>
          </w:p>
        </w:tc>
        <w:tc>
          <w:tcPr>
            <w:tcW w:w="2094" w:type="dxa"/>
            <w:gridSpan w:val="2"/>
            <w:vAlign w:val="center"/>
          </w:tcPr>
          <w:p>
            <w:pPr>
              <w:rPr>
                <w:rFonts w:eastAsia="Times New Roman"/>
                <w:noProof/>
                <w:sz w:val="14"/>
              </w:rPr>
            </w:pPr>
            <w:r>
              <w:rPr>
                <w:noProof/>
                <w:sz w:val="18"/>
              </w:rPr>
              <w:t>Engagements</w:t>
            </w:r>
          </w:p>
        </w:tc>
        <w:tc>
          <w:tcPr>
            <w:tcW w:w="868" w:type="dxa"/>
            <w:vAlign w:val="center"/>
          </w:tcPr>
          <w:p>
            <w:pPr>
              <w:spacing w:before="60" w:after="60"/>
              <w:jc w:val="right"/>
              <w:rPr>
                <w:rFonts w:eastAsia="Times New Roman"/>
                <w:noProof/>
                <w:sz w:val="20"/>
              </w:rPr>
            </w:pPr>
            <w:r>
              <w:rPr>
                <w:noProof/>
                <w:sz w:val="20"/>
              </w:rPr>
              <w:t>0,247</w:t>
            </w:r>
          </w:p>
        </w:tc>
        <w:tc>
          <w:tcPr>
            <w:tcW w:w="868" w:type="dxa"/>
            <w:vAlign w:val="center"/>
          </w:tcPr>
          <w:p>
            <w:pPr>
              <w:spacing w:before="60" w:after="60"/>
              <w:jc w:val="right"/>
              <w:rPr>
                <w:rFonts w:eastAsia="Times New Roman"/>
                <w:noProof/>
                <w:sz w:val="20"/>
              </w:rPr>
            </w:pPr>
            <w:r>
              <w:rPr>
                <w:noProof/>
                <w:sz w:val="20"/>
              </w:rPr>
              <w:t>0,250</w:t>
            </w:r>
          </w:p>
        </w:tc>
        <w:tc>
          <w:tcPr>
            <w:tcW w:w="868" w:type="dxa"/>
            <w:vAlign w:val="center"/>
          </w:tcPr>
          <w:p>
            <w:pPr>
              <w:spacing w:before="60" w:after="60"/>
              <w:jc w:val="right"/>
              <w:rPr>
                <w:rFonts w:eastAsia="Times New Roman"/>
                <w:noProof/>
                <w:sz w:val="20"/>
              </w:rPr>
            </w:pPr>
            <w:r>
              <w:rPr>
                <w:noProof/>
                <w:sz w:val="20"/>
              </w:rPr>
              <w:t>0,253</w:t>
            </w:r>
          </w:p>
        </w:tc>
        <w:tc>
          <w:tcPr>
            <w:tcW w:w="1777" w:type="dxa"/>
            <w:vAlign w:val="center"/>
          </w:tcPr>
          <w:p>
            <w:pPr>
              <w:spacing w:before="60" w:after="60"/>
              <w:jc w:val="center"/>
              <w:rPr>
                <w:rFonts w:eastAsia="Times New Roman"/>
                <w:b/>
                <w:noProof/>
                <w:sz w:val="20"/>
              </w:rPr>
            </w:pPr>
            <w:r>
              <w:rPr>
                <w:b/>
                <w:noProof/>
                <w:sz w:val="20"/>
              </w:rPr>
              <w:t>0,750</w:t>
            </w:r>
          </w:p>
        </w:tc>
      </w:tr>
      <w:tr>
        <w:tc>
          <w:tcPr>
            <w:tcW w:w="3960" w:type="dxa"/>
            <w:vMerge/>
            <w:vAlign w:val="center"/>
          </w:tcPr>
          <w:p>
            <w:pPr>
              <w:rPr>
                <w:rFonts w:eastAsia="Times New Roman"/>
                <w:b/>
                <w:noProof/>
              </w:rPr>
            </w:pPr>
          </w:p>
        </w:tc>
        <w:tc>
          <w:tcPr>
            <w:tcW w:w="2094" w:type="dxa"/>
            <w:gridSpan w:val="2"/>
            <w:vAlign w:val="center"/>
          </w:tcPr>
          <w:p>
            <w:pPr>
              <w:rPr>
                <w:rFonts w:eastAsia="Times New Roman"/>
                <w:noProof/>
                <w:sz w:val="14"/>
              </w:rPr>
            </w:pPr>
            <w:r>
              <w:rPr>
                <w:noProof/>
                <w:sz w:val="18"/>
              </w:rPr>
              <w:t>Paiements</w:t>
            </w:r>
          </w:p>
        </w:tc>
        <w:tc>
          <w:tcPr>
            <w:tcW w:w="868" w:type="dxa"/>
            <w:vAlign w:val="center"/>
          </w:tcPr>
          <w:p>
            <w:pPr>
              <w:spacing w:before="60" w:after="60"/>
              <w:jc w:val="right"/>
              <w:rPr>
                <w:rFonts w:eastAsia="Times New Roman"/>
                <w:noProof/>
                <w:sz w:val="20"/>
              </w:rPr>
            </w:pPr>
            <w:r>
              <w:rPr>
                <w:noProof/>
                <w:sz w:val="20"/>
              </w:rPr>
              <w:t>0,247</w:t>
            </w:r>
          </w:p>
        </w:tc>
        <w:tc>
          <w:tcPr>
            <w:tcW w:w="868" w:type="dxa"/>
            <w:vAlign w:val="center"/>
          </w:tcPr>
          <w:p>
            <w:pPr>
              <w:spacing w:before="60" w:after="60"/>
              <w:jc w:val="right"/>
              <w:rPr>
                <w:rFonts w:eastAsia="Times New Roman"/>
                <w:noProof/>
                <w:sz w:val="20"/>
              </w:rPr>
            </w:pPr>
            <w:r>
              <w:rPr>
                <w:noProof/>
                <w:sz w:val="20"/>
              </w:rPr>
              <w:t>0,250</w:t>
            </w:r>
          </w:p>
        </w:tc>
        <w:tc>
          <w:tcPr>
            <w:tcW w:w="868" w:type="dxa"/>
            <w:vAlign w:val="center"/>
          </w:tcPr>
          <w:p>
            <w:pPr>
              <w:spacing w:before="60" w:after="60"/>
              <w:jc w:val="right"/>
              <w:rPr>
                <w:rFonts w:eastAsia="Times New Roman"/>
                <w:noProof/>
                <w:sz w:val="20"/>
              </w:rPr>
            </w:pPr>
            <w:r>
              <w:rPr>
                <w:noProof/>
                <w:sz w:val="20"/>
              </w:rPr>
              <w:t>0,253</w:t>
            </w:r>
          </w:p>
        </w:tc>
        <w:tc>
          <w:tcPr>
            <w:tcW w:w="1777" w:type="dxa"/>
            <w:vAlign w:val="center"/>
          </w:tcPr>
          <w:p>
            <w:pPr>
              <w:spacing w:before="60" w:after="60"/>
              <w:jc w:val="center"/>
              <w:rPr>
                <w:rFonts w:eastAsia="Times New Roman"/>
                <w:b/>
                <w:noProof/>
                <w:sz w:val="20"/>
              </w:rPr>
            </w:pPr>
            <w:r>
              <w:rPr>
                <w:b/>
                <w:noProof/>
                <w:sz w:val="20"/>
              </w:rPr>
              <w:t>0,750</w:t>
            </w:r>
          </w:p>
        </w:tc>
      </w:tr>
    </w:tbl>
    <w:p>
      <w:pPr>
        <w:pStyle w:val="Heading3"/>
        <w:rPr>
          <w:rFonts w:eastAsia="Times New Roman"/>
          <w:noProof/>
          <w:szCs w:val="24"/>
        </w:rPr>
      </w:pPr>
      <w:r>
        <w:rPr>
          <w:noProof/>
        </w:rPr>
        <w:t xml:space="preserve">Incidence estimée sur les crédits de l'Agence </w:t>
      </w:r>
    </w:p>
    <w:p>
      <w:pPr>
        <w:tabs>
          <w:tab w:val="num" w:pos="1134"/>
        </w:tabs>
        <w:ind w:left="1134" w:hanging="283"/>
        <w:rPr>
          <w:rFonts w:eastAsia="Times New Roman"/>
          <w:noProof/>
          <w:sz w:val="20"/>
        </w:rPr>
      </w:pPr>
      <w:r>
        <w:rPr>
          <w:noProof/>
        </w:rPr>
        <w:t xml:space="preserve">La proposition/l'initiative engendre l'utilisation de crédits opérationnels, d'un montant de 0,086 million d'euros. </w:t>
      </w:r>
    </w:p>
    <w:p>
      <w:pPr>
        <w:ind w:left="840"/>
        <w:rPr>
          <w:rFonts w:eastAsia="Times New Roman"/>
          <w:noProof/>
        </w:rPr>
      </w:pPr>
      <w:r>
        <w:rPr>
          <w:noProof/>
        </w:rPr>
        <w:t xml:space="preserve">La participation de la République de Serbie en tant qu’observateur aux travaux de l’Agence permettra à celle-ci d'examiner, dans le cadre de l’article 3, paragraphe 1, du règlement (CE) nº 168/2007 du Conseil, des questions relatives aux droits fondamentaux dans ce pays, dans la mesure nécessaire à l’alignement progressif de la République de Serbie sur le droit de l’Union. Les tâches que l’Agence peut effectuer sont énoncées à l’article 4 du règlement (CE) n° 168/2007 du Conseil et ses domaines prioritaires sont définis dans le cadre pluriannuel de l’Agence, en application de l’article 5 du règlement (CE) n° 168/2007 du Conseil. </w:t>
      </w:r>
    </w:p>
    <w:p>
      <w:pPr>
        <w:rPr>
          <w:rFonts w:eastAsia="Times New Roman"/>
          <w:noProof/>
        </w:rPr>
        <w:sectPr>
          <w:headerReference w:type="default" r:id="rId17"/>
          <w:footerReference w:type="default" r:id="rId18"/>
          <w:headerReference w:type="first" r:id="rId19"/>
          <w:footerReference w:type="first" r:id="rId20"/>
          <w:pgSz w:w="15840" w:h="12240" w:orient="landscape"/>
          <w:pgMar w:top="1418" w:right="902" w:bottom="902" w:left="567" w:header="709" w:footer="709" w:gutter="0"/>
          <w:cols w:space="720"/>
          <w:docGrid w:linePitch="326"/>
        </w:sectPr>
      </w:pPr>
    </w:p>
    <w:p>
      <w:pPr>
        <w:pStyle w:val="Heading3"/>
        <w:rPr>
          <w:rFonts w:eastAsia="Times New Roman"/>
          <w:noProof/>
          <w:szCs w:val="24"/>
        </w:rPr>
      </w:pPr>
      <w:r>
        <w:rPr>
          <w:noProof/>
        </w:rPr>
        <w:t xml:space="preserve">Incidence estimée sur les ressources humaines de l'Agence </w:t>
      </w:r>
    </w:p>
    <w:p>
      <w:pPr>
        <w:pStyle w:val="Heading4"/>
        <w:rPr>
          <w:rFonts w:eastAsia="Times New Roman"/>
          <w:noProof/>
          <w:lang w:val="en-GB" w:eastAsia="en-GB" w:bidi="ar-SA"/>
        </w:rPr>
      </w:pPr>
      <w:r>
        <w:rPr>
          <w:rFonts w:eastAsia="Times New Roman"/>
          <w:noProof/>
          <w:lang w:val="en-GB" w:eastAsia="en-GB" w:bidi="ar-SA"/>
        </w:rPr>
        <w:t xml:space="preserve">Synthèse </w:t>
      </w:r>
    </w:p>
    <w:p>
      <w:pPr>
        <w:tabs>
          <w:tab w:val="num" w:pos="840"/>
        </w:tabs>
        <w:ind w:left="840" w:firstLine="11"/>
        <w:rPr>
          <w:rFonts w:eastAsia="Times New Roman"/>
          <w:noProof/>
        </w:rPr>
      </w:pPr>
      <w:r>
        <w:rPr>
          <w:noProof/>
        </w:rPr>
        <w:t>La proposition/l'initiative engendre l'utilisation de crédits de nature administrative, comme expliqué ci-après:</w:t>
      </w:r>
    </w:p>
    <w:p>
      <w:pPr>
        <w:rPr>
          <w:rFonts w:eastAsia="Times New Roman"/>
          <w:noProof/>
          <w:sz w:val="20"/>
        </w:rPr>
      </w:pPr>
      <w:r>
        <w:rPr>
          <w:noProof/>
          <w:sz w:val="20"/>
        </w:rPr>
        <w:t>En millions d'euros (à la 3</w:t>
      </w:r>
      <w:r>
        <w:rPr>
          <w:noProof/>
          <w:sz w:val="20"/>
          <w:vertAlign w:val="superscript"/>
        </w:rPr>
        <w:t>e</w:t>
      </w:r>
      <w:r>
        <w:rPr>
          <w:noProof/>
          <w:sz w:val="20"/>
        </w:rPr>
        <w:t> décimale)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tcPr>
          <w:p>
            <w:pPr>
              <w:spacing w:before="60" w:after="60"/>
              <w:rPr>
                <w:rFonts w:eastAsia="Times New Roman"/>
                <w:noProof/>
                <w:sz w:val="20"/>
              </w:rPr>
            </w:pPr>
          </w:p>
        </w:tc>
        <w:tc>
          <w:tcPr>
            <w:tcW w:w="1080" w:type="dxa"/>
            <w:vAlign w:val="center"/>
          </w:tcPr>
          <w:p>
            <w:pPr>
              <w:spacing w:before="60" w:after="60"/>
              <w:jc w:val="center"/>
              <w:rPr>
                <w:rFonts w:eastAsia="Times New Roman"/>
                <w:noProof/>
                <w:sz w:val="20"/>
              </w:rPr>
            </w:pPr>
            <w:r>
              <w:rPr>
                <w:noProof/>
              </w:rPr>
              <w:t xml:space="preserve">Année </w:t>
            </w:r>
            <w:r>
              <w:rPr>
                <w:b/>
                <w:noProof/>
                <w:sz w:val="20"/>
              </w:rPr>
              <w:t>1</w:t>
            </w:r>
          </w:p>
        </w:tc>
        <w:tc>
          <w:tcPr>
            <w:tcW w:w="1080" w:type="dxa"/>
            <w:vAlign w:val="center"/>
          </w:tcPr>
          <w:p>
            <w:pPr>
              <w:spacing w:before="60" w:after="60"/>
              <w:jc w:val="center"/>
              <w:rPr>
                <w:rFonts w:eastAsia="Times New Roman"/>
                <w:noProof/>
                <w:sz w:val="20"/>
              </w:rPr>
            </w:pPr>
            <w:r>
              <w:rPr>
                <w:noProof/>
              </w:rPr>
              <w:t xml:space="preserve">Année </w:t>
            </w:r>
            <w:r>
              <w:rPr>
                <w:b/>
                <w:noProof/>
                <w:sz w:val="20"/>
              </w:rPr>
              <w:t>2</w:t>
            </w:r>
          </w:p>
        </w:tc>
        <w:tc>
          <w:tcPr>
            <w:tcW w:w="1080" w:type="dxa"/>
            <w:vAlign w:val="center"/>
          </w:tcPr>
          <w:p>
            <w:pPr>
              <w:spacing w:before="60" w:after="60"/>
              <w:jc w:val="center"/>
              <w:rPr>
                <w:rFonts w:eastAsia="Times New Roman"/>
                <w:noProof/>
                <w:sz w:val="20"/>
              </w:rPr>
            </w:pPr>
            <w:r>
              <w:rPr>
                <w:noProof/>
              </w:rPr>
              <w:t xml:space="preserve">Année </w:t>
            </w:r>
            <w:r>
              <w:rPr>
                <w:b/>
                <w:noProof/>
                <w:sz w:val="20"/>
              </w:rPr>
              <w:t>3</w:t>
            </w:r>
          </w:p>
        </w:tc>
        <w:tc>
          <w:tcPr>
            <w:tcW w:w="1080" w:type="dxa"/>
            <w:vAlign w:val="center"/>
          </w:tcPr>
          <w:p>
            <w:pPr>
              <w:spacing w:before="60" w:after="60"/>
              <w:jc w:val="center"/>
              <w:rPr>
                <w:rFonts w:eastAsia="Times New Roman"/>
                <w:b/>
                <w:noProof/>
                <w:sz w:val="20"/>
              </w:rPr>
            </w:pPr>
            <w:r>
              <w:rPr>
                <w:b/>
                <w:noProof/>
                <w:sz w:val="20"/>
              </w:rPr>
              <w:t>TOTAL</w:t>
            </w:r>
          </w:p>
        </w:tc>
      </w:tr>
    </w:tbl>
    <w:p>
      <w:pPr>
        <w:rPr>
          <w:rFonts w:eastAsia="Times New Roman"/>
          <w:noProof/>
          <w:sz w:val="20"/>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shd w:val="clear" w:color="auto" w:fill="CCCCCC"/>
            <w:vAlign w:val="center"/>
          </w:tcPr>
          <w:p>
            <w:pPr>
              <w:spacing w:before="60" w:after="60"/>
              <w:jc w:val="center"/>
              <w:rPr>
                <w:rFonts w:eastAsia="Times New Roman"/>
                <w:noProof/>
              </w:rPr>
            </w:pPr>
            <w:r>
              <w:rPr>
                <w:noProof/>
                <w:sz w:val="18"/>
              </w:rPr>
              <w:t>Fonctionnaires (grades AD)</w:t>
            </w: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b/>
                <w:noProof/>
                <w:sz w:val="20"/>
              </w:rPr>
            </w:pPr>
          </w:p>
        </w:tc>
      </w:tr>
      <w:tr>
        <w:trPr>
          <w:trHeight w:val="585"/>
        </w:trPr>
        <w:tc>
          <w:tcPr>
            <w:tcW w:w="1980" w:type="dxa"/>
            <w:vAlign w:val="center"/>
          </w:tcPr>
          <w:p>
            <w:pPr>
              <w:spacing w:before="60" w:after="60"/>
              <w:ind w:left="72"/>
              <w:rPr>
                <w:rFonts w:eastAsia="Times New Roman"/>
                <w:noProof/>
              </w:rPr>
            </w:pPr>
            <w:r>
              <w:rPr>
                <w:noProof/>
                <w:sz w:val="20"/>
              </w:rPr>
              <w:t>Fonctionnaires (grades AST)</w:t>
            </w: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b/>
                <w:noProof/>
                <w:sz w:val="20"/>
              </w:rPr>
            </w:pPr>
          </w:p>
        </w:tc>
      </w:tr>
      <w:tr>
        <w:trPr>
          <w:trHeight w:val="585"/>
        </w:trPr>
        <w:tc>
          <w:tcPr>
            <w:tcW w:w="1980" w:type="dxa"/>
            <w:vAlign w:val="center"/>
          </w:tcPr>
          <w:p>
            <w:pPr>
              <w:spacing w:before="60" w:after="60"/>
              <w:ind w:left="72"/>
              <w:rPr>
                <w:rFonts w:eastAsia="Times New Roman"/>
                <w:noProof/>
              </w:rPr>
            </w:pPr>
            <w:r>
              <w:rPr>
                <w:noProof/>
                <w:sz w:val="20"/>
              </w:rPr>
              <w:t>Agents contractuels</w:t>
            </w:r>
          </w:p>
        </w:tc>
        <w:tc>
          <w:tcPr>
            <w:tcW w:w="1080" w:type="dxa"/>
            <w:vAlign w:val="center"/>
          </w:tcPr>
          <w:p>
            <w:pPr>
              <w:spacing w:before="60" w:after="60"/>
              <w:jc w:val="right"/>
              <w:rPr>
                <w:rFonts w:eastAsia="Times New Roman"/>
                <w:noProof/>
                <w:sz w:val="20"/>
              </w:rPr>
            </w:pPr>
            <w:r>
              <w:rPr>
                <w:noProof/>
                <w:sz w:val="20"/>
              </w:rPr>
              <w:t>1</w:t>
            </w:r>
          </w:p>
        </w:tc>
        <w:tc>
          <w:tcPr>
            <w:tcW w:w="1080" w:type="dxa"/>
            <w:vAlign w:val="center"/>
          </w:tcPr>
          <w:p>
            <w:pPr>
              <w:spacing w:before="60" w:after="60"/>
              <w:jc w:val="right"/>
              <w:rPr>
                <w:rFonts w:eastAsia="Times New Roman"/>
                <w:noProof/>
                <w:sz w:val="20"/>
              </w:rPr>
            </w:pPr>
            <w:r>
              <w:rPr>
                <w:noProof/>
                <w:sz w:val="20"/>
              </w:rPr>
              <w:t>1</w:t>
            </w:r>
          </w:p>
        </w:tc>
        <w:tc>
          <w:tcPr>
            <w:tcW w:w="1080" w:type="dxa"/>
            <w:vAlign w:val="center"/>
          </w:tcPr>
          <w:p>
            <w:pPr>
              <w:spacing w:before="60" w:after="60"/>
              <w:jc w:val="right"/>
              <w:rPr>
                <w:rFonts w:eastAsia="Times New Roman"/>
                <w:noProof/>
                <w:sz w:val="20"/>
              </w:rPr>
            </w:pPr>
            <w:r>
              <w:rPr>
                <w:noProof/>
                <w:sz w:val="20"/>
              </w:rPr>
              <w:t>1</w:t>
            </w:r>
          </w:p>
        </w:tc>
        <w:tc>
          <w:tcPr>
            <w:tcW w:w="1080" w:type="dxa"/>
            <w:vAlign w:val="center"/>
          </w:tcPr>
          <w:p>
            <w:pPr>
              <w:spacing w:before="60" w:after="60"/>
              <w:jc w:val="right"/>
              <w:rPr>
                <w:rFonts w:eastAsia="Times New Roman"/>
                <w:b/>
                <w:noProof/>
                <w:sz w:val="20"/>
              </w:rPr>
            </w:pPr>
            <w:r>
              <w:rPr>
                <w:b/>
                <w:noProof/>
                <w:sz w:val="20"/>
              </w:rPr>
              <w:t>1</w:t>
            </w:r>
          </w:p>
        </w:tc>
      </w:tr>
      <w:tr>
        <w:trPr>
          <w:trHeight w:val="585"/>
        </w:trPr>
        <w:tc>
          <w:tcPr>
            <w:tcW w:w="1980" w:type="dxa"/>
            <w:shd w:val="clear" w:color="auto" w:fill="CCCCCC"/>
            <w:vAlign w:val="center"/>
          </w:tcPr>
          <w:p>
            <w:pPr>
              <w:spacing w:before="60" w:after="60"/>
              <w:jc w:val="center"/>
              <w:rPr>
                <w:rFonts w:eastAsia="Times New Roman"/>
                <w:noProof/>
              </w:rPr>
            </w:pPr>
            <w:r>
              <w:rPr>
                <w:noProof/>
                <w:sz w:val="18"/>
              </w:rPr>
              <w:t xml:space="preserve">Agents temporaires </w:t>
            </w: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b/>
                <w:noProof/>
                <w:sz w:val="20"/>
              </w:rPr>
            </w:pPr>
          </w:p>
        </w:tc>
      </w:tr>
      <w:tr>
        <w:trPr>
          <w:trHeight w:val="585"/>
        </w:trPr>
        <w:tc>
          <w:tcPr>
            <w:tcW w:w="1980" w:type="dxa"/>
            <w:shd w:val="clear" w:color="auto" w:fill="CCCCCC"/>
            <w:vAlign w:val="center"/>
          </w:tcPr>
          <w:p>
            <w:pPr>
              <w:spacing w:before="60" w:after="60"/>
              <w:jc w:val="center"/>
              <w:rPr>
                <w:rFonts w:eastAsia="Times New Roman"/>
                <w:noProof/>
              </w:rPr>
            </w:pPr>
            <w:r>
              <w:rPr>
                <w:noProof/>
                <w:sz w:val="18"/>
              </w:rPr>
              <w:t>Experts nationaux détachés</w:t>
            </w: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b/>
                <w:noProof/>
                <w:sz w:val="20"/>
              </w:rPr>
            </w:pPr>
          </w:p>
        </w:tc>
      </w:tr>
    </w:tbl>
    <w:p>
      <w:pPr>
        <w:rPr>
          <w:rFonts w:eastAsia="Times New Roman"/>
          <w:noProof/>
          <w:sz w:val="20"/>
        </w:rPr>
      </w:pPr>
    </w:p>
    <w:tbl>
      <w:tblPr>
        <w:tblW w:w="0" w:type="auto"/>
        <w:tblInd w:w="-612" w:type="dxa"/>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rFonts w:eastAsia="Times New Roman"/>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rPr>
            </w:pPr>
            <w:r>
              <w:rPr>
                <w:b/>
                <w:noProof/>
                <w:sz w:val="20"/>
              </w:rPr>
              <w:t>1</w:t>
            </w:r>
          </w:p>
        </w:tc>
      </w:tr>
    </w:tbl>
    <w:p>
      <w:pPr>
        <w:jc w:val="left"/>
        <w:rPr>
          <w:rFonts w:eastAsia="Times New Roman"/>
          <w:noProof/>
        </w:rPr>
        <w:sectPr>
          <w:headerReference w:type="default" r:id="rId21"/>
          <w:footerReference w:type="default" r:id="rId22"/>
          <w:headerReference w:type="first" r:id="rId23"/>
          <w:footerReference w:type="first" r:id="rId24"/>
          <w:pgSz w:w="11907" w:h="16839"/>
          <w:pgMar w:top="1134" w:right="1417" w:bottom="1134" w:left="1417" w:header="709" w:footer="709" w:gutter="0"/>
          <w:cols w:space="720"/>
          <w:docGrid w:linePitch="326"/>
        </w:sectPr>
      </w:pPr>
    </w:p>
    <w:p>
      <w:pPr>
        <w:pStyle w:val="Heading4"/>
        <w:rPr>
          <w:rFonts w:eastAsia="Times New Roman"/>
          <w:noProof/>
          <w:lang w:eastAsia="en-GB" w:bidi="ar-SA"/>
        </w:rPr>
      </w:pPr>
      <w:r>
        <w:rPr>
          <w:rFonts w:eastAsia="Times New Roman"/>
          <w:noProof/>
          <w:lang w:eastAsia="en-GB" w:bidi="ar-SA"/>
        </w:rPr>
        <w:t>Besoins estimés en ressources humaines pour la Commission</w:t>
      </w:r>
    </w:p>
    <w:p>
      <w:pPr>
        <w:tabs>
          <w:tab w:val="num" w:pos="840"/>
        </w:tabs>
        <w:ind w:left="840" w:firstLine="11"/>
        <w:rPr>
          <w:rFonts w:eastAsia="Times New Roman"/>
          <w:noProof/>
        </w:rPr>
      </w:pPr>
      <w:r>
        <w:rPr>
          <w:noProof/>
        </w:rPr>
        <w:t>La proposition/l'initiative engendre l'utilisation de ressources humaines au sein de la Commission, comme expliqué ci-après:</w:t>
      </w:r>
    </w:p>
    <w:p>
      <w:pPr>
        <w:spacing w:after="60"/>
        <w:jc w:val="right"/>
        <w:rPr>
          <w:rFonts w:eastAsia="Times New Roman"/>
          <w:i/>
          <w:noProof/>
          <w:sz w:val="20"/>
        </w:rPr>
      </w:pPr>
      <w:r>
        <w:rPr>
          <w:i/>
          <w:noProof/>
          <w:sz w:val="20"/>
        </w:rPr>
        <w:t>Estimation à exprimer en valeur entière (ou au plus avec une décimale)</w:t>
      </w:r>
    </w:p>
    <w:tbl>
      <w:tblPr>
        <w:tblW w:w="4153" w:type="pct"/>
        <w:jc w:val="center"/>
        <w:tblInd w:w="-34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23"/>
        <w:gridCol w:w="2061"/>
        <w:gridCol w:w="758"/>
        <w:gridCol w:w="758"/>
        <w:gridCol w:w="815"/>
      </w:tblGrid>
      <w:tr>
        <w:trPr>
          <w:trHeight w:val="289"/>
          <w:jc w:val="center"/>
        </w:trPr>
        <w:tc>
          <w:tcPr>
            <w:tcW w:w="3489" w:type="pct"/>
            <w:gridSpan w:val="2"/>
            <w:shd w:val="clear" w:color="auto" w:fill="auto"/>
          </w:tcPr>
          <w:p>
            <w:pPr>
              <w:spacing w:before="40" w:after="40"/>
              <w:jc w:val="center"/>
              <w:rPr>
                <w:rFonts w:eastAsia="Times New Roman"/>
                <w:i/>
                <w:noProof/>
                <w:sz w:val="20"/>
              </w:rPr>
            </w:pPr>
          </w:p>
        </w:tc>
        <w:tc>
          <w:tcPr>
            <w:tcW w:w="491" w:type="pct"/>
            <w:shd w:val="clear" w:color="auto" w:fill="auto"/>
            <w:vAlign w:val="center"/>
          </w:tcPr>
          <w:p>
            <w:pPr>
              <w:spacing w:before="20" w:after="20"/>
              <w:jc w:val="center"/>
              <w:rPr>
                <w:rFonts w:eastAsia="Times New Roman"/>
                <w:noProof/>
                <w:sz w:val="20"/>
              </w:rPr>
            </w:pPr>
            <w:r>
              <w:rPr>
                <w:noProof/>
                <w:sz w:val="20"/>
              </w:rPr>
              <w:t>Année</w:t>
            </w:r>
            <w:r>
              <w:rPr>
                <w:rFonts w:eastAsia="Times New Roman"/>
                <w:noProof/>
                <w:sz w:val="20"/>
              </w:rPr>
              <w:br/>
            </w:r>
            <w:r>
              <w:rPr>
                <w:b/>
                <w:noProof/>
                <w:sz w:val="20"/>
              </w:rPr>
              <w:t>1</w:t>
            </w:r>
          </w:p>
        </w:tc>
        <w:tc>
          <w:tcPr>
            <w:tcW w:w="491" w:type="pct"/>
            <w:shd w:val="clear" w:color="auto" w:fill="auto"/>
            <w:vAlign w:val="center"/>
          </w:tcPr>
          <w:p>
            <w:pPr>
              <w:spacing w:before="20" w:after="20"/>
              <w:jc w:val="center"/>
              <w:rPr>
                <w:rFonts w:eastAsia="Times New Roman"/>
                <w:noProof/>
                <w:sz w:val="20"/>
              </w:rPr>
            </w:pPr>
            <w:r>
              <w:rPr>
                <w:noProof/>
                <w:sz w:val="20"/>
              </w:rPr>
              <w:t>Année</w:t>
            </w:r>
            <w:r>
              <w:rPr>
                <w:rFonts w:eastAsia="Times New Roman"/>
                <w:noProof/>
                <w:sz w:val="20"/>
              </w:rPr>
              <w:br/>
            </w:r>
            <w:r>
              <w:rPr>
                <w:b/>
                <w:noProof/>
                <w:sz w:val="20"/>
              </w:rPr>
              <w:t>2</w:t>
            </w:r>
          </w:p>
        </w:tc>
        <w:tc>
          <w:tcPr>
            <w:tcW w:w="528" w:type="pct"/>
            <w:shd w:val="clear" w:color="auto" w:fill="auto"/>
            <w:vAlign w:val="center"/>
          </w:tcPr>
          <w:p>
            <w:pPr>
              <w:spacing w:before="20" w:after="20"/>
              <w:jc w:val="center"/>
              <w:rPr>
                <w:rFonts w:eastAsia="Times New Roman"/>
                <w:noProof/>
                <w:sz w:val="20"/>
              </w:rPr>
            </w:pPr>
            <w:r>
              <w:rPr>
                <w:noProof/>
                <w:sz w:val="20"/>
              </w:rPr>
              <w:t>Année</w:t>
            </w:r>
            <w:r>
              <w:rPr>
                <w:rFonts w:eastAsia="Times New Roman"/>
                <w:noProof/>
                <w:sz w:val="20"/>
              </w:rPr>
              <w:br/>
            </w:r>
            <w:r>
              <w:rPr>
                <w:b/>
                <w:noProof/>
                <w:sz w:val="20"/>
              </w:rPr>
              <w:t>3</w:t>
            </w:r>
          </w:p>
        </w:tc>
      </w:tr>
      <w:tr>
        <w:trPr>
          <w:trHeight w:val="289"/>
          <w:jc w:val="center"/>
        </w:trPr>
        <w:tc>
          <w:tcPr>
            <w:tcW w:w="3489" w:type="pct"/>
            <w:gridSpan w:val="2"/>
            <w:shd w:val="clear" w:color="auto" w:fill="auto"/>
            <w:vAlign w:val="center"/>
          </w:tcPr>
          <w:p>
            <w:pPr>
              <w:numPr>
                <w:ilvl w:val="0"/>
                <w:numId w:val="10"/>
              </w:numPr>
              <w:tabs>
                <w:tab w:val="left" w:pos="208"/>
              </w:tabs>
              <w:spacing w:beforeLines="20" w:before="48" w:afterLines="20" w:after="48"/>
              <w:ind w:left="208" w:hanging="120"/>
              <w:jc w:val="left"/>
              <w:rPr>
                <w:rFonts w:eastAsia="Times New Roman"/>
                <w:b/>
                <w:noProof/>
                <w:sz w:val="20"/>
              </w:rPr>
            </w:pPr>
            <w:r>
              <w:rPr>
                <w:b/>
                <w:noProof/>
                <w:sz w:val="20"/>
              </w:rPr>
              <w:t>Emplois du tableau des effectifs (fonctionnaires et agents temporaires)</w:t>
            </w:r>
          </w:p>
        </w:tc>
        <w:tc>
          <w:tcPr>
            <w:tcW w:w="491" w:type="pct"/>
            <w:shd w:val="clear" w:color="auto" w:fill="auto"/>
            <w:vAlign w:val="center"/>
          </w:tcPr>
          <w:p>
            <w:pPr>
              <w:spacing w:beforeLines="20" w:before="48" w:afterLines="20" w:after="48"/>
              <w:jc w:val="center"/>
              <w:rPr>
                <w:rFonts w:eastAsia="Times New Roman"/>
                <w:noProof/>
                <w:sz w:val="20"/>
              </w:rPr>
            </w:pPr>
          </w:p>
        </w:tc>
        <w:tc>
          <w:tcPr>
            <w:tcW w:w="491" w:type="pct"/>
            <w:shd w:val="clear" w:color="auto" w:fill="auto"/>
            <w:vAlign w:val="center"/>
          </w:tcPr>
          <w:p>
            <w:pPr>
              <w:spacing w:beforeLines="20" w:before="48" w:afterLines="20" w:after="48"/>
              <w:jc w:val="center"/>
              <w:rPr>
                <w:rFonts w:eastAsia="Times New Roman"/>
                <w:noProof/>
                <w:sz w:val="20"/>
              </w:rPr>
            </w:pPr>
          </w:p>
        </w:tc>
        <w:tc>
          <w:tcPr>
            <w:tcW w:w="52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489" w:type="pct"/>
            <w:gridSpan w:val="2"/>
            <w:shd w:val="clear" w:color="auto" w:fill="auto"/>
            <w:vAlign w:val="center"/>
          </w:tcPr>
          <w:p>
            <w:pPr>
              <w:spacing w:beforeLines="20" w:before="48" w:afterLines="20" w:after="48"/>
              <w:ind w:left="984"/>
              <w:jc w:val="left"/>
              <w:rPr>
                <w:rFonts w:eastAsia="Times New Roman"/>
                <w:b/>
                <w:noProof/>
                <w:sz w:val="20"/>
              </w:rPr>
            </w:pPr>
            <w:r>
              <w:rPr>
                <w:noProof/>
                <w:sz w:val="20"/>
              </w:rPr>
              <w:t>XX 01 01 01 (au siège et dans les bureaux de représentation de la Commission)</w:t>
            </w:r>
          </w:p>
        </w:tc>
        <w:tc>
          <w:tcPr>
            <w:tcW w:w="491" w:type="pct"/>
            <w:shd w:val="clear" w:color="auto" w:fill="auto"/>
            <w:vAlign w:val="center"/>
          </w:tcPr>
          <w:p>
            <w:pPr>
              <w:spacing w:beforeLines="20" w:before="48" w:afterLines="20" w:after="48"/>
              <w:jc w:val="center"/>
              <w:rPr>
                <w:rFonts w:eastAsia="Times New Roman"/>
                <w:noProof/>
                <w:sz w:val="20"/>
              </w:rPr>
            </w:pPr>
            <w:r>
              <w:rPr>
                <w:noProof/>
                <w:sz w:val="20"/>
              </w:rPr>
              <w:t>0,5</w:t>
            </w:r>
          </w:p>
        </w:tc>
        <w:tc>
          <w:tcPr>
            <w:tcW w:w="491" w:type="pct"/>
            <w:shd w:val="clear" w:color="auto" w:fill="auto"/>
            <w:vAlign w:val="center"/>
          </w:tcPr>
          <w:p>
            <w:pPr>
              <w:spacing w:beforeLines="20" w:before="48" w:afterLines="20" w:after="48"/>
              <w:jc w:val="center"/>
              <w:rPr>
                <w:rFonts w:eastAsia="Times New Roman"/>
                <w:noProof/>
                <w:sz w:val="20"/>
              </w:rPr>
            </w:pPr>
            <w:r>
              <w:rPr>
                <w:noProof/>
                <w:sz w:val="20"/>
              </w:rPr>
              <w:t>0,5</w:t>
            </w:r>
          </w:p>
        </w:tc>
        <w:tc>
          <w:tcPr>
            <w:tcW w:w="528" w:type="pct"/>
            <w:shd w:val="clear" w:color="auto" w:fill="auto"/>
            <w:vAlign w:val="center"/>
          </w:tcPr>
          <w:p>
            <w:pPr>
              <w:spacing w:beforeLines="20" w:before="48" w:afterLines="20" w:after="48"/>
              <w:jc w:val="center"/>
              <w:rPr>
                <w:rFonts w:eastAsia="Times New Roman"/>
                <w:noProof/>
                <w:sz w:val="20"/>
              </w:rPr>
            </w:pPr>
            <w:r>
              <w:rPr>
                <w:noProof/>
                <w:sz w:val="20"/>
              </w:rPr>
              <w:t>0,5</w:t>
            </w:r>
          </w:p>
        </w:tc>
      </w:tr>
      <w:tr>
        <w:trPr>
          <w:trHeight w:val="289"/>
          <w:jc w:val="center"/>
        </w:trPr>
        <w:tc>
          <w:tcPr>
            <w:tcW w:w="3489" w:type="pct"/>
            <w:gridSpan w:val="2"/>
            <w:shd w:val="clear" w:color="auto" w:fill="auto"/>
            <w:vAlign w:val="center"/>
          </w:tcPr>
          <w:p>
            <w:pPr>
              <w:spacing w:beforeLines="20" w:before="48" w:afterLines="20" w:after="48"/>
              <w:ind w:left="984"/>
              <w:jc w:val="left"/>
              <w:rPr>
                <w:rFonts w:eastAsia="Times New Roman"/>
                <w:noProof/>
                <w:sz w:val="20"/>
              </w:rPr>
            </w:pPr>
            <w:r>
              <w:rPr>
                <w:noProof/>
                <w:sz w:val="20"/>
              </w:rPr>
              <w:t>XX 01 01 02 (en délégation)</w:t>
            </w:r>
          </w:p>
        </w:tc>
        <w:tc>
          <w:tcPr>
            <w:tcW w:w="491" w:type="pct"/>
            <w:shd w:val="clear" w:color="auto" w:fill="auto"/>
            <w:vAlign w:val="center"/>
          </w:tcPr>
          <w:p>
            <w:pPr>
              <w:spacing w:beforeLines="20" w:before="48" w:afterLines="20" w:after="48"/>
              <w:jc w:val="center"/>
              <w:rPr>
                <w:rFonts w:eastAsia="Times New Roman"/>
                <w:noProof/>
                <w:sz w:val="20"/>
              </w:rPr>
            </w:pPr>
          </w:p>
        </w:tc>
        <w:tc>
          <w:tcPr>
            <w:tcW w:w="491" w:type="pct"/>
            <w:shd w:val="clear" w:color="auto" w:fill="auto"/>
            <w:vAlign w:val="center"/>
          </w:tcPr>
          <w:p>
            <w:pPr>
              <w:spacing w:beforeLines="20" w:before="48" w:afterLines="20" w:after="48"/>
              <w:jc w:val="center"/>
              <w:rPr>
                <w:rFonts w:eastAsia="Times New Roman"/>
                <w:noProof/>
                <w:sz w:val="20"/>
              </w:rPr>
            </w:pPr>
          </w:p>
        </w:tc>
        <w:tc>
          <w:tcPr>
            <w:tcW w:w="528" w:type="pct"/>
            <w:shd w:val="clear" w:color="auto" w:fill="auto"/>
            <w:vAlign w:val="center"/>
          </w:tcPr>
          <w:p>
            <w:pPr>
              <w:spacing w:beforeLines="20" w:before="48" w:afterLines="20" w:after="48"/>
              <w:jc w:val="center"/>
              <w:rPr>
                <w:rFonts w:eastAsia="Times New Roman"/>
                <w:noProof/>
                <w:sz w:val="20"/>
              </w:rPr>
            </w:pPr>
          </w:p>
        </w:tc>
      </w:tr>
      <w:tr>
        <w:trPr>
          <w:trHeight w:val="953"/>
          <w:jc w:val="center"/>
        </w:trPr>
        <w:tc>
          <w:tcPr>
            <w:tcW w:w="3489" w:type="pct"/>
            <w:gridSpan w:val="2"/>
            <w:shd w:val="clear" w:color="auto" w:fill="auto"/>
            <w:vAlign w:val="center"/>
          </w:tcPr>
          <w:p>
            <w:pPr>
              <w:spacing w:beforeLines="20" w:before="48" w:afterLines="20" w:after="48"/>
              <w:ind w:left="984"/>
              <w:jc w:val="left"/>
              <w:rPr>
                <w:rFonts w:eastAsia="Times New Roman"/>
                <w:noProof/>
                <w:sz w:val="20"/>
              </w:rPr>
            </w:pPr>
            <w:r>
              <w:rPr>
                <w:noProof/>
                <w:sz w:val="20"/>
              </w:rPr>
              <w:t>XX 01 05 01 (recherche indirecte)</w:t>
            </w:r>
          </w:p>
        </w:tc>
        <w:tc>
          <w:tcPr>
            <w:tcW w:w="491" w:type="pct"/>
            <w:shd w:val="clear" w:color="auto" w:fill="auto"/>
            <w:vAlign w:val="center"/>
          </w:tcPr>
          <w:p>
            <w:pPr>
              <w:spacing w:beforeLines="20" w:before="48" w:afterLines="20" w:after="48"/>
              <w:jc w:val="center"/>
              <w:rPr>
                <w:rFonts w:eastAsia="Times New Roman"/>
                <w:noProof/>
                <w:sz w:val="20"/>
              </w:rPr>
            </w:pPr>
          </w:p>
        </w:tc>
        <w:tc>
          <w:tcPr>
            <w:tcW w:w="491" w:type="pct"/>
            <w:shd w:val="clear" w:color="auto" w:fill="auto"/>
            <w:vAlign w:val="center"/>
          </w:tcPr>
          <w:p>
            <w:pPr>
              <w:spacing w:beforeLines="20" w:before="48" w:afterLines="20" w:after="48"/>
              <w:jc w:val="center"/>
              <w:rPr>
                <w:rFonts w:eastAsia="Times New Roman"/>
                <w:noProof/>
                <w:sz w:val="20"/>
              </w:rPr>
            </w:pPr>
          </w:p>
        </w:tc>
        <w:tc>
          <w:tcPr>
            <w:tcW w:w="52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489" w:type="pct"/>
            <w:gridSpan w:val="2"/>
            <w:shd w:val="clear" w:color="auto" w:fill="auto"/>
            <w:vAlign w:val="center"/>
          </w:tcPr>
          <w:p>
            <w:pPr>
              <w:spacing w:beforeLines="20" w:before="48" w:afterLines="20" w:after="48"/>
              <w:ind w:left="984"/>
              <w:jc w:val="left"/>
              <w:rPr>
                <w:rFonts w:eastAsia="Times New Roman"/>
                <w:noProof/>
                <w:sz w:val="20"/>
              </w:rPr>
            </w:pPr>
            <w:r>
              <w:rPr>
                <w:noProof/>
                <w:sz w:val="20"/>
              </w:rPr>
              <w:t>10 01 05 01 (recherche directe)</w:t>
            </w:r>
          </w:p>
        </w:tc>
        <w:tc>
          <w:tcPr>
            <w:tcW w:w="491" w:type="pct"/>
            <w:shd w:val="clear" w:color="auto" w:fill="auto"/>
            <w:vAlign w:val="center"/>
          </w:tcPr>
          <w:p>
            <w:pPr>
              <w:spacing w:beforeLines="20" w:before="48" w:afterLines="20" w:after="48"/>
              <w:jc w:val="center"/>
              <w:rPr>
                <w:rFonts w:eastAsia="Times New Roman"/>
                <w:noProof/>
                <w:sz w:val="20"/>
              </w:rPr>
            </w:pPr>
          </w:p>
        </w:tc>
        <w:tc>
          <w:tcPr>
            <w:tcW w:w="491" w:type="pct"/>
            <w:shd w:val="clear" w:color="auto" w:fill="auto"/>
            <w:vAlign w:val="center"/>
          </w:tcPr>
          <w:p>
            <w:pPr>
              <w:spacing w:beforeLines="20" w:before="48" w:afterLines="20" w:after="48"/>
              <w:jc w:val="center"/>
              <w:rPr>
                <w:rFonts w:eastAsia="Times New Roman"/>
                <w:noProof/>
                <w:sz w:val="20"/>
              </w:rPr>
            </w:pPr>
          </w:p>
        </w:tc>
        <w:tc>
          <w:tcPr>
            <w:tcW w:w="52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489" w:type="pct"/>
            <w:gridSpan w:val="2"/>
            <w:shd w:val="clear" w:color="auto" w:fill="auto"/>
            <w:vAlign w:val="center"/>
          </w:tcPr>
          <w:p>
            <w:pPr>
              <w:spacing w:beforeLines="20" w:before="48" w:afterLines="20" w:after="48"/>
              <w:ind w:left="984"/>
              <w:jc w:val="left"/>
              <w:rPr>
                <w:rFonts w:eastAsia="Times New Roman"/>
                <w:noProof/>
                <w:sz w:val="20"/>
              </w:rPr>
            </w:pPr>
          </w:p>
        </w:tc>
        <w:tc>
          <w:tcPr>
            <w:tcW w:w="491" w:type="pct"/>
            <w:shd w:val="clear" w:color="auto" w:fill="auto"/>
            <w:vAlign w:val="center"/>
          </w:tcPr>
          <w:p>
            <w:pPr>
              <w:spacing w:beforeLines="20" w:before="48" w:afterLines="20" w:after="48"/>
              <w:jc w:val="center"/>
              <w:rPr>
                <w:rFonts w:eastAsia="Times New Roman"/>
                <w:noProof/>
                <w:sz w:val="20"/>
              </w:rPr>
            </w:pPr>
          </w:p>
        </w:tc>
        <w:tc>
          <w:tcPr>
            <w:tcW w:w="491" w:type="pct"/>
            <w:shd w:val="clear" w:color="auto" w:fill="auto"/>
            <w:vAlign w:val="center"/>
          </w:tcPr>
          <w:p>
            <w:pPr>
              <w:spacing w:beforeLines="20" w:before="48" w:afterLines="20" w:after="48"/>
              <w:jc w:val="center"/>
              <w:rPr>
                <w:rFonts w:eastAsia="Times New Roman"/>
                <w:noProof/>
                <w:sz w:val="20"/>
              </w:rPr>
            </w:pPr>
          </w:p>
        </w:tc>
        <w:tc>
          <w:tcPr>
            <w:tcW w:w="52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489" w:type="pct"/>
            <w:gridSpan w:val="2"/>
            <w:shd w:val="clear" w:color="auto" w:fill="auto"/>
            <w:vAlign w:val="center"/>
          </w:tcPr>
          <w:p>
            <w:pPr>
              <w:spacing w:beforeLines="20" w:before="48" w:afterLines="20" w:after="48"/>
              <w:ind w:left="208" w:hanging="120"/>
              <w:jc w:val="left"/>
              <w:rPr>
                <w:rFonts w:eastAsia="Times New Roman"/>
                <w:noProof/>
                <w:sz w:val="20"/>
              </w:rPr>
            </w:pPr>
            <w:r>
              <w:rPr>
                <w:rFonts w:eastAsia="Times New Roman"/>
                <w:b/>
                <w:noProof/>
                <w:sz w:val="20"/>
              </w:rPr>
              <w:sym w:font="Wingdings" w:char="F09F"/>
            </w:r>
            <w:r>
              <w:rPr>
                <w:noProof/>
              </w:rPr>
              <w:t xml:space="preserve"> </w:t>
            </w:r>
            <w:r>
              <w:rPr>
                <w:b/>
                <w:noProof/>
              </w:rPr>
              <w:t>Personnel externe (en équivalent temps plein:</w:t>
            </w:r>
            <w:r>
              <w:rPr>
                <w:b/>
                <w:noProof/>
                <w:sz w:val="20"/>
              </w:rPr>
              <w:t xml:space="preserve"> ETP)</w:t>
            </w:r>
            <w:r>
              <w:rPr>
                <w:rStyle w:val="FootnoteReference"/>
                <w:noProof/>
              </w:rPr>
              <w:footnoteReference w:id="7"/>
            </w:r>
          </w:p>
        </w:tc>
        <w:tc>
          <w:tcPr>
            <w:tcW w:w="491" w:type="pct"/>
            <w:shd w:val="clear" w:color="auto" w:fill="auto"/>
            <w:vAlign w:val="center"/>
          </w:tcPr>
          <w:p>
            <w:pPr>
              <w:spacing w:beforeLines="20" w:before="48" w:afterLines="20" w:after="48"/>
              <w:jc w:val="center"/>
              <w:rPr>
                <w:rFonts w:eastAsia="Times New Roman"/>
                <w:noProof/>
                <w:sz w:val="20"/>
              </w:rPr>
            </w:pPr>
          </w:p>
        </w:tc>
        <w:tc>
          <w:tcPr>
            <w:tcW w:w="491" w:type="pct"/>
            <w:shd w:val="clear" w:color="auto" w:fill="auto"/>
            <w:vAlign w:val="center"/>
          </w:tcPr>
          <w:p>
            <w:pPr>
              <w:spacing w:beforeLines="20" w:before="48" w:afterLines="20" w:after="48"/>
              <w:jc w:val="center"/>
              <w:rPr>
                <w:rFonts w:eastAsia="Times New Roman"/>
                <w:noProof/>
                <w:sz w:val="20"/>
              </w:rPr>
            </w:pPr>
          </w:p>
        </w:tc>
        <w:tc>
          <w:tcPr>
            <w:tcW w:w="52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489" w:type="pct"/>
            <w:gridSpan w:val="2"/>
            <w:shd w:val="clear" w:color="auto" w:fill="auto"/>
            <w:vAlign w:val="center"/>
          </w:tcPr>
          <w:p>
            <w:pPr>
              <w:spacing w:beforeLines="20" w:before="48" w:afterLines="20" w:after="48"/>
              <w:ind w:left="986"/>
              <w:jc w:val="left"/>
              <w:rPr>
                <w:rFonts w:eastAsia="Times New Roman"/>
                <w:b/>
                <w:noProof/>
                <w:sz w:val="20"/>
              </w:rPr>
            </w:pPr>
            <w:r>
              <w:rPr>
                <w:noProof/>
                <w:sz w:val="20"/>
              </w:rPr>
              <w:t>XX 01 02 01 (AC, END, INT de l'enveloppe globale)</w:t>
            </w:r>
          </w:p>
        </w:tc>
        <w:tc>
          <w:tcPr>
            <w:tcW w:w="491" w:type="pct"/>
            <w:shd w:val="clear" w:color="auto" w:fill="auto"/>
            <w:vAlign w:val="center"/>
          </w:tcPr>
          <w:p>
            <w:pPr>
              <w:spacing w:beforeLines="20" w:before="48" w:afterLines="20" w:after="48"/>
              <w:jc w:val="center"/>
              <w:rPr>
                <w:rFonts w:eastAsia="Times New Roman"/>
                <w:noProof/>
                <w:sz w:val="20"/>
              </w:rPr>
            </w:pPr>
          </w:p>
        </w:tc>
        <w:tc>
          <w:tcPr>
            <w:tcW w:w="491" w:type="pct"/>
            <w:shd w:val="clear" w:color="auto" w:fill="auto"/>
            <w:vAlign w:val="center"/>
          </w:tcPr>
          <w:p>
            <w:pPr>
              <w:spacing w:beforeLines="20" w:before="48" w:afterLines="20" w:after="48"/>
              <w:jc w:val="center"/>
              <w:rPr>
                <w:rFonts w:eastAsia="Times New Roman"/>
                <w:noProof/>
                <w:sz w:val="20"/>
              </w:rPr>
            </w:pPr>
          </w:p>
        </w:tc>
        <w:tc>
          <w:tcPr>
            <w:tcW w:w="52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489" w:type="pct"/>
            <w:gridSpan w:val="2"/>
            <w:shd w:val="clear" w:color="auto" w:fill="auto"/>
            <w:vAlign w:val="center"/>
          </w:tcPr>
          <w:p>
            <w:pPr>
              <w:spacing w:beforeLines="20" w:before="48" w:afterLines="20" w:after="48"/>
              <w:ind w:left="986"/>
              <w:jc w:val="left"/>
              <w:rPr>
                <w:rFonts w:eastAsia="Times New Roman"/>
                <w:noProof/>
                <w:sz w:val="20"/>
              </w:rPr>
            </w:pPr>
            <w:r>
              <w:rPr>
                <w:noProof/>
                <w:sz w:val="20"/>
              </w:rPr>
              <w:t>XX 01 02 02 (AC, AL, END, INT et JED dans les délégations)</w:t>
            </w:r>
          </w:p>
        </w:tc>
        <w:tc>
          <w:tcPr>
            <w:tcW w:w="491" w:type="pct"/>
            <w:shd w:val="clear" w:color="auto" w:fill="auto"/>
            <w:vAlign w:val="center"/>
          </w:tcPr>
          <w:p>
            <w:pPr>
              <w:spacing w:beforeLines="20" w:before="48" w:afterLines="20" w:after="48"/>
              <w:jc w:val="center"/>
              <w:rPr>
                <w:rFonts w:eastAsia="Times New Roman"/>
                <w:noProof/>
                <w:sz w:val="20"/>
              </w:rPr>
            </w:pPr>
          </w:p>
        </w:tc>
        <w:tc>
          <w:tcPr>
            <w:tcW w:w="491" w:type="pct"/>
            <w:shd w:val="clear" w:color="auto" w:fill="auto"/>
            <w:vAlign w:val="center"/>
          </w:tcPr>
          <w:p>
            <w:pPr>
              <w:spacing w:beforeLines="20" w:before="48" w:afterLines="20" w:after="48"/>
              <w:jc w:val="center"/>
              <w:rPr>
                <w:rFonts w:eastAsia="Times New Roman"/>
                <w:noProof/>
                <w:sz w:val="20"/>
              </w:rPr>
            </w:pPr>
          </w:p>
        </w:tc>
        <w:tc>
          <w:tcPr>
            <w:tcW w:w="52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2154" w:type="pct"/>
            <w:vMerge w:val="restart"/>
            <w:shd w:val="clear" w:color="auto" w:fill="auto"/>
            <w:vAlign w:val="center"/>
          </w:tcPr>
          <w:p>
            <w:pPr>
              <w:spacing w:beforeLines="20" w:before="48" w:afterLines="20" w:after="48"/>
              <w:ind w:left="986"/>
              <w:jc w:val="left"/>
              <w:rPr>
                <w:rFonts w:eastAsia="Times New Roman"/>
                <w:b/>
                <w:noProof/>
                <w:sz w:val="20"/>
              </w:rPr>
            </w:pPr>
            <w:r>
              <w:rPr>
                <w:b/>
                <w:noProof/>
              </w:rPr>
              <w:t>XX</w:t>
            </w:r>
            <w:r>
              <w:rPr>
                <w:noProof/>
              </w:rPr>
              <w:t xml:space="preserve"> 01 04 </w:t>
            </w:r>
            <w:r>
              <w:rPr>
                <w:b/>
                <w:i/>
                <w:noProof/>
                <w:sz w:val="20"/>
              </w:rPr>
              <w:t>yy</w:t>
            </w:r>
            <w:r>
              <w:rPr>
                <w:rStyle w:val="FootnoteReference"/>
                <w:noProof/>
              </w:rPr>
              <w:footnoteReference w:id="8"/>
            </w:r>
          </w:p>
        </w:tc>
        <w:tc>
          <w:tcPr>
            <w:tcW w:w="1336" w:type="pct"/>
            <w:shd w:val="clear" w:color="auto" w:fill="auto"/>
            <w:vAlign w:val="center"/>
          </w:tcPr>
          <w:p>
            <w:pPr>
              <w:spacing w:beforeLines="20" w:before="48" w:afterLines="20" w:after="48"/>
              <w:ind w:left="598"/>
              <w:jc w:val="left"/>
              <w:rPr>
                <w:rFonts w:eastAsia="Times New Roman"/>
                <w:b/>
                <w:noProof/>
                <w:sz w:val="20"/>
              </w:rPr>
            </w:pPr>
            <w:r>
              <w:rPr>
                <w:noProof/>
                <w:sz w:val="20"/>
              </w:rPr>
              <w:t>- au siège</w:t>
            </w:r>
            <w:r>
              <w:rPr>
                <w:rStyle w:val="FootnoteReference"/>
                <w:noProof/>
              </w:rPr>
              <w:footnoteReference w:id="9"/>
            </w:r>
            <w:r>
              <w:rPr>
                <w:rFonts w:eastAsia="Times New Roman"/>
                <w:noProof/>
                <w:sz w:val="20"/>
              </w:rPr>
              <w:br/>
            </w:r>
          </w:p>
        </w:tc>
        <w:tc>
          <w:tcPr>
            <w:tcW w:w="491" w:type="pct"/>
            <w:shd w:val="clear" w:color="auto" w:fill="auto"/>
            <w:vAlign w:val="center"/>
          </w:tcPr>
          <w:p>
            <w:pPr>
              <w:spacing w:beforeLines="20" w:before="48" w:afterLines="20" w:after="48"/>
              <w:ind w:left="850"/>
              <w:rPr>
                <w:rFonts w:eastAsia="Times New Roman"/>
                <w:noProof/>
                <w:sz w:val="20"/>
              </w:rPr>
            </w:pPr>
          </w:p>
        </w:tc>
        <w:tc>
          <w:tcPr>
            <w:tcW w:w="491" w:type="pct"/>
            <w:shd w:val="clear" w:color="auto" w:fill="auto"/>
            <w:vAlign w:val="center"/>
          </w:tcPr>
          <w:p>
            <w:pPr>
              <w:spacing w:beforeLines="20" w:before="48" w:afterLines="20" w:after="48"/>
              <w:jc w:val="center"/>
              <w:rPr>
                <w:rFonts w:eastAsia="Times New Roman"/>
                <w:noProof/>
                <w:sz w:val="20"/>
              </w:rPr>
            </w:pPr>
          </w:p>
        </w:tc>
        <w:tc>
          <w:tcPr>
            <w:tcW w:w="52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2154" w:type="pct"/>
            <w:vMerge/>
            <w:shd w:val="clear" w:color="auto" w:fill="auto"/>
            <w:vAlign w:val="center"/>
          </w:tcPr>
          <w:p>
            <w:pPr>
              <w:rPr>
                <w:rFonts w:eastAsia="Times New Roman"/>
                <w:b/>
                <w:noProof/>
                <w:sz w:val="20"/>
              </w:rPr>
            </w:pPr>
          </w:p>
        </w:tc>
        <w:tc>
          <w:tcPr>
            <w:tcW w:w="1336" w:type="pct"/>
            <w:shd w:val="clear" w:color="auto" w:fill="auto"/>
            <w:vAlign w:val="center"/>
          </w:tcPr>
          <w:p>
            <w:pPr>
              <w:spacing w:beforeLines="20" w:before="48" w:afterLines="20" w:after="48"/>
              <w:ind w:left="598"/>
              <w:jc w:val="left"/>
              <w:rPr>
                <w:rFonts w:eastAsia="Times New Roman"/>
                <w:b/>
                <w:noProof/>
                <w:sz w:val="20"/>
              </w:rPr>
            </w:pPr>
            <w:r>
              <w:rPr>
                <w:noProof/>
                <w:sz w:val="20"/>
              </w:rPr>
              <w:t xml:space="preserve">- dans les délégations </w:t>
            </w:r>
          </w:p>
        </w:tc>
        <w:tc>
          <w:tcPr>
            <w:tcW w:w="491" w:type="pct"/>
            <w:shd w:val="clear" w:color="auto" w:fill="auto"/>
            <w:vAlign w:val="center"/>
          </w:tcPr>
          <w:p>
            <w:pPr>
              <w:spacing w:beforeLines="20" w:before="48" w:afterLines="20" w:after="48"/>
              <w:ind w:left="850"/>
              <w:rPr>
                <w:rFonts w:eastAsia="Times New Roman"/>
                <w:noProof/>
                <w:sz w:val="20"/>
              </w:rPr>
            </w:pPr>
          </w:p>
        </w:tc>
        <w:tc>
          <w:tcPr>
            <w:tcW w:w="491" w:type="pct"/>
            <w:shd w:val="clear" w:color="auto" w:fill="auto"/>
            <w:vAlign w:val="center"/>
          </w:tcPr>
          <w:p>
            <w:pPr>
              <w:spacing w:beforeLines="20" w:before="48" w:afterLines="20" w:after="48"/>
              <w:jc w:val="center"/>
              <w:rPr>
                <w:rFonts w:eastAsia="Times New Roman"/>
                <w:noProof/>
                <w:sz w:val="20"/>
              </w:rPr>
            </w:pPr>
          </w:p>
        </w:tc>
        <w:tc>
          <w:tcPr>
            <w:tcW w:w="52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489" w:type="pct"/>
            <w:gridSpan w:val="2"/>
            <w:shd w:val="clear" w:color="auto" w:fill="auto"/>
            <w:vAlign w:val="center"/>
          </w:tcPr>
          <w:p>
            <w:pPr>
              <w:spacing w:beforeLines="20" w:before="48" w:afterLines="20" w:after="48"/>
              <w:ind w:left="986"/>
              <w:jc w:val="left"/>
              <w:rPr>
                <w:rFonts w:eastAsia="Times New Roman"/>
                <w:noProof/>
                <w:sz w:val="20"/>
              </w:rPr>
            </w:pPr>
            <w:r>
              <w:rPr>
                <w:b/>
                <w:noProof/>
              </w:rPr>
              <w:t>XX</w:t>
            </w:r>
            <w:r>
              <w:rPr>
                <w:noProof/>
              </w:rPr>
              <w:t xml:space="preserve"> 01 05 02 (AC, END, INT sur recherche indirecte)</w:t>
            </w:r>
          </w:p>
        </w:tc>
        <w:tc>
          <w:tcPr>
            <w:tcW w:w="491" w:type="pct"/>
            <w:shd w:val="clear" w:color="auto" w:fill="auto"/>
            <w:vAlign w:val="center"/>
          </w:tcPr>
          <w:p>
            <w:pPr>
              <w:spacing w:beforeLines="20" w:before="48" w:afterLines="20" w:after="48"/>
              <w:jc w:val="center"/>
              <w:rPr>
                <w:rFonts w:eastAsia="Times New Roman"/>
                <w:noProof/>
                <w:sz w:val="20"/>
              </w:rPr>
            </w:pPr>
          </w:p>
        </w:tc>
        <w:tc>
          <w:tcPr>
            <w:tcW w:w="491" w:type="pct"/>
            <w:shd w:val="clear" w:color="auto" w:fill="auto"/>
            <w:vAlign w:val="center"/>
          </w:tcPr>
          <w:p>
            <w:pPr>
              <w:spacing w:beforeLines="20" w:before="48" w:afterLines="20" w:after="48"/>
              <w:jc w:val="center"/>
              <w:rPr>
                <w:rFonts w:eastAsia="Times New Roman"/>
                <w:noProof/>
                <w:sz w:val="20"/>
              </w:rPr>
            </w:pPr>
          </w:p>
        </w:tc>
        <w:tc>
          <w:tcPr>
            <w:tcW w:w="52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489" w:type="pct"/>
            <w:gridSpan w:val="2"/>
            <w:shd w:val="clear" w:color="auto" w:fill="auto"/>
            <w:vAlign w:val="center"/>
          </w:tcPr>
          <w:p>
            <w:pPr>
              <w:spacing w:beforeLines="20" w:before="48" w:afterLines="20" w:after="48"/>
              <w:ind w:left="986"/>
              <w:jc w:val="left"/>
              <w:rPr>
                <w:rFonts w:eastAsia="Times New Roman"/>
                <w:noProof/>
                <w:sz w:val="20"/>
              </w:rPr>
            </w:pPr>
            <w:r>
              <w:rPr>
                <w:noProof/>
                <w:sz w:val="20"/>
              </w:rPr>
              <w:t>10 01 05 02 (AC, END, INT sur recherche directe)</w:t>
            </w:r>
          </w:p>
        </w:tc>
        <w:tc>
          <w:tcPr>
            <w:tcW w:w="491" w:type="pct"/>
            <w:shd w:val="clear" w:color="auto" w:fill="auto"/>
            <w:vAlign w:val="center"/>
          </w:tcPr>
          <w:p>
            <w:pPr>
              <w:spacing w:beforeLines="20" w:before="48" w:afterLines="20" w:after="48"/>
              <w:jc w:val="center"/>
              <w:rPr>
                <w:rFonts w:eastAsia="Times New Roman"/>
                <w:noProof/>
                <w:sz w:val="20"/>
              </w:rPr>
            </w:pPr>
          </w:p>
        </w:tc>
        <w:tc>
          <w:tcPr>
            <w:tcW w:w="491" w:type="pct"/>
            <w:shd w:val="clear" w:color="auto" w:fill="auto"/>
            <w:vAlign w:val="center"/>
          </w:tcPr>
          <w:p>
            <w:pPr>
              <w:spacing w:beforeLines="20" w:before="48" w:afterLines="20" w:after="48"/>
              <w:jc w:val="center"/>
              <w:rPr>
                <w:rFonts w:eastAsia="Times New Roman"/>
                <w:noProof/>
                <w:sz w:val="20"/>
              </w:rPr>
            </w:pPr>
          </w:p>
        </w:tc>
        <w:tc>
          <w:tcPr>
            <w:tcW w:w="52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489" w:type="pct"/>
            <w:gridSpan w:val="2"/>
            <w:tcBorders>
              <w:bottom w:val="double" w:sz="4" w:space="0" w:color="auto"/>
            </w:tcBorders>
            <w:shd w:val="clear" w:color="auto" w:fill="auto"/>
            <w:vAlign w:val="center"/>
          </w:tcPr>
          <w:p>
            <w:pPr>
              <w:spacing w:beforeLines="20" w:before="48" w:afterLines="20" w:after="48"/>
              <w:ind w:left="984"/>
              <w:jc w:val="left"/>
              <w:rPr>
                <w:rFonts w:eastAsia="Times New Roman"/>
                <w:noProof/>
                <w:sz w:val="20"/>
              </w:rPr>
            </w:pPr>
            <w:r>
              <w:rPr>
                <w:noProof/>
                <w:sz w:val="20"/>
              </w:rPr>
              <w:t>Autres lignes budgétaires (à préciser)</w:t>
            </w:r>
          </w:p>
        </w:tc>
        <w:tc>
          <w:tcPr>
            <w:tcW w:w="491" w:type="pct"/>
            <w:tcBorders>
              <w:bottom w:val="double" w:sz="4" w:space="0" w:color="auto"/>
            </w:tcBorders>
            <w:shd w:val="clear" w:color="auto" w:fill="auto"/>
            <w:vAlign w:val="center"/>
          </w:tcPr>
          <w:p>
            <w:pPr>
              <w:spacing w:beforeLines="20" w:before="48" w:afterLines="20" w:after="48"/>
              <w:jc w:val="center"/>
              <w:rPr>
                <w:rFonts w:eastAsia="Times New Roman"/>
                <w:noProof/>
                <w:sz w:val="20"/>
              </w:rPr>
            </w:pPr>
          </w:p>
        </w:tc>
        <w:tc>
          <w:tcPr>
            <w:tcW w:w="491" w:type="pct"/>
            <w:tcBorders>
              <w:bottom w:val="double" w:sz="4" w:space="0" w:color="auto"/>
            </w:tcBorders>
            <w:shd w:val="clear" w:color="auto" w:fill="auto"/>
            <w:vAlign w:val="center"/>
          </w:tcPr>
          <w:p>
            <w:pPr>
              <w:spacing w:beforeLines="20" w:before="48" w:afterLines="20" w:after="48"/>
              <w:jc w:val="center"/>
              <w:rPr>
                <w:rFonts w:eastAsia="Times New Roman"/>
                <w:noProof/>
                <w:sz w:val="20"/>
              </w:rPr>
            </w:pPr>
          </w:p>
        </w:tc>
        <w:tc>
          <w:tcPr>
            <w:tcW w:w="528" w:type="pct"/>
            <w:tcBorders>
              <w:bottom w:val="double" w:sz="4" w:space="0" w:color="auto"/>
            </w:tcBorders>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489" w:type="pct"/>
            <w:gridSpan w:val="2"/>
            <w:tcBorders>
              <w:top w:val="double" w:sz="4" w:space="0" w:color="auto"/>
            </w:tcBorders>
            <w:shd w:val="clear" w:color="auto" w:fill="auto"/>
            <w:vAlign w:val="center"/>
          </w:tcPr>
          <w:p>
            <w:pPr>
              <w:spacing w:beforeLines="20" w:before="48" w:afterLines="20" w:after="48"/>
              <w:ind w:left="986"/>
              <w:jc w:val="left"/>
              <w:rPr>
                <w:rFonts w:eastAsia="Times New Roman"/>
                <w:noProof/>
                <w:sz w:val="20"/>
              </w:rPr>
            </w:pPr>
            <w:r>
              <w:rPr>
                <w:b/>
                <w:noProof/>
                <w:sz w:val="20"/>
              </w:rPr>
              <w:t>TOTAL</w:t>
            </w:r>
          </w:p>
        </w:tc>
        <w:tc>
          <w:tcPr>
            <w:tcW w:w="491" w:type="pct"/>
            <w:tcBorders>
              <w:top w:val="double" w:sz="4" w:space="0" w:color="auto"/>
            </w:tcBorders>
            <w:shd w:val="clear" w:color="auto" w:fill="auto"/>
            <w:vAlign w:val="center"/>
          </w:tcPr>
          <w:p>
            <w:pPr>
              <w:spacing w:beforeLines="20" w:before="48" w:afterLines="20" w:after="48"/>
              <w:jc w:val="center"/>
              <w:rPr>
                <w:rFonts w:eastAsia="Times New Roman"/>
                <w:b/>
                <w:noProof/>
                <w:sz w:val="20"/>
              </w:rPr>
            </w:pPr>
            <w:r>
              <w:rPr>
                <w:noProof/>
                <w:sz w:val="20"/>
              </w:rPr>
              <w:t>0,5</w:t>
            </w:r>
          </w:p>
        </w:tc>
        <w:tc>
          <w:tcPr>
            <w:tcW w:w="491" w:type="pct"/>
            <w:tcBorders>
              <w:top w:val="double" w:sz="4" w:space="0" w:color="auto"/>
            </w:tcBorders>
            <w:shd w:val="clear" w:color="auto" w:fill="auto"/>
            <w:vAlign w:val="center"/>
          </w:tcPr>
          <w:p>
            <w:pPr>
              <w:spacing w:beforeLines="20" w:before="48" w:afterLines="20" w:after="48"/>
              <w:jc w:val="center"/>
              <w:rPr>
                <w:rFonts w:eastAsia="Times New Roman"/>
                <w:b/>
                <w:noProof/>
                <w:sz w:val="20"/>
              </w:rPr>
            </w:pPr>
            <w:r>
              <w:rPr>
                <w:noProof/>
                <w:sz w:val="20"/>
              </w:rPr>
              <w:t>0,5</w:t>
            </w:r>
          </w:p>
        </w:tc>
        <w:tc>
          <w:tcPr>
            <w:tcW w:w="528" w:type="pct"/>
            <w:tcBorders>
              <w:top w:val="double" w:sz="4" w:space="0" w:color="auto"/>
            </w:tcBorders>
            <w:shd w:val="clear" w:color="auto" w:fill="auto"/>
            <w:vAlign w:val="center"/>
          </w:tcPr>
          <w:p>
            <w:pPr>
              <w:spacing w:beforeLines="20" w:before="48" w:afterLines="20" w:after="48"/>
              <w:jc w:val="center"/>
              <w:rPr>
                <w:rFonts w:eastAsia="Times New Roman"/>
                <w:b/>
                <w:noProof/>
                <w:sz w:val="20"/>
              </w:rPr>
            </w:pPr>
            <w:r>
              <w:rPr>
                <w:noProof/>
                <w:sz w:val="20"/>
              </w:rPr>
              <w:t>0,5</w:t>
            </w:r>
          </w:p>
        </w:tc>
      </w:tr>
    </w:tbl>
    <w:p>
      <w:pPr>
        <w:spacing w:before="60" w:after="60"/>
        <w:ind w:left="567"/>
        <w:rPr>
          <w:rFonts w:eastAsia="Times New Roman"/>
          <w:noProof/>
        </w:rPr>
      </w:pPr>
      <w:r>
        <w:rPr>
          <w:b/>
          <w:noProof/>
        </w:rPr>
        <w:t>XX</w:t>
      </w:r>
      <w:r>
        <w:rPr>
          <w:noProof/>
        </w:rPr>
        <w:t xml:space="preserve"> est le domaine politique ou le titre concerné.</w:t>
      </w:r>
    </w:p>
    <w:p>
      <w:pPr>
        <w:ind w:left="567"/>
        <w:rPr>
          <w:rFonts w:eastAsia="Times New Roman"/>
          <w:noProof/>
          <w:sz w:val="22"/>
        </w:rPr>
      </w:pPr>
      <w:r>
        <w:rPr>
          <w:noProof/>
          <w:sz w:val="22"/>
        </w:rPr>
        <w:t xml:space="preserve">Les besoins en ressources humaines seront couverts par </w:t>
      </w:r>
      <w:r>
        <w:rPr>
          <w:b/>
          <w:noProof/>
          <w:sz w:val="22"/>
        </w:rPr>
        <w:t>les effectifs des DG déjà affectés à la gestion de l'action et/ou redéployés en interne au sein des DG</w:t>
      </w:r>
      <w:r>
        <w:rPr>
          <w:noProof/>
          <w:sz w:val="22"/>
        </w:rPr>
        <w:t>, complétés le cas échéant par toute dotation additionnelle qui pourrait être allouée aux DG gestionnaires dans le cadre de la procédure d'allocation annuelle et compte tenu des contraintes budgétaires existantes.</w:t>
      </w:r>
    </w:p>
    <w:p>
      <w:pPr>
        <w:rPr>
          <w:rFonts w:eastAsia="Times New Roman"/>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rFonts w:eastAsia="Times New Roman"/>
                <w:noProof/>
                <w:sz w:val="20"/>
              </w:rPr>
            </w:pPr>
            <w:r>
              <w:rPr>
                <w:noProof/>
                <w:sz w:val="20"/>
              </w:rPr>
              <w:t>Fonctionnaires et agents temporaires</w:t>
            </w:r>
          </w:p>
        </w:tc>
        <w:tc>
          <w:tcPr>
            <w:tcW w:w="7200" w:type="dxa"/>
          </w:tcPr>
          <w:p>
            <w:pPr>
              <w:rPr>
                <w:rFonts w:eastAsia="Times New Roman"/>
                <w:noProof/>
                <w:sz w:val="20"/>
              </w:rPr>
            </w:pPr>
            <w:r>
              <w:rPr>
                <w:noProof/>
                <w:sz w:val="20"/>
              </w:rPr>
              <w:t>Tâches administratives, financières et juridiques relatives à la participation de la République de Serbie en tant qu’observateur aux travaux de l’Agence</w:t>
            </w:r>
          </w:p>
        </w:tc>
      </w:tr>
      <w:tr>
        <w:tc>
          <w:tcPr>
            <w:tcW w:w="3240" w:type="dxa"/>
          </w:tcPr>
          <w:p>
            <w:pPr>
              <w:spacing w:before="60" w:after="60"/>
              <w:rPr>
                <w:rFonts w:eastAsia="Times New Roman"/>
                <w:noProof/>
                <w:sz w:val="20"/>
              </w:rPr>
            </w:pPr>
            <w:r>
              <w:rPr>
                <w:noProof/>
                <w:sz w:val="20"/>
              </w:rPr>
              <w:t>Personnel externe</w:t>
            </w:r>
          </w:p>
        </w:tc>
        <w:tc>
          <w:tcPr>
            <w:tcW w:w="7200" w:type="dxa"/>
          </w:tcPr>
          <w:p>
            <w:pPr>
              <w:rPr>
                <w:rFonts w:eastAsia="Times New Roman"/>
                <w:noProof/>
                <w:sz w:val="20"/>
              </w:rPr>
            </w:pPr>
            <w:r>
              <w:rPr>
                <w:noProof/>
                <w:sz w:val="20"/>
              </w:rPr>
              <w:t>Sans objet</w:t>
            </w:r>
          </w:p>
        </w:tc>
      </w:tr>
    </w:tbl>
    <w:p>
      <w:pPr>
        <w:rPr>
          <w:rFonts w:eastAsia="Times New Roman"/>
          <w:noProof/>
        </w:rPr>
        <w:sectPr>
          <w:pgSz w:w="11907" w:h="16839"/>
          <w:pgMar w:top="1134" w:right="1417" w:bottom="1134" w:left="1417" w:header="709" w:footer="709" w:gutter="0"/>
          <w:cols w:space="720"/>
          <w:docGrid w:linePitch="326"/>
        </w:sectPr>
      </w:pPr>
    </w:p>
    <w:p>
      <w:pPr>
        <w:pStyle w:val="Heading3"/>
        <w:rPr>
          <w:rFonts w:eastAsia="Times New Roman"/>
          <w:noProof/>
          <w:szCs w:val="24"/>
        </w:rPr>
      </w:pPr>
      <w:r>
        <w:rPr>
          <w:noProof/>
        </w:rPr>
        <w:t xml:space="preserve">Compatibilité avec le cadre financier pluriannuel actuel </w:t>
      </w:r>
    </w:p>
    <w:p>
      <w:pPr>
        <w:tabs>
          <w:tab w:val="num" w:pos="1134"/>
        </w:tabs>
        <w:ind w:left="1134" w:hanging="283"/>
        <w:rPr>
          <w:rFonts w:eastAsia="Times New Roman"/>
          <w:noProof/>
        </w:rPr>
      </w:pPr>
      <w:r>
        <w:rPr>
          <w:noProof/>
        </w:rPr>
        <w:t>La proposition/l'initiative est compatible avec le cadre financier pluriannuel actuel.</w:t>
      </w:r>
    </w:p>
    <w:p>
      <w:pPr>
        <w:pStyle w:val="Heading3"/>
        <w:rPr>
          <w:rFonts w:eastAsia="Times New Roman"/>
          <w:noProof/>
          <w:szCs w:val="24"/>
        </w:rPr>
      </w:pPr>
      <w:r>
        <w:rPr>
          <w:noProof/>
        </w:rPr>
        <w:t xml:space="preserve">Participation de tiers au financement </w:t>
      </w:r>
    </w:p>
    <w:p>
      <w:pPr>
        <w:tabs>
          <w:tab w:val="num" w:pos="1134"/>
        </w:tabs>
        <w:ind w:left="1134" w:hanging="283"/>
        <w:rPr>
          <w:rFonts w:eastAsia="Times New Roman"/>
          <w:noProof/>
        </w:rPr>
      </w:pPr>
      <w:r>
        <w:rPr>
          <w:noProof/>
        </w:rPr>
        <w:t>La proposition/l'initiative prévoit un cofinancement estimé ci-après:</w:t>
      </w:r>
    </w:p>
    <w:p>
      <w:pPr>
        <w:jc w:val="right"/>
        <w:rPr>
          <w:rFonts w:eastAsia="Times New Roman"/>
          <w:noProof/>
          <w:sz w:val="20"/>
        </w:rPr>
      </w:pPr>
      <w:r>
        <w:rPr>
          <w:noProof/>
          <w:sz w:val="20"/>
        </w:rPr>
        <w:t>En millions d'euros (à la 3</w:t>
      </w:r>
      <w:r>
        <w:rPr>
          <w:noProof/>
          <w:sz w:val="20"/>
          <w:vertAlign w:val="superscript"/>
        </w:rPr>
        <w:t>e</w:t>
      </w:r>
      <w:r>
        <w:rPr>
          <w:noProof/>
          <w:sz w:val="20"/>
        </w:rPr>
        <w:t> décimale)</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1158"/>
      </w:tblGrid>
      <w:tr>
        <w:trPr>
          <w:cantSplit/>
        </w:trPr>
        <w:tc>
          <w:tcPr>
            <w:tcW w:w="2340" w:type="dxa"/>
          </w:tcPr>
          <w:p>
            <w:pPr>
              <w:spacing w:before="60" w:after="60"/>
              <w:rPr>
                <w:rFonts w:eastAsia="Times New Roman"/>
                <w:noProof/>
                <w:sz w:val="20"/>
              </w:rPr>
            </w:pPr>
          </w:p>
        </w:tc>
        <w:tc>
          <w:tcPr>
            <w:tcW w:w="964" w:type="dxa"/>
            <w:vAlign w:val="center"/>
          </w:tcPr>
          <w:p>
            <w:pPr>
              <w:jc w:val="center"/>
              <w:rPr>
                <w:rFonts w:eastAsia="Times New Roman"/>
                <w:noProof/>
                <w:sz w:val="20"/>
              </w:rPr>
            </w:pPr>
            <w:r>
              <w:rPr>
                <w:noProof/>
              </w:rPr>
              <w:t xml:space="preserve">Année </w:t>
            </w:r>
            <w:r>
              <w:rPr>
                <w:b/>
                <w:noProof/>
                <w:sz w:val="20"/>
              </w:rPr>
              <w:t>1</w:t>
            </w:r>
          </w:p>
        </w:tc>
        <w:tc>
          <w:tcPr>
            <w:tcW w:w="964" w:type="dxa"/>
            <w:vAlign w:val="center"/>
          </w:tcPr>
          <w:p>
            <w:pPr>
              <w:jc w:val="center"/>
              <w:rPr>
                <w:rFonts w:eastAsia="Times New Roman"/>
                <w:noProof/>
                <w:sz w:val="20"/>
              </w:rPr>
            </w:pPr>
            <w:r>
              <w:rPr>
                <w:noProof/>
              </w:rPr>
              <w:t xml:space="preserve">Année </w:t>
            </w:r>
            <w:r>
              <w:rPr>
                <w:b/>
                <w:noProof/>
                <w:sz w:val="20"/>
              </w:rPr>
              <w:t>2</w:t>
            </w:r>
          </w:p>
        </w:tc>
        <w:tc>
          <w:tcPr>
            <w:tcW w:w="964" w:type="dxa"/>
            <w:vAlign w:val="center"/>
          </w:tcPr>
          <w:p>
            <w:pPr>
              <w:jc w:val="center"/>
              <w:rPr>
                <w:rFonts w:eastAsia="Times New Roman"/>
                <w:noProof/>
                <w:sz w:val="20"/>
              </w:rPr>
            </w:pPr>
            <w:r>
              <w:rPr>
                <w:noProof/>
              </w:rPr>
              <w:t xml:space="preserve">Année </w:t>
            </w:r>
            <w:r>
              <w:rPr>
                <w:b/>
                <w:noProof/>
                <w:sz w:val="20"/>
              </w:rPr>
              <w:t>3</w:t>
            </w:r>
          </w:p>
        </w:tc>
        <w:tc>
          <w:tcPr>
            <w:tcW w:w="1158" w:type="dxa"/>
            <w:vAlign w:val="center"/>
          </w:tcPr>
          <w:p>
            <w:pPr>
              <w:spacing w:before="60" w:after="60"/>
              <w:jc w:val="center"/>
              <w:rPr>
                <w:rFonts w:eastAsia="Times New Roman"/>
                <w:noProof/>
                <w:sz w:val="20"/>
              </w:rPr>
            </w:pPr>
            <w:r>
              <w:rPr>
                <w:noProof/>
                <w:sz w:val="20"/>
              </w:rPr>
              <w:t>Total</w:t>
            </w:r>
          </w:p>
        </w:tc>
      </w:tr>
      <w:tr>
        <w:trPr>
          <w:cantSplit/>
        </w:trPr>
        <w:tc>
          <w:tcPr>
            <w:tcW w:w="2340" w:type="dxa"/>
          </w:tcPr>
          <w:p>
            <w:pPr>
              <w:rPr>
                <w:rFonts w:eastAsia="Times New Roman"/>
                <w:noProof/>
              </w:rPr>
            </w:pPr>
            <w:r>
              <w:rPr>
                <w:noProof/>
                <w:sz w:val="20"/>
              </w:rPr>
              <w:t xml:space="preserve">République de Serbie </w:t>
            </w:r>
            <w:r>
              <w:rPr>
                <w:i/>
                <w:noProof/>
                <w:sz w:val="20"/>
              </w:rPr>
              <w:t xml:space="preserve"> </w:t>
            </w:r>
          </w:p>
        </w:tc>
        <w:tc>
          <w:tcPr>
            <w:tcW w:w="964" w:type="dxa"/>
            <w:vAlign w:val="center"/>
          </w:tcPr>
          <w:p>
            <w:pPr>
              <w:spacing w:before="60" w:after="60"/>
              <w:jc w:val="center"/>
              <w:rPr>
                <w:rFonts w:eastAsia="Times New Roman"/>
                <w:noProof/>
                <w:sz w:val="20"/>
              </w:rPr>
            </w:pPr>
            <w:r>
              <w:rPr>
                <w:noProof/>
                <w:sz w:val="20"/>
              </w:rPr>
              <w:t>0,180</w:t>
            </w:r>
          </w:p>
        </w:tc>
        <w:tc>
          <w:tcPr>
            <w:tcW w:w="964" w:type="dxa"/>
            <w:vAlign w:val="center"/>
          </w:tcPr>
          <w:p>
            <w:pPr>
              <w:spacing w:before="60" w:after="60"/>
              <w:jc w:val="center"/>
              <w:rPr>
                <w:rFonts w:eastAsia="Times New Roman"/>
                <w:noProof/>
                <w:sz w:val="20"/>
              </w:rPr>
            </w:pPr>
            <w:r>
              <w:rPr>
                <w:noProof/>
                <w:sz w:val="20"/>
              </w:rPr>
              <w:t>0,183</w:t>
            </w:r>
          </w:p>
        </w:tc>
        <w:tc>
          <w:tcPr>
            <w:tcW w:w="964" w:type="dxa"/>
            <w:vAlign w:val="center"/>
          </w:tcPr>
          <w:p>
            <w:pPr>
              <w:spacing w:before="60" w:after="60"/>
              <w:jc w:val="center"/>
              <w:rPr>
                <w:rFonts w:eastAsia="Times New Roman"/>
                <w:noProof/>
                <w:sz w:val="20"/>
              </w:rPr>
            </w:pPr>
            <w:r>
              <w:rPr>
                <w:noProof/>
                <w:sz w:val="20"/>
              </w:rPr>
              <w:t>0,186</w:t>
            </w:r>
          </w:p>
        </w:tc>
        <w:tc>
          <w:tcPr>
            <w:tcW w:w="1158" w:type="dxa"/>
            <w:vAlign w:val="center"/>
          </w:tcPr>
          <w:p>
            <w:pPr>
              <w:spacing w:before="60" w:after="60"/>
              <w:jc w:val="center"/>
              <w:rPr>
                <w:rFonts w:eastAsia="Times New Roman"/>
                <w:noProof/>
                <w:sz w:val="20"/>
              </w:rPr>
            </w:pPr>
            <w:r>
              <w:rPr>
                <w:noProof/>
                <w:sz w:val="20"/>
              </w:rPr>
              <w:t>0,549</w:t>
            </w:r>
          </w:p>
        </w:tc>
      </w:tr>
      <w:tr>
        <w:trPr>
          <w:cantSplit/>
        </w:trPr>
        <w:tc>
          <w:tcPr>
            <w:tcW w:w="2340" w:type="dxa"/>
          </w:tcPr>
          <w:p>
            <w:pPr>
              <w:spacing w:before="60" w:after="60"/>
              <w:rPr>
                <w:rFonts w:eastAsia="Times New Roman"/>
                <w:noProof/>
                <w:sz w:val="20"/>
              </w:rPr>
            </w:pPr>
            <w:r>
              <w:rPr>
                <w:noProof/>
                <w:sz w:val="20"/>
              </w:rPr>
              <w:t xml:space="preserve">TOTAL crédits cofinancés </w:t>
            </w:r>
          </w:p>
        </w:tc>
        <w:tc>
          <w:tcPr>
            <w:tcW w:w="964" w:type="dxa"/>
            <w:vAlign w:val="center"/>
          </w:tcPr>
          <w:p>
            <w:pPr>
              <w:spacing w:before="60" w:after="60"/>
              <w:jc w:val="center"/>
              <w:rPr>
                <w:rFonts w:eastAsia="Times New Roman"/>
                <w:noProof/>
                <w:sz w:val="20"/>
              </w:rPr>
            </w:pPr>
            <w:r>
              <w:rPr>
                <w:noProof/>
                <w:sz w:val="20"/>
              </w:rPr>
              <w:t>0,180</w:t>
            </w:r>
          </w:p>
        </w:tc>
        <w:tc>
          <w:tcPr>
            <w:tcW w:w="964" w:type="dxa"/>
            <w:vAlign w:val="center"/>
          </w:tcPr>
          <w:p>
            <w:pPr>
              <w:spacing w:before="60" w:after="60"/>
              <w:jc w:val="center"/>
              <w:rPr>
                <w:rFonts w:eastAsia="Times New Roman"/>
                <w:noProof/>
                <w:sz w:val="20"/>
              </w:rPr>
            </w:pPr>
            <w:r>
              <w:rPr>
                <w:noProof/>
                <w:sz w:val="20"/>
              </w:rPr>
              <w:t>0,183</w:t>
            </w:r>
          </w:p>
        </w:tc>
        <w:tc>
          <w:tcPr>
            <w:tcW w:w="964" w:type="dxa"/>
            <w:vAlign w:val="center"/>
          </w:tcPr>
          <w:p>
            <w:pPr>
              <w:spacing w:before="60" w:after="60"/>
              <w:jc w:val="center"/>
              <w:rPr>
                <w:rFonts w:eastAsia="Times New Roman"/>
                <w:noProof/>
                <w:sz w:val="20"/>
              </w:rPr>
            </w:pPr>
            <w:r>
              <w:rPr>
                <w:noProof/>
                <w:sz w:val="20"/>
              </w:rPr>
              <w:t>0,186</w:t>
            </w:r>
          </w:p>
        </w:tc>
        <w:tc>
          <w:tcPr>
            <w:tcW w:w="1158" w:type="dxa"/>
            <w:vAlign w:val="center"/>
          </w:tcPr>
          <w:p>
            <w:pPr>
              <w:spacing w:before="60" w:after="60"/>
              <w:jc w:val="center"/>
              <w:rPr>
                <w:rFonts w:eastAsia="Times New Roman"/>
                <w:noProof/>
                <w:sz w:val="20"/>
              </w:rPr>
            </w:pPr>
            <w:r>
              <w:rPr>
                <w:noProof/>
                <w:sz w:val="20"/>
              </w:rPr>
              <w:t>0,549</w:t>
            </w:r>
          </w:p>
        </w:tc>
      </w:tr>
    </w:tbl>
    <w:p>
      <w:pPr>
        <w:pStyle w:val="Heading2"/>
        <w:rPr>
          <w:rFonts w:eastAsia="Times New Roman"/>
          <w:noProof/>
          <w:szCs w:val="24"/>
        </w:rPr>
      </w:pPr>
      <w:r>
        <w:rPr>
          <w:noProof/>
        </w:rPr>
        <w:t xml:space="preserve">Incidence estimée sur les recettes </w:t>
      </w:r>
    </w:p>
    <w:p>
      <w:pPr>
        <w:tabs>
          <w:tab w:val="num" w:pos="1134"/>
        </w:tabs>
        <w:ind w:left="1134" w:hanging="283"/>
        <w:rPr>
          <w:rFonts w:eastAsia="Times New Roman"/>
          <w:noProof/>
        </w:rPr>
      </w:pPr>
      <w:r>
        <w:rPr>
          <w:noProof/>
        </w:rPr>
        <w:t>La proposition/l’initiative a une incidence financière décrite ci-après:</w:t>
      </w:r>
    </w:p>
    <w:p>
      <w:pPr>
        <w:ind w:left="2126"/>
        <w:rPr>
          <w:rFonts w:eastAsia="Times New Roman"/>
          <w:noProof/>
        </w:rPr>
      </w:pPr>
      <w:r>
        <w:rPr>
          <w:rFonts w:eastAsia="Times New Roman"/>
          <w:noProof/>
        </w:rPr>
        <w:sym w:font="Wingdings" w:char="F0A8"/>
      </w:r>
      <w:r>
        <w:rPr>
          <w:noProof/>
        </w:rPr>
        <w:tab/>
        <w:t xml:space="preserve">sur les ressources propres </w:t>
      </w:r>
    </w:p>
    <w:p>
      <w:pPr>
        <w:ind w:left="2126"/>
        <w:rPr>
          <w:rFonts w:eastAsia="Times New Roman"/>
          <w:noProof/>
        </w:rPr>
      </w:pPr>
      <w:r>
        <w:rPr>
          <w:rFonts w:eastAsia="Times New Roman"/>
          <w:noProof/>
        </w:rPr>
        <w:sym w:font="Wingdings" w:char="F078"/>
      </w:r>
      <w:r>
        <w:rPr>
          <w:noProof/>
        </w:rPr>
        <w:tab/>
        <w:t xml:space="preserve">sur les recettes diverses </w:t>
      </w:r>
    </w:p>
    <w:p>
      <w:pPr>
        <w:jc w:val="right"/>
        <w:rPr>
          <w:rFonts w:eastAsia="Times New Roman"/>
          <w:i/>
          <w:noProof/>
          <w:sz w:val="20"/>
        </w:rPr>
      </w:pPr>
      <w:r>
        <w:rPr>
          <w:noProof/>
          <w:sz w:val="20"/>
        </w:rPr>
        <w:t>En millions d'euros (à la 3</w:t>
      </w:r>
      <w:r>
        <w:rPr>
          <w:noProof/>
          <w:sz w:val="20"/>
          <w:vertAlign w:val="superscript"/>
        </w:rPr>
        <w:t>e</w:t>
      </w:r>
      <w:r>
        <w:rPr>
          <w:noProof/>
          <w:sz w:val="20"/>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4320"/>
      </w:tblGrid>
      <w:tr>
        <w:trPr>
          <w:trHeight w:val="388"/>
        </w:trPr>
        <w:tc>
          <w:tcPr>
            <w:tcW w:w="2144" w:type="dxa"/>
            <w:vMerge w:val="restart"/>
            <w:vAlign w:val="center"/>
          </w:tcPr>
          <w:p>
            <w:pPr>
              <w:spacing w:before="40" w:after="40"/>
              <w:rPr>
                <w:rFonts w:eastAsia="Times New Roman"/>
                <w:noProof/>
                <w:sz w:val="18"/>
              </w:rPr>
            </w:pPr>
            <w:r>
              <w:rPr>
                <w:noProof/>
                <w:sz w:val="18"/>
              </w:rPr>
              <w:t>Ligne budgétaire de recettes:</w:t>
            </w:r>
          </w:p>
        </w:tc>
        <w:tc>
          <w:tcPr>
            <w:tcW w:w="1276" w:type="dxa"/>
            <w:vMerge w:val="restart"/>
            <w:vAlign w:val="center"/>
          </w:tcPr>
          <w:p>
            <w:pPr>
              <w:jc w:val="center"/>
              <w:rPr>
                <w:rFonts w:eastAsia="Times New Roman"/>
                <w:noProof/>
                <w:sz w:val="18"/>
              </w:rPr>
            </w:pPr>
            <w:r>
              <w:rPr>
                <w:noProof/>
                <w:sz w:val="18"/>
              </w:rPr>
              <w:t>Montants inscrits pour l'exercice en cours</w:t>
            </w:r>
          </w:p>
        </w:tc>
        <w:tc>
          <w:tcPr>
            <w:tcW w:w="7200" w:type="dxa"/>
            <w:gridSpan w:val="4"/>
            <w:vAlign w:val="center"/>
          </w:tcPr>
          <w:p>
            <w:pPr>
              <w:jc w:val="center"/>
              <w:rPr>
                <w:rFonts w:eastAsia="Times New Roman"/>
                <w:noProof/>
                <w:sz w:val="18"/>
              </w:rPr>
            </w:pPr>
            <w:r>
              <w:rPr>
                <w:noProof/>
                <w:sz w:val="18"/>
              </w:rPr>
              <w:t>Incidence de la proposition/de l'initiative</w:t>
            </w:r>
            <w:r>
              <w:rPr>
                <w:rStyle w:val="FootnoteReference"/>
                <w:noProof/>
              </w:rPr>
              <w:footnoteReference w:id="10"/>
            </w:r>
          </w:p>
        </w:tc>
      </w:tr>
      <w:tr>
        <w:trPr>
          <w:trHeight w:val="388"/>
        </w:trPr>
        <w:tc>
          <w:tcPr>
            <w:tcW w:w="2144" w:type="dxa"/>
            <w:vMerge/>
            <w:vAlign w:val="center"/>
          </w:tcPr>
          <w:p>
            <w:pPr>
              <w:rPr>
                <w:rFonts w:eastAsia="Times New Roman"/>
                <w:noProof/>
                <w:sz w:val="18"/>
              </w:rPr>
            </w:pPr>
          </w:p>
        </w:tc>
        <w:tc>
          <w:tcPr>
            <w:tcW w:w="1276" w:type="dxa"/>
            <w:vMerge/>
            <w:vAlign w:val="center"/>
          </w:tcPr>
          <w:p>
            <w:pPr>
              <w:rPr>
                <w:rFonts w:eastAsia="Times New Roman"/>
                <w:noProof/>
                <w:sz w:val="18"/>
              </w:rPr>
            </w:pPr>
          </w:p>
        </w:tc>
        <w:tc>
          <w:tcPr>
            <w:tcW w:w="1080" w:type="dxa"/>
            <w:vAlign w:val="center"/>
          </w:tcPr>
          <w:p>
            <w:pPr>
              <w:jc w:val="center"/>
              <w:rPr>
                <w:rFonts w:eastAsia="Times New Roman"/>
                <w:noProof/>
                <w:sz w:val="18"/>
              </w:rPr>
            </w:pPr>
            <w:r>
              <w:rPr>
                <w:noProof/>
              </w:rPr>
              <w:t xml:space="preserve">Année </w:t>
            </w:r>
            <w:r>
              <w:rPr>
                <w:b/>
                <w:noProof/>
                <w:sz w:val="18"/>
              </w:rPr>
              <w:t>1</w:t>
            </w:r>
          </w:p>
        </w:tc>
        <w:tc>
          <w:tcPr>
            <w:tcW w:w="900" w:type="dxa"/>
            <w:vAlign w:val="center"/>
          </w:tcPr>
          <w:p>
            <w:pPr>
              <w:jc w:val="center"/>
              <w:rPr>
                <w:rFonts w:eastAsia="Times New Roman"/>
                <w:noProof/>
                <w:sz w:val="18"/>
              </w:rPr>
            </w:pPr>
            <w:r>
              <w:rPr>
                <w:noProof/>
              </w:rPr>
              <w:t xml:space="preserve">Année </w:t>
            </w:r>
            <w:r>
              <w:rPr>
                <w:b/>
                <w:noProof/>
                <w:sz w:val="18"/>
              </w:rPr>
              <w:t>2</w:t>
            </w:r>
          </w:p>
        </w:tc>
        <w:tc>
          <w:tcPr>
            <w:tcW w:w="900" w:type="dxa"/>
            <w:vAlign w:val="center"/>
          </w:tcPr>
          <w:p>
            <w:pPr>
              <w:jc w:val="center"/>
              <w:rPr>
                <w:rFonts w:eastAsia="Times New Roman"/>
                <w:noProof/>
                <w:sz w:val="18"/>
              </w:rPr>
            </w:pPr>
            <w:r>
              <w:rPr>
                <w:noProof/>
              </w:rPr>
              <w:t xml:space="preserve">Année </w:t>
            </w:r>
            <w:r>
              <w:rPr>
                <w:b/>
                <w:noProof/>
                <w:sz w:val="18"/>
              </w:rPr>
              <w:t>3</w:t>
            </w:r>
          </w:p>
        </w:tc>
        <w:tc>
          <w:tcPr>
            <w:tcW w:w="4320" w:type="dxa"/>
            <w:vAlign w:val="center"/>
          </w:tcPr>
          <w:p>
            <w:pPr>
              <w:rPr>
                <w:rFonts w:eastAsia="Times New Roman"/>
                <w:b/>
                <w:noProof/>
                <w:sz w:val="18"/>
              </w:rPr>
            </w:pPr>
          </w:p>
        </w:tc>
      </w:tr>
      <w:tr>
        <w:trPr>
          <w:trHeight w:val="388"/>
        </w:trPr>
        <w:tc>
          <w:tcPr>
            <w:tcW w:w="2144" w:type="dxa"/>
            <w:vAlign w:val="center"/>
          </w:tcPr>
          <w:p>
            <w:pPr>
              <w:spacing w:before="40" w:after="40"/>
              <w:rPr>
                <w:rFonts w:eastAsia="Times New Roman"/>
                <w:noProof/>
                <w:sz w:val="18"/>
              </w:rPr>
            </w:pPr>
            <w:r>
              <w:rPr>
                <w:noProof/>
                <w:sz w:val="18"/>
              </w:rPr>
              <w:t>Article 603.1</w:t>
            </w:r>
          </w:p>
        </w:tc>
        <w:tc>
          <w:tcPr>
            <w:tcW w:w="1276" w:type="dxa"/>
          </w:tcPr>
          <w:p>
            <w:pPr>
              <w:spacing w:beforeLines="40" w:before="96" w:afterLines="40" w:after="96"/>
              <w:jc w:val="center"/>
              <w:rPr>
                <w:rFonts w:eastAsia="Times New Roman"/>
                <w:i/>
                <w:noProof/>
                <w:sz w:val="18"/>
              </w:rPr>
            </w:pPr>
          </w:p>
        </w:tc>
        <w:tc>
          <w:tcPr>
            <w:tcW w:w="1080" w:type="dxa"/>
          </w:tcPr>
          <w:p>
            <w:pPr>
              <w:spacing w:beforeLines="40" w:before="96" w:afterLines="40" w:after="96"/>
              <w:jc w:val="center"/>
              <w:rPr>
                <w:rFonts w:eastAsia="Times New Roman"/>
                <w:noProof/>
                <w:sz w:val="18"/>
              </w:rPr>
            </w:pPr>
            <w:r>
              <w:rPr>
                <w:noProof/>
                <w:sz w:val="16"/>
              </w:rPr>
              <w:t>0,180</w:t>
            </w:r>
          </w:p>
        </w:tc>
        <w:tc>
          <w:tcPr>
            <w:tcW w:w="900" w:type="dxa"/>
          </w:tcPr>
          <w:p>
            <w:pPr>
              <w:spacing w:beforeLines="40" w:before="96" w:afterLines="40" w:after="96"/>
              <w:jc w:val="center"/>
              <w:rPr>
                <w:rFonts w:eastAsia="Times New Roman"/>
                <w:noProof/>
                <w:sz w:val="18"/>
              </w:rPr>
            </w:pPr>
            <w:r>
              <w:rPr>
                <w:noProof/>
                <w:sz w:val="16"/>
              </w:rPr>
              <w:t>0,183</w:t>
            </w:r>
          </w:p>
        </w:tc>
        <w:tc>
          <w:tcPr>
            <w:tcW w:w="900" w:type="dxa"/>
          </w:tcPr>
          <w:p>
            <w:pPr>
              <w:spacing w:beforeLines="40" w:before="96" w:afterLines="40" w:after="96"/>
              <w:jc w:val="center"/>
              <w:rPr>
                <w:rFonts w:eastAsia="Times New Roman"/>
                <w:noProof/>
                <w:sz w:val="18"/>
              </w:rPr>
            </w:pPr>
            <w:r>
              <w:rPr>
                <w:noProof/>
                <w:sz w:val="16"/>
              </w:rPr>
              <w:t>0,186</w:t>
            </w:r>
          </w:p>
        </w:tc>
        <w:tc>
          <w:tcPr>
            <w:tcW w:w="4320" w:type="dxa"/>
          </w:tcPr>
          <w:p>
            <w:pPr>
              <w:spacing w:beforeLines="40" w:before="96" w:afterLines="40" w:after="96"/>
              <w:jc w:val="center"/>
              <w:rPr>
                <w:rFonts w:eastAsia="Times New Roman"/>
                <w:noProof/>
                <w:sz w:val="18"/>
              </w:rPr>
            </w:pPr>
          </w:p>
        </w:tc>
      </w:tr>
    </w:tbl>
    <w:p>
      <w:pPr>
        <w:ind w:left="850"/>
        <w:rPr>
          <w:rFonts w:eastAsia="Times New Roman"/>
          <w:noProof/>
          <w:sz w:val="20"/>
        </w:rPr>
      </w:pPr>
      <w:r>
        <w:rPr>
          <w:noProof/>
          <w:sz w:val="20"/>
        </w:rPr>
        <w:t>Pour les recettes diverses qui seront «affectées», préciser la (les) ligne(s) budgétaire(s) de dépenses concernée(s).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33.02.06</w:t>
      </w:r>
    </w:p>
    <w:p>
      <w:pPr>
        <w:ind w:left="850"/>
        <w:rPr>
          <w:rFonts w:eastAsia="Times New Roman"/>
          <w:noProof/>
          <w:sz w:val="20"/>
        </w:rPr>
      </w:pPr>
      <w:r>
        <w:rPr>
          <w:noProof/>
          <w:sz w:val="20"/>
        </w:rPr>
        <w:t>Préciser la méthode de calcul de l'incidence sur les recettes.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Voir l'annexe I de la décision</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EB31CC" w15:done="0"/>
  <w15:commentEx w15:paraId="61E2362D" w15:paraIdParent="28EB31CC" w15:done="0"/>
  <w15:commentEx w15:paraId="3E4538BC" w15:done="0"/>
  <w15:commentEx w15:paraId="4A254D86" w15:paraIdParent="3E4538BC" w15:done="0"/>
  <w15:commentEx w15:paraId="009E5CB7" w15:done="0"/>
  <w15:commentEx w15:paraId="44DADC06" w15:paraIdParent="009E5CB7" w15:done="0"/>
  <w15:commentEx w15:paraId="565798D8" w15:done="0"/>
  <w15:commentEx w15:paraId="50ECA287" w15:paraIdParent="565798D8" w15:done="0"/>
  <w15:commentEx w15:paraId="798F716E" w15:done="0"/>
  <w15:commentEx w15:paraId="3E99CA0E" w15:paraIdParent="798F716E" w15:done="0"/>
  <w15:commentEx w15:paraId="0EFF81E6" w15:done="0"/>
  <w15:commentEx w15:paraId="4FFEB619" w15:paraIdParent="0EFF81E6" w15:done="0"/>
  <w15:commentEx w15:paraId="7B270E9F" w15:done="0"/>
  <w15:commentEx w15:paraId="14E710A2" w15:paraIdParent="7B270E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56 du 4.3.1968, p. 1, modifié en dernier lieu par le règlement (UE, Euratom) n° 1023/2013 du Parlement européen et du Conseil du 22 octobre 2013, JO L 287 du 29.10.2013, p. 15.</w:t>
      </w:r>
    </w:p>
  </w:footnote>
  <w:footnote w:id="2">
    <w:p>
      <w:pPr>
        <w:pStyle w:val="FootnoteText"/>
        <w:rPr>
          <w:szCs w:val="24"/>
        </w:rPr>
      </w:pPr>
      <w:r>
        <w:rPr>
          <w:rStyle w:val="FootnoteReference"/>
        </w:rPr>
        <w:footnoteRef/>
      </w:r>
      <w:r>
        <w:tab/>
        <w:t>ABM: activity-based management (gestion par activité); ABB: activity-based budgeting (établissement du budget par activité).</w:t>
      </w:r>
    </w:p>
  </w:footnote>
  <w:footnote w:id="3">
    <w:p>
      <w:pPr>
        <w:pStyle w:val="FootnoteText"/>
      </w:pPr>
      <w:r>
        <w:rPr>
          <w:rStyle w:val="FootnoteReference"/>
        </w:rPr>
        <w:footnoteRef/>
      </w:r>
      <w:r>
        <w:tab/>
        <w:t>Les explications sur les modes de gestion ainsi que les références au règlement financier sont disponibles sur le site BudgWeb:</w:t>
      </w:r>
    </w:p>
    <w:p>
      <w:pPr>
        <w:pStyle w:val="FootnoteText"/>
        <w:ind w:left="1440"/>
        <w:rPr>
          <w:szCs w:val="24"/>
        </w:rPr>
      </w:pPr>
      <w:hyperlink r:id="rId1">
        <w:r>
          <w:rPr>
            <w:rStyle w:val="Hyperlink"/>
          </w:rPr>
          <w:t>https://myintracomm.ec.europa.eu/budgweb/FR/man/budgmanag/Pages/budgmanag.aspx</w:t>
        </w:r>
      </w:hyperlink>
      <w:r>
        <w:t xml:space="preserve">. </w:t>
      </w:r>
    </w:p>
  </w:footnote>
  <w:footnote w:id="4">
    <w:p>
      <w:pPr>
        <w:pStyle w:val="FootnoteText"/>
        <w:rPr>
          <w:szCs w:val="24"/>
        </w:rPr>
      </w:pPr>
      <w:r>
        <w:rPr>
          <w:rStyle w:val="FootnoteReference"/>
        </w:rPr>
        <w:footnoteRef/>
      </w:r>
      <w:r>
        <w:tab/>
        <w:t>CD = crédits dissociés / CND = crédits non dissociés.</w:t>
      </w:r>
    </w:p>
  </w:footnote>
  <w:footnote w:id="5">
    <w:p>
      <w:pPr>
        <w:pStyle w:val="FootnoteText"/>
        <w:rPr>
          <w:szCs w:val="24"/>
        </w:rPr>
      </w:pPr>
      <w:r>
        <w:rPr>
          <w:rStyle w:val="FootnoteReference"/>
        </w:rPr>
        <w:footnoteRef/>
      </w:r>
      <w:r>
        <w:tab/>
        <w:t xml:space="preserve">AELE: Association européenne de libre-échange. </w:t>
      </w:r>
    </w:p>
  </w:footnote>
  <w:footnote w:id="6">
    <w:p>
      <w:pPr>
        <w:pStyle w:val="FootnoteText"/>
        <w:rPr>
          <w:szCs w:val="24"/>
        </w:rPr>
      </w:pPr>
      <w:r>
        <w:rPr>
          <w:rStyle w:val="FootnoteReference"/>
        </w:rPr>
        <w:footnoteRef/>
      </w:r>
      <w:r>
        <w:tab/>
        <w:t>Pays candidats et, le cas échéant, pays candidats potentiels des Balkans occidentaux.</w:t>
      </w:r>
    </w:p>
  </w:footnote>
  <w:footnote w:id="7">
    <w:p>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8">
    <w:p>
      <w:pPr>
        <w:pStyle w:val="FootnoteText"/>
        <w:rPr>
          <w:szCs w:val="24"/>
        </w:rPr>
      </w:pPr>
      <w:r>
        <w:rPr>
          <w:rStyle w:val="FootnoteReference"/>
        </w:rPr>
        <w:footnoteRef/>
      </w:r>
      <w:r>
        <w:tab/>
        <w:t>Sous-plafonds de personnel externe financés sur crédits opérationnels (anciennes lignes «BA»).</w:t>
      </w:r>
    </w:p>
  </w:footnote>
  <w:footnote w:id="9">
    <w:p>
      <w:pPr>
        <w:pStyle w:val="FootnoteText"/>
        <w:rPr>
          <w:szCs w:val="24"/>
        </w:rPr>
      </w:pPr>
      <w:r>
        <w:rPr>
          <w:rStyle w:val="FootnoteReference"/>
        </w:rPr>
        <w:footnoteRef/>
      </w:r>
      <w:r>
        <w:tab/>
        <w:t>Essentiellement pour les Fonds structurels, le Fonds européen agricole pour le développement rural (Feader) et le Fonds européen pour la pêche (FEP).</w:t>
      </w:r>
    </w:p>
  </w:footnote>
  <w:footnote w:id="10">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8185E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6851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CA8C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AA6C4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D44E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D602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1AE9C2"/>
    <w:lvl w:ilvl="0">
      <w:start w:val="1"/>
      <w:numFmt w:val="decimal"/>
      <w:pStyle w:val="ListNumber"/>
      <w:lvlText w:val="%1."/>
      <w:lvlJc w:val="left"/>
      <w:pPr>
        <w:tabs>
          <w:tab w:val="num" w:pos="360"/>
        </w:tabs>
        <w:ind w:left="360" w:hanging="360"/>
      </w:pPr>
    </w:lvl>
  </w:abstractNum>
  <w:abstractNum w:abstractNumId="7">
    <w:nsid w:val="FFFFFF89"/>
    <w:multiLevelType w:val="singleLevel"/>
    <w:tmpl w:val="622A7B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7405936"/>
    <w:multiLevelType w:val="hybridMultilevel"/>
    <w:tmpl w:val="58ECE97E"/>
    <w:name w:val="List Dash 12"/>
    <w:lvl w:ilvl="0" w:tplc="C0C8295C">
      <w:start w:val="1"/>
      <w:numFmt w:val="bullet"/>
      <w:pStyle w:val="ListDash1"/>
      <w:lvlText w:val="–"/>
      <w:lvlJc w:val="left"/>
      <w:pPr>
        <w:tabs>
          <w:tab w:val="num" w:pos="1134"/>
        </w:tabs>
        <w:ind w:left="1134" w:hanging="28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0"/>
  </w:num>
  <w:num w:numId="11">
    <w:abstractNumId w:val="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22"/>
  </w:num>
  <w:num w:numId="16">
    <w:abstractNumId w:val="12"/>
  </w:num>
  <w:num w:numId="17">
    <w:abstractNumId w:val="14"/>
  </w:num>
  <w:num w:numId="18">
    <w:abstractNumId w:val="10"/>
  </w:num>
  <w:num w:numId="19">
    <w:abstractNumId w:val="21"/>
  </w:num>
  <w:num w:numId="20">
    <w:abstractNumId w:val="9"/>
  </w:num>
  <w:num w:numId="21">
    <w:abstractNumId w:val="15"/>
  </w:num>
  <w:num w:numId="22">
    <w:abstractNumId w:val="17"/>
  </w:num>
  <w:num w:numId="23">
    <w:abstractNumId w:val="18"/>
  </w:num>
  <w:num w:numId="24">
    <w:abstractNumId w:val="11"/>
  </w:num>
  <w:num w:numId="25">
    <w:abstractNumId w:val="16"/>
  </w:num>
  <w:num w:numId="26">
    <w:abstractNumId w:val="23"/>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TSOS Andreas (FRA)">
    <w15:presenceInfo w15:providerId="AD" w15:userId="S-1-5-21-864693804-1130308216-483988704-5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07 09:24: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2"/>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CP" w:val="accompagnant la"/>
    <w:docVar w:name="LW_ANNEX_NBR_FIRST" w:val="1"/>
    <w:docVar w:name="LW_ANNEX_NBR_LAST" w:val="1"/>
    <w:docVar w:name="LW_CONFIDENCE" w:val=" "/>
    <w:docVar w:name="LW_CONST_RESTREINT_UE" w:val="RESTREINT UE"/>
    <w:docVar w:name="LW_CORRIGENDUM" w:val="&lt;UNUSED&gt;"/>
    <w:docVar w:name="LW_COVERPAGE_GUID" w:val="3257BB21AB1842A08E6E38F4192D301A"/>
    <w:docVar w:name="LW_CROSSREFERENCE" w:val="&lt;UNUSED&gt;"/>
    <w:docVar w:name="LW_DocType" w:val="ANNEX"/>
    <w:docVar w:name="LW_EMISSION" w:val="7.3.2016"/>
    <w:docVar w:name="LW_EMISSION_ISODATE" w:val="2016-03-0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sur une position de l\u8217?Union au conseil de stabilisation et d\u8217?association UE_x001e_République de Serbie en ce qui concerne la participation de la République de Serbie en tant qu\u8217?observateur aux travaux de l\u8217?Agence des droits fondamentaux de l'Union européenne et les modalités de cette participation, dans le cadre établi par le règlement (CE) n° 168/2007 du Conseil_x000b_"/>
    <w:docVar w:name="LW_PART_NBR" w:val="1"/>
    <w:docVar w:name="LW_PART_NBR_TOTAL" w:val="1"/>
    <w:docVar w:name="LW_REF.INST.NEW" w:val="COM"/>
    <w:docVar w:name="LW_REF.INST.NEW_ADOPTED" w:val="final"/>
    <w:docVar w:name="LW_REF.INST.NEW_TEXT" w:val="(2016) 119"/>
    <w:docVar w:name="LW_REF.INTERNE" w:val="&lt;UNUSED&gt;"/>
    <w:docVar w:name="LW_SUPERTITRE" w:val="&lt;UNUSED&gt;"/>
    <w:docVar w:name="LW_TITRE.OBJ.CP" w:val="Décision sur la participation de la République de Serbie en tant qu\u8217?observateur aux travaux de l\u8217?Agence des droits fondamentaux de l'Union européenne et les modalités de cette participation, dans le cadre établi par le règlement (CE) n° 168/2007 du Conseil"/>
    <w:docVar w:name="LW_TYPE.DOC.CP" w:val="ANNEXE"/>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1">
    <w:name w:val="List Dash 1"/>
    <w:basedOn w:val="Normal"/>
    <w:pPr>
      <w:numPr>
        <w:numId w:val="11"/>
      </w:numPr>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1">
    <w:name w:val="List Dash 1"/>
    <w:basedOn w:val="Normal"/>
    <w:pPr>
      <w:numPr>
        <w:numId w:val="11"/>
      </w:numPr>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77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19</Pages>
  <Words>3653</Words>
  <Characters>20424</Characters>
  <Application>Microsoft Office Word</Application>
  <DocSecurity>0</DocSecurity>
  <Lines>680</Lines>
  <Paragraphs>422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STENQVIST Paivi (JUST)</dc:creator>
  <cp:lastModifiedBy>DIGIT/A3</cp:lastModifiedBy>
  <cp:revision>7</cp:revision>
  <cp:lastPrinted>2015-12-04T10:38:00Z</cp:lastPrinted>
  <dcterms:created xsi:type="dcterms:W3CDTF">2016-03-01T12:11:00Z</dcterms:created>
  <dcterms:modified xsi:type="dcterms:W3CDTF">2016-03-07T08:24:00Z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