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D8" w:rsidRDefault="00897FF2" w:rsidP="004C5822">
      <w:pPr>
        <w:pStyle w:val="Pagedecouverture"/>
      </w:pPr>
      <w:bookmarkStart w:id="0" w:name="LW_BM_COVERPAGE"/>
      <w:r>
        <w:rPr>
          <w:noProof/>
          <w:lang w:val="en-GB" w:eastAsia="en-GB"/>
        </w:rPr>
        <w:drawing>
          <wp:inline distT="0" distB="0" distL="0" distR="0">
            <wp:extent cx="5719445" cy="5788025"/>
            <wp:effectExtent l="0" t="0" r="0" b="0"/>
            <wp:docPr id="9" name="Picture 9" descr="BD7F98A2CCA44CF79056ACC49C6C8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7F98A2CCA44CF79056ACC49C6C837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9445" cy="5788025"/>
                    </a:xfrm>
                    <a:prstGeom prst="rect">
                      <a:avLst/>
                    </a:prstGeom>
                    <a:noFill/>
                    <a:ln>
                      <a:noFill/>
                    </a:ln>
                  </pic:spPr>
                </pic:pic>
              </a:graphicData>
            </a:graphic>
          </wp:inline>
        </w:drawing>
      </w:r>
    </w:p>
    <w:bookmarkEnd w:id="0"/>
    <w:p w:rsidR="00794A12" w:rsidRDefault="00794A12" w:rsidP="00794A12">
      <w:pPr>
        <w:sectPr w:rsidR="00794A12" w:rsidSect="004C5822">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272"/>
        </w:sectPr>
      </w:pPr>
    </w:p>
    <w:p w:rsidR="00E01CD8" w:rsidRDefault="00E01CD8">
      <w:pPr>
        <w:tabs>
          <w:tab w:val="left" w:pos="0"/>
        </w:tabs>
        <w:rPr>
          <w:b/>
          <w:spacing w:val="-3"/>
        </w:rPr>
      </w:pPr>
      <w:bookmarkStart w:id="1" w:name="_GoBack"/>
      <w:bookmarkEnd w:id="1"/>
    </w:p>
    <w:p w:rsidR="00E01CD8" w:rsidRDefault="00E01CD8">
      <w:pPr>
        <w:tabs>
          <w:tab w:val="left" w:pos="0"/>
        </w:tabs>
        <w:rPr>
          <w:b/>
          <w:spacing w:val="-3"/>
        </w:rPr>
      </w:pPr>
    </w:p>
    <w:p w:rsidR="00E01CD8" w:rsidRDefault="00E01CD8">
      <w:pPr>
        <w:tabs>
          <w:tab w:val="left" w:pos="0"/>
        </w:tabs>
        <w:rPr>
          <w:b/>
          <w:spacing w:val="-3"/>
        </w:rPr>
      </w:pPr>
    </w:p>
    <w:p w:rsidR="00E01CD8" w:rsidRDefault="00897FF2">
      <w:pPr>
        <w:tabs>
          <w:tab w:val="right" w:pos="9639"/>
        </w:tabs>
        <w:jc w:val="both"/>
        <w:outlineLvl w:val="0"/>
        <w:rPr>
          <w:rFonts w:ascii="Palatino" w:hAnsi="Palatino"/>
          <w:i/>
          <w:spacing w:val="-2"/>
          <w:sz w:val="19"/>
        </w:rPr>
      </w:pPr>
      <w:r>
        <w:rPr>
          <w:rFonts w:ascii="Palatino" w:hAnsi="Palatino"/>
          <w:i/>
          <w:noProof/>
          <w:spacing w:val="-2"/>
          <w:sz w:val="19"/>
          <w:lang w:val="en-GB" w:eastAsia="en-GB" w:bidi="ar-SA"/>
        </w:rPr>
        <w:drawing>
          <wp:anchor distT="0" distB="0" distL="114300" distR="114300" simplePos="0" relativeHeight="251657216" behindDoc="0" locked="1" layoutInCell="0" allowOverlap="1">
            <wp:simplePos x="0" y="0"/>
            <wp:positionH relativeFrom="page">
              <wp:posOffset>5616575</wp:posOffset>
            </wp:positionH>
            <wp:positionV relativeFrom="page">
              <wp:posOffset>269875</wp:posOffset>
            </wp:positionV>
            <wp:extent cx="1438275" cy="1076325"/>
            <wp:effectExtent l="0" t="0" r="9525" b="9525"/>
            <wp:wrapSquare wrapText="bothSides"/>
            <wp:docPr id="3" name="Picture 3"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_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pic:spPr>
                </pic:pic>
              </a:graphicData>
            </a:graphic>
            <wp14:sizeRelH relativeFrom="page">
              <wp14:pctWidth>0</wp14:pctWidth>
            </wp14:sizeRelH>
            <wp14:sizeRelV relativeFrom="page">
              <wp14:pctHeight>0</wp14:pctHeight>
            </wp14:sizeRelV>
          </wp:anchor>
        </w:drawing>
      </w:r>
      <w:r w:rsidR="00E01CD8">
        <w:tab/>
      </w:r>
      <w:r>
        <w:rPr>
          <w:rFonts w:ascii="Palatino" w:hAnsi="Palatino"/>
          <w:i/>
          <w:noProof/>
          <w:spacing w:val="-2"/>
          <w:sz w:val="19"/>
          <w:lang w:val="en-GB" w:eastAsia="en-GB" w:bidi="ar-SA"/>
        </w:rPr>
        <w:drawing>
          <wp:anchor distT="0" distB="0" distL="114300" distR="114300" simplePos="0" relativeHeight="251658240" behindDoc="0" locked="1" layoutInCell="0" allowOverlap="1">
            <wp:simplePos x="0" y="0"/>
            <wp:positionH relativeFrom="page">
              <wp:posOffset>5616575</wp:posOffset>
            </wp:positionH>
            <wp:positionV relativeFrom="page">
              <wp:posOffset>269875</wp:posOffset>
            </wp:positionV>
            <wp:extent cx="1438275" cy="1076325"/>
            <wp:effectExtent l="0" t="0" r="9525" b="9525"/>
            <wp:wrapSquare wrapText="bothSides"/>
            <wp:docPr id="4" name="Picture 4"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_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pic:spPr>
                </pic:pic>
              </a:graphicData>
            </a:graphic>
            <wp14:sizeRelH relativeFrom="page">
              <wp14:pctWidth>0</wp14:pctWidth>
            </wp14:sizeRelH>
            <wp14:sizeRelV relativeFrom="page">
              <wp14:pctHeight>0</wp14:pctHeight>
            </wp14:sizeRelV>
          </wp:anchor>
        </w:drawing>
      </w:r>
      <w:r w:rsidR="00E01CD8">
        <w:rPr>
          <w:rFonts w:ascii="Palatino" w:hAnsi="Palatino"/>
          <w:i/>
          <w:spacing w:val="-2"/>
          <w:sz w:val="19"/>
        </w:rPr>
        <w:t xml:space="preserve">Série des Traités du Conseil de l'Europe </w:t>
      </w:r>
      <w:r w:rsidR="00CB7BC4">
        <w:rPr>
          <w:rFonts w:ascii="Palatino" w:hAnsi="Palatino"/>
          <w:i/>
          <w:spacing w:val="-2"/>
          <w:sz w:val="19"/>
        </w:rPr>
        <w:t>–</w:t>
      </w:r>
      <w:r w:rsidR="00E01CD8">
        <w:rPr>
          <w:rFonts w:ascii="Palatino" w:hAnsi="Palatino"/>
          <w:i/>
          <w:spacing w:val="-2"/>
          <w:sz w:val="19"/>
        </w:rPr>
        <w:t xml:space="preserve"> n</w:t>
      </w:r>
      <w:r w:rsidR="002441BA">
        <w:rPr>
          <w:rFonts w:ascii="Book Antiqua" w:hAnsi="Book Antiqua"/>
          <w:i/>
          <w:spacing w:val="-2"/>
          <w:sz w:val="19"/>
        </w:rPr>
        <w:t>º</w:t>
      </w:r>
      <w:r w:rsidR="00DE0B27">
        <w:rPr>
          <w:rFonts w:ascii="Palatino" w:hAnsi="Palatino" w:hint="eastAsia"/>
          <w:i/>
          <w:spacing w:val="-2"/>
          <w:sz w:val="19"/>
        </w:rPr>
        <w:t> </w:t>
      </w:r>
      <w:r w:rsidR="00E01CD8">
        <w:rPr>
          <w:rFonts w:ascii="Palatino" w:hAnsi="Palatino"/>
          <w:i/>
          <w:spacing w:val="-2"/>
          <w:sz w:val="19"/>
        </w:rPr>
        <w:t>210</w:t>
      </w:r>
    </w:p>
    <w:p w:rsidR="00E01CD8" w:rsidRDefault="00E01CD8">
      <w:pPr>
        <w:rPr>
          <w:b/>
          <w:sz w:val="29"/>
        </w:rPr>
      </w:pPr>
    </w:p>
    <w:p w:rsidR="00E01CD8" w:rsidRDefault="00E01CD8">
      <w:pPr>
        <w:rPr>
          <w:b/>
          <w:sz w:val="29"/>
        </w:rPr>
      </w:pPr>
    </w:p>
    <w:p w:rsidR="00E01CD8" w:rsidRDefault="00E01CD8">
      <w:pPr>
        <w:rPr>
          <w:b/>
          <w:sz w:val="29"/>
        </w:rPr>
      </w:pPr>
    </w:p>
    <w:p w:rsidR="00E01CD8" w:rsidRDefault="00E01CD8">
      <w:pPr>
        <w:rPr>
          <w:b/>
          <w:sz w:val="29"/>
        </w:rPr>
      </w:pPr>
    </w:p>
    <w:p w:rsidR="00E01CD8" w:rsidRDefault="00E01CD8">
      <w:pPr>
        <w:ind w:left="2552"/>
        <w:outlineLvl w:val="0"/>
        <w:rPr>
          <w:rFonts w:ascii="Arial Narrow" w:hAnsi="Arial Narrow"/>
          <w:sz w:val="40"/>
        </w:rPr>
      </w:pPr>
    </w:p>
    <w:p w:rsidR="00E01CD8" w:rsidRDefault="00E01CD8">
      <w:pPr>
        <w:ind w:left="2552"/>
        <w:outlineLvl w:val="0"/>
        <w:rPr>
          <w:rFonts w:ascii="Arial Narrow" w:hAnsi="Arial Narrow"/>
          <w:sz w:val="40"/>
        </w:rPr>
      </w:pPr>
    </w:p>
    <w:p w:rsidR="00E01CD8" w:rsidRDefault="00E01CD8">
      <w:pPr>
        <w:ind w:left="2552"/>
        <w:outlineLvl w:val="0"/>
        <w:rPr>
          <w:rFonts w:ascii="Arial Narrow" w:hAnsi="Arial Narrow"/>
          <w:sz w:val="40"/>
        </w:rPr>
      </w:pPr>
    </w:p>
    <w:p w:rsidR="00E01CD8" w:rsidRDefault="00E01CD8">
      <w:pPr>
        <w:ind w:left="2552"/>
        <w:outlineLvl w:val="0"/>
        <w:rPr>
          <w:rFonts w:ascii="Arial Narrow" w:hAnsi="Arial Narrow"/>
          <w:sz w:val="40"/>
        </w:rPr>
      </w:pPr>
    </w:p>
    <w:p w:rsidR="00E01CD8" w:rsidRDefault="00E01CD8">
      <w:pPr>
        <w:tabs>
          <w:tab w:val="left" w:pos="0"/>
        </w:tabs>
        <w:ind w:left="2552"/>
        <w:rPr>
          <w:rFonts w:ascii="Arial Narrow" w:hAnsi="Arial Narrow"/>
          <w:sz w:val="40"/>
        </w:rPr>
      </w:pPr>
      <w:r>
        <w:rPr>
          <w:rFonts w:ascii="Arial Narrow" w:hAnsi="Arial Narrow"/>
          <w:sz w:val="40"/>
        </w:rPr>
        <w:t>Convention du Conseil de l’Europe</w:t>
      </w:r>
    </w:p>
    <w:p w:rsidR="00E01CD8" w:rsidRDefault="00E01CD8">
      <w:pPr>
        <w:tabs>
          <w:tab w:val="left" w:pos="0"/>
        </w:tabs>
        <w:ind w:left="2552"/>
        <w:rPr>
          <w:rFonts w:ascii="Arial Narrow" w:hAnsi="Arial Narrow"/>
          <w:sz w:val="40"/>
        </w:rPr>
      </w:pPr>
      <w:r>
        <w:rPr>
          <w:rFonts w:ascii="Arial Narrow" w:hAnsi="Arial Narrow"/>
          <w:sz w:val="40"/>
        </w:rPr>
        <w:t>sur la prévention et la lutte</w:t>
      </w:r>
    </w:p>
    <w:p w:rsidR="00E01CD8" w:rsidRDefault="00E01CD8">
      <w:pPr>
        <w:tabs>
          <w:tab w:val="left" w:pos="0"/>
        </w:tabs>
        <w:ind w:left="2552"/>
        <w:rPr>
          <w:rFonts w:ascii="Arial Narrow" w:hAnsi="Arial Narrow"/>
          <w:sz w:val="40"/>
        </w:rPr>
      </w:pPr>
      <w:r>
        <w:rPr>
          <w:rFonts w:ascii="Arial Narrow" w:hAnsi="Arial Narrow"/>
          <w:sz w:val="40"/>
        </w:rPr>
        <w:t xml:space="preserve">contre la violence à l’égard des femmes </w:t>
      </w:r>
    </w:p>
    <w:p w:rsidR="00E01CD8" w:rsidRDefault="00E01CD8">
      <w:pPr>
        <w:tabs>
          <w:tab w:val="left" w:pos="0"/>
        </w:tabs>
        <w:ind w:left="2552"/>
        <w:rPr>
          <w:b/>
          <w:spacing w:val="-3"/>
          <w:sz w:val="29"/>
        </w:rPr>
      </w:pPr>
      <w:r>
        <w:rPr>
          <w:rFonts w:ascii="Arial Narrow" w:hAnsi="Arial Narrow"/>
          <w:sz w:val="40"/>
        </w:rPr>
        <w:t>et la violence domestique</w:t>
      </w: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ind w:left="2552"/>
        <w:outlineLvl w:val="0"/>
        <w:rPr>
          <w:rFonts w:ascii="Arial Narrow" w:hAnsi="Arial Narrow"/>
          <w:sz w:val="29"/>
          <w:szCs w:val="29"/>
        </w:rPr>
      </w:pPr>
      <w:r>
        <w:rPr>
          <w:rFonts w:ascii="Arial Narrow" w:hAnsi="Arial Narrow"/>
          <w:sz w:val="29"/>
        </w:rPr>
        <w:t>Istanbul, 11.V.2011</w:t>
      </w: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rPr>
          <w:b/>
          <w:spacing w:val="-3"/>
          <w:sz w:val="29"/>
        </w:rPr>
      </w:pPr>
    </w:p>
    <w:p w:rsidR="00E01CD8" w:rsidRDefault="00E01CD8">
      <w:pPr>
        <w:tabs>
          <w:tab w:val="left" w:pos="0"/>
        </w:tabs>
        <w:ind w:left="2552"/>
        <w:outlineLvl w:val="0"/>
        <w:rPr>
          <w:rFonts w:ascii="Arial Narrow" w:hAnsi="Arial Narrow"/>
          <w:i/>
          <w:spacing w:val="-3"/>
        </w:rPr>
      </w:pPr>
    </w:p>
    <w:p w:rsidR="00E01CD8" w:rsidRDefault="00E01CD8">
      <w:pPr>
        <w:pStyle w:val="CMMainSubTitle"/>
      </w:pPr>
      <w:r>
        <w:br w:type="page"/>
      </w:r>
    </w:p>
    <w:p w:rsidR="00E01CD8" w:rsidRDefault="00E01CD8">
      <w:pPr>
        <w:pStyle w:val="CMSubTitle"/>
        <w:tabs>
          <w:tab w:val="left" w:pos="426"/>
          <w:tab w:val="left" w:pos="851"/>
          <w:tab w:val="left" w:pos="1276"/>
          <w:tab w:val="left" w:pos="1701"/>
        </w:tabs>
        <w:ind w:left="851" w:hanging="851"/>
        <w:jc w:val="both"/>
        <w:rPr>
          <w:rFonts w:ascii="Palatino Linotype" w:hAnsi="Palatino Linotype"/>
          <w:sz w:val="20"/>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b/>
          <w:szCs w:val="20"/>
        </w:rPr>
      </w:pPr>
      <w:bookmarkStart w:id="2" w:name="_Toc231981258"/>
      <w:r>
        <w:tab/>
      </w:r>
      <w:r>
        <w:tab/>
      </w:r>
      <w:r w:rsidR="00E01CD8">
        <w:rPr>
          <w:rFonts w:ascii="Palatino Linotype" w:hAnsi="Palatino Linotype"/>
          <w:b/>
        </w:rPr>
        <w:t>Préambule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 xml:space="preserve">Les </w:t>
      </w:r>
      <w:r w:rsidR="00932F06">
        <w:rPr>
          <w:rFonts w:ascii="Palatino Linotype" w:hAnsi="Palatino Linotype"/>
        </w:rPr>
        <w:t>États</w:t>
      </w:r>
      <w:r w:rsidR="00E01CD8">
        <w:rPr>
          <w:rFonts w:ascii="Palatino Linotype" w:hAnsi="Palatino Linotype"/>
        </w:rPr>
        <w:t xml:space="preserve"> membres du Conseil de l’Europe et les autres signataires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Rappelant la Convention de sauvegarde des droits de l’homme et des libertés fondamentales (STE n° 5, 1950) et ses Protocoles, la Charte sociale européenne (STE n° 35, 1961, révisée en 1996, STE n° 163), la Convention du Conseil de l’Europe sur la lutte contre la traite des êtres humains (STCE n° 197, 2005) et la Convention du Conseil de l’Europe sur la protection des enfants contre l’exploitation et les abus sexuels (STCE n° 201, 2007);</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Rappelant</w:t>
      </w:r>
      <w:r w:rsidR="00E01CD8">
        <w:rPr>
          <w:rFonts w:ascii="Palatino Linotype" w:hAnsi="Palatino Linotype"/>
          <w:b/>
        </w:rPr>
        <w:t xml:space="preserve"> </w:t>
      </w:r>
      <w:r w:rsidR="00E01CD8">
        <w:rPr>
          <w:rFonts w:ascii="Palatino Linotype" w:hAnsi="Palatino Linotype"/>
        </w:rPr>
        <w:t xml:space="preserve">les recommandations suivantes du Comité des Ministres aux </w:t>
      </w:r>
      <w:r w:rsidR="00932F06">
        <w:rPr>
          <w:rFonts w:ascii="Palatino Linotype" w:hAnsi="Palatino Linotype"/>
        </w:rPr>
        <w:t>États</w:t>
      </w:r>
      <w:r w:rsidR="00E01CD8">
        <w:rPr>
          <w:rFonts w:ascii="Palatino Linotype" w:hAnsi="Palatino Linotype"/>
        </w:rPr>
        <w:t xml:space="preserve"> membres du Conseil de l’Europe</w:t>
      </w:r>
      <w:r w:rsidR="00CF4F6F">
        <w:rPr>
          <w:rFonts w:ascii="Palatino Linotype" w:hAnsi="Palatino Linotype"/>
        </w:rPr>
        <w:t>:</w:t>
      </w:r>
      <w:r w:rsidR="00E01CD8">
        <w:rPr>
          <w:rFonts w:ascii="Palatino Linotype" w:hAnsi="Palatino Linotype"/>
        </w:rPr>
        <w:t xml:space="preserve"> la Recommandation Rec(2002)5 sur la protection des femmes contre la violence, la Recommandation CM/Rec(2007)17 sur les normes et mécanismes d’égalité entre les femmes et les hommes, la Recommandation CM/Rec(2010)10 sur le rôle des femmes et des hommes dans la prévention et la résolution des conflits et la consolidation de la paix, et les autres recommandations pertinentes;</w:t>
      </w:r>
    </w:p>
    <w:p w:rsidR="00E01CD8" w:rsidRDefault="00E01CD8">
      <w:pPr>
        <w:tabs>
          <w:tab w:val="left" w:pos="426"/>
          <w:tab w:val="left" w:pos="851"/>
          <w:tab w:val="left" w:pos="1276"/>
          <w:tab w:val="left" w:pos="1701"/>
        </w:tabs>
        <w:ind w:left="851" w:hanging="851"/>
        <w:jc w:val="both"/>
        <w:rPr>
          <w:rFonts w:ascii="Palatino Linotype" w:hAnsi="Palatino Linotype"/>
          <w:iCs/>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sidR="00CC4B91">
        <w:tab/>
      </w:r>
      <w:r>
        <w:rPr>
          <w:rFonts w:ascii="Palatino Linotype" w:hAnsi="Palatino Linotype"/>
        </w:rPr>
        <w:t>Tenant compte du volume croissant de la jurisprudence de la Cour européenne des droits de l’homme qui établit des normes importantes en matière de violence à l’égard des femmes;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Ayant à l’esprit le Pacte international relatif aux droits civils et politiques (1966), le Pacte international relatif aux droits économiques, sociaux et culturels (1966), la Convention des Nations Unies sur l’élimination de toutes les formes de discrimination à l’égard des femmes (</w:t>
      </w:r>
      <w:r w:rsidR="007B7432">
        <w:rPr>
          <w:rFonts w:ascii="Palatino Linotype" w:hAnsi="Palatino Linotype"/>
        </w:rPr>
        <w:t>«</w:t>
      </w:r>
      <w:r w:rsidR="00E01CD8">
        <w:rPr>
          <w:rFonts w:ascii="Palatino Linotype" w:hAnsi="Palatino Linotype"/>
        </w:rPr>
        <w:t>CEDEF</w:t>
      </w:r>
      <w:r w:rsidR="007B7432">
        <w:rPr>
          <w:rFonts w:ascii="Palatino Linotype" w:hAnsi="Palatino Linotype"/>
        </w:rPr>
        <w:t>»</w:t>
      </w:r>
      <w:r w:rsidR="00E01CD8">
        <w:rPr>
          <w:rFonts w:ascii="Palatino Linotype" w:hAnsi="Palatino Linotype"/>
        </w:rPr>
        <w:t>, 1979) et son Protocole facultatif (1999) ainsi que la Recommandation générale n° 19 du Comité de la CEDEF sur la violence à l’égard des femmes, la Convention des Nations Unies relative aux droits de l’enfant (1989) et ses Protocoles facultatifs (2000) et la Convention des Nations Unies relative aux droits des personnes handicapées (2006);</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Ayant à l’esprit le Statut de Rome de la Cour pénale internationale (2002);</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Rappelant les principes de base du droit humanitaire international, et en particulier la Convention (IV) de Genève relative à la protection des personnes civiles en temps de guerre (1949) et ses Protocoles additionnels I et II (1977);</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Condamnant toutes les formes de violence à l’égard des femmes et de violence domestique;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Reconnaissant que la réalisation de jure et de facto de l’égalité entre les femmes et les hommes est un élément clé dans la prévention de la violence à l’égard des femmes;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Reconnaissant que la violence à l’égard des femmes est une manifestation des rapports de force historiquement inégaux entre les femmes et les hommes ayant conduit à la domination et à la discrimination des femmes par les hommes, privant ainsi les femmes de leur pleine émancipation;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rsidR="00CC4B91">
        <w:lastRenderedPageBreak/>
        <w:tab/>
      </w:r>
      <w:r w:rsidR="00CC4B91">
        <w:tab/>
      </w:r>
      <w:r>
        <w:rPr>
          <w:rFonts w:ascii="Palatino Linotype" w:hAnsi="Palatino Linotype"/>
        </w:rPr>
        <w:t>Reconnaissant que la nature structurelle de la violence à l’égard des femmes est fondée sur le genre, et que la violence à l’égard des femmes est un des mécanismes sociaux cruciaux par lesquels les femmes sont maintenues dans une position de subordination par rapport aux hommes;</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Reconnaissant</w:t>
      </w:r>
      <w:r w:rsidR="00E01CD8">
        <w:rPr>
          <w:rFonts w:ascii="Palatino Linotype" w:hAnsi="Palatino Linotype"/>
          <w:b/>
        </w:rPr>
        <w:t xml:space="preserve"> </w:t>
      </w:r>
      <w:r w:rsidR="00E01CD8">
        <w:rPr>
          <w:rFonts w:ascii="Palatino Linotype" w:hAnsi="Palatino Linotype"/>
        </w:rPr>
        <w:t xml:space="preserve">avec une profonde préoccupation que les femmes et les filles sont souvent exposées à des formes graves de violence telles que la violence domestique, le harcèlement sexuel, le viol, le mariage forcé, les crimes commis au nom du prétendu </w:t>
      </w:r>
      <w:r w:rsidR="007B7432">
        <w:rPr>
          <w:rFonts w:ascii="Palatino Linotype" w:hAnsi="Palatino Linotype"/>
        </w:rPr>
        <w:t>«</w:t>
      </w:r>
      <w:r w:rsidR="00E01CD8">
        <w:rPr>
          <w:rFonts w:ascii="Palatino Linotype" w:hAnsi="Palatino Linotype"/>
        </w:rPr>
        <w:t>honneur</w:t>
      </w:r>
      <w:r w:rsidR="007B7432">
        <w:rPr>
          <w:rFonts w:ascii="Palatino Linotype" w:hAnsi="Palatino Linotype"/>
        </w:rPr>
        <w:t>»</w:t>
      </w:r>
      <w:r w:rsidR="00E01CD8">
        <w:rPr>
          <w:rFonts w:ascii="Palatino Linotype" w:hAnsi="Palatino Linotype"/>
        </w:rPr>
        <w:t xml:space="preserve"> et les mutilations génitales, lesquelles constituent une violation grave des droits humains des femmes et des filles et un obstacle majeur à la réalisation de l’égalité entre les femmes et les hommes;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Reconnaissant les violations constantes des droits de l’homme en situation de conflits armés affectant la population civile, et en particulier les femmes, sous la forme de viols et de violences sexuelles généralisés ou systématiques et la potentialité d’une augmentation de la violence fondée sur le genre aussi bien pendant qu’après les conflits;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Reconnaissant que les femmes et les filles sont exposées à un risque plus élevé de violence fondée sur le genre que ne le sont les hommes;</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Reconnaissant que la violence domestique affecte les femmes de manière disproportionnée et que les hommes peuvent également être victimes de violence domestique;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Reconnaissant que les enfants sont des victimes de la violence domestique, y compris en tant que témoins de violence au sein de la famille;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Aspirant à créer une Europe libre de violence à l’égard des femmes et de violence domestique,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Sont convenus de ce qui suit</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I – Buts, définitions, égalité et non-discrimination, obligations générales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 – Buts de la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La présente Convention a pour buts</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de protéger les femmes contre toutes les formes de violence, et de prévenir, poursuivre et éliminer la violence à l’égard des femmes et la violence domestique;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de contribuer à éliminer toutes les formes de discrimination à l’égard des femmes et de promouvoir l’égalité réelle entre les femmes et les hommes, y compris par l’autonomisation des femmes;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de concevoir un cadre global, des politiques et des mesures de protection et d’assistance pour toutes les victimes de violence à l’égard des femmes et de violence domestique;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d</w:t>
      </w:r>
      <w:r w:rsidR="00E01CD8">
        <w:tab/>
      </w:r>
      <w:r w:rsidR="00E01CD8">
        <w:rPr>
          <w:rFonts w:ascii="Palatino Linotype" w:hAnsi="Palatino Linotype"/>
        </w:rPr>
        <w:t>de promouvoir la coopération internationale en vue d’éliminer la violence à l’égard des femmes et la violence domestique;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r>
        <w:br w:type="page"/>
      </w: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e</w:t>
      </w:r>
      <w:r w:rsidR="00E01CD8">
        <w:tab/>
      </w:r>
      <w:r w:rsidR="00E01CD8">
        <w:rPr>
          <w:rFonts w:ascii="Palatino Linotype" w:hAnsi="Palatino Linotype"/>
        </w:rPr>
        <w:t>de soutenir et d’assister les organisations et services répressifs pour coopérer de manière effective afin d’adopter une approche intégrée visant à éliminer la violence à l’égard des femmes et la violence domestique.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rsidR="004F2671">
        <w:rPr>
          <w:rFonts w:ascii="Palatino Linotype" w:hAnsi="Palatino Linotype"/>
          <w:sz w:val="16"/>
        </w:rPr>
        <w:tab/>
      </w:r>
      <w:r>
        <w:rPr>
          <w:rFonts w:ascii="Palatino Linotype" w:hAnsi="Palatino Linotype"/>
        </w:rPr>
        <w:t>Afin d’assurer une mise en œuvre effective de ses dispositions par les Parties, la présente Convention établit un mécanisme de suivi spécifique.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 – Champ d’application de la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La présente Convention s’applique à toutes les formes de violence à l’égard des femmes, y compris la violence domestique, qui affecte les femmes de manière disproportionnée.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sont encouragées à appliquer la présente Convention à toutes les victimes de violence domestique. Les Parties portent une attention particulière aux femmes victimes de violence fondée sur le genre dans la mise en œuvre des dispositions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La présente Convention s’applique en temps de paix et en situation de conflit armé.</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 – Définitions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Aux fins de la présente Convention</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 xml:space="preserve">le terme </w:t>
      </w:r>
      <w:r w:rsidR="007B7432">
        <w:rPr>
          <w:rFonts w:ascii="Palatino Linotype" w:hAnsi="Palatino Linotype"/>
        </w:rPr>
        <w:t>«</w:t>
      </w:r>
      <w:r w:rsidR="00E01CD8">
        <w:rPr>
          <w:rFonts w:ascii="Palatino Linotype" w:hAnsi="Palatino Linotype"/>
        </w:rPr>
        <w:t>violence à l’égard des femmes</w:t>
      </w:r>
      <w:r w:rsidR="007B7432">
        <w:rPr>
          <w:rFonts w:ascii="Palatino Linotype" w:hAnsi="Palatino Linotype"/>
        </w:rPr>
        <w:t>»</w:t>
      </w:r>
      <w:r w:rsidR="00E01CD8">
        <w:rPr>
          <w:rFonts w:ascii="Palatino Linotype" w:hAnsi="Palatino Linotype"/>
        </w:rPr>
        <w:t xml:space="preserve"> doit être compris comme une violation des droits de l’homme et une forme de discrimination à l’égard des femmes, et désigne tous les actes de violence fondés sur le genre qui entraînent, ou sont susceptibles d’entraîner pour les femmes, des dommages ou souffrances de nature physique, sexuelle, psychologique ou économique, y compris la menace de se livrer à de tels actes, la contrainte ou la privation arbitraire de liberté, que ce soit dans la vie publique ou privée;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 xml:space="preserve">le terme </w:t>
      </w:r>
      <w:r w:rsidR="007B7432">
        <w:rPr>
          <w:rFonts w:ascii="Palatino Linotype" w:hAnsi="Palatino Linotype"/>
        </w:rPr>
        <w:t>«</w:t>
      </w:r>
      <w:r w:rsidR="00E01CD8">
        <w:rPr>
          <w:rFonts w:ascii="Palatino Linotype" w:hAnsi="Palatino Linotype"/>
        </w:rPr>
        <w:t>violence domestique</w:t>
      </w:r>
      <w:r w:rsidR="007B7432">
        <w:rPr>
          <w:rFonts w:ascii="Palatino Linotype" w:hAnsi="Palatino Linotype"/>
        </w:rPr>
        <w:t>»</w:t>
      </w:r>
      <w:r w:rsidR="00E01CD8">
        <w:rPr>
          <w:rFonts w:ascii="Palatino Linotype" w:hAnsi="Palatino Linotype"/>
        </w:rPr>
        <w:t xml:space="preserve"> désigne tous les actes de violence physique, sexuelle, psychologique ou économique qui surviennent au sein de la famille ou du foyer ou entre des anciens ou actuels conjoints ou partenaires, indépendamment du fait que l’auteur de l’infraction partage ou a partagé le même domicile que la victime;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 xml:space="preserve">le terme </w:t>
      </w:r>
      <w:r w:rsidR="007B7432">
        <w:rPr>
          <w:rFonts w:ascii="Palatino Linotype" w:hAnsi="Palatino Linotype"/>
        </w:rPr>
        <w:t>«</w:t>
      </w:r>
      <w:r w:rsidR="00E01CD8">
        <w:rPr>
          <w:rFonts w:ascii="Palatino Linotype" w:hAnsi="Palatino Linotype"/>
        </w:rPr>
        <w:t>genre</w:t>
      </w:r>
      <w:r w:rsidR="007B7432">
        <w:rPr>
          <w:rFonts w:ascii="Palatino Linotype" w:hAnsi="Palatino Linotype"/>
        </w:rPr>
        <w:t>»</w:t>
      </w:r>
      <w:r w:rsidR="00E01CD8">
        <w:rPr>
          <w:rFonts w:ascii="Palatino Linotype" w:hAnsi="Palatino Linotype"/>
        </w:rPr>
        <w:t xml:space="preserve"> désigne les rôles, les comportements, les activités et les attributions socialement construits, qu’une société donnée considère comme appropriés pour les femmes et les hommes;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d</w:t>
      </w:r>
      <w:r w:rsidR="004F5624">
        <w:rPr>
          <w:rFonts w:ascii="Palatino Linotype" w:hAnsi="Palatino Linotype"/>
          <w:sz w:val="16"/>
        </w:rPr>
        <w:tab/>
      </w:r>
      <w:r w:rsidR="00E01CD8">
        <w:rPr>
          <w:rFonts w:ascii="Palatino Linotype" w:hAnsi="Palatino Linotype"/>
        </w:rPr>
        <w:t xml:space="preserve">le terme </w:t>
      </w:r>
      <w:r w:rsidR="007B7432">
        <w:rPr>
          <w:rFonts w:ascii="Palatino Linotype" w:hAnsi="Palatino Linotype"/>
        </w:rPr>
        <w:t>«</w:t>
      </w:r>
      <w:r w:rsidR="00E01CD8">
        <w:rPr>
          <w:rFonts w:ascii="Palatino Linotype" w:hAnsi="Palatino Linotype"/>
        </w:rPr>
        <w:t>violence à l’égard des femmes fondée sur le genre</w:t>
      </w:r>
      <w:r w:rsidR="007B7432">
        <w:rPr>
          <w:rFonts w:ascii="Palatino Linotype" w:hAnsi="Palatino Linotype"/>
        </w:rPr>
        <w:t>»</w:t>
      </w:r>
      <w:r w:rsidR="00E01CD8">
        <w:rPr>
          <w:rFonts w:ascii="Palatino Linotype" w:hAnsi="Palatino Linotype"/>
        </w:rPr>
        <w:t xml:space="preserve"> désigne toute violence faite à l’égard d’une femme parce qu’elle est une femme ou affectant les femmes de manière disproportionnée;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e</w:t>
      </w:r>
      <w:r w:rsidR="004F5624">
        <w:rPr>
          <w:rFonts w:ascii="Palatino Linotype" w:hAnsi="Palatino Linotype"/>
          <w:sz w:val="16"/>
        </w:rPr>
        <w:tab/>
      </w:r>
      <w:r w:rsidR="00E01CD8">
        <w:rPr>
          <w:rFonts w:ascii="Palatino Linotype" w:hAnsi="Palatino Linotype"/>
        </w:rPr>
        <w:t xml:space="preserve">le terme </w:t>
      </w:r>
      <w:r w:rsidR="007B7432">
        <w:rPr>
          <w:rFonts w:ascii="Palatino Linotype" w:hAnsi="Palatino Linotype"/>
        </w:rPr>
        <w:t>«</w:t>
      </w:r>
      <w:r w:rsidR="00E01CD8">
        <w:rPr>
          <w:rFonts w:ascii="Palatino Linotype" w:hAnsi="Palatino Linotype"/>
        </w:rPr>
        <w:t>victime</w:t>
      </w:r>
      <w:r w:rsidR="007B7432">
        <w:rPr>
          <w:rFonts w:ascii="Palatino Linotype" w:hAnsi="Palatino Linotype"/>
        </w:rPr>
        <w:t>»</w:t>
      </w:r>
      <w:r w:rsidR="00E01CD8">
        <w:rPr>
          <w:rFonts w:ascii="Palatino Linotype" w:hAnsi="Palatino Linotype"/>
        </w:rPr>
        <w:t xml:space="preserve"> désigne toute personne physique qui est soumise aux comportements spécifiés aux points a et b;</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CC4B9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f</w:t>
      </w:r>
      <w:r w:rsidR="00E01CD8">
        <w:tab/>
      </w:r>
      <w:r w:rsidR="00E01CD8">
        <w:rPr>
          <w:rFonts w:ascii="Palatino Linotype" w:hAnsi="Palatino Linotype"/>
        </w:rPr>
        <w:t xml:space="preserve">le terme </w:t>
      </w:r>
      <w:r w:rsidR="007B7432">
        <w:rPr>
          <w:rFonts w:ascii="Palatino Linotype" w:hAnsi="Palatino Linotype"/>
        </w:rPr>
        <w:t>«</w:t>
      </w:r>
      <w:r w:rsidR="00E01CD8">
        <w:rPr>
          <w:rFonts w:ascii="Palatino Linotype" w:hAnsi="Palatino Linotype"/>
        </w:rPr>
        <w:t>femme</w:t>
      </w:r>
      <w:r w:rsidR="007B7432">
        <w:rPr>
          <w:rFonts w:ascii="Palatino Linotype" w:hAnsi="Palatino Linotype"/>
        </w:rPr>
        <w:t>»</w:t>
      </w:r>
      <w:r w:rsidR="00E01CD8">
        <w:rPr>
          <w:rFonts w:ascii="Palatino Linotype" w:hAnsi="Palatino Linotype"/>
        </w:rPr>
        <w:t xml:space="preserve"> inclut les filles de moins de 18 ans.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 – Droits fondamentaux, égalité et non-discrimination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et autres nécessaires pour promouvoir et protéger le droit de chacun, en particulier des femmes, de vivre à l’abri de la violence aussi bien dans la sphère publique que dans la sphère privée.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condamnent toutes les formes de discrimination à l’égard des femmes et prennent, sans retard, les mesures législatives et autres nécessaires pour la prévenir, en particulier</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en inscrivant dans leurs constitutions nationales ou toute autre disposition législative appropriée, le principe de l’égalité entre les femmes et les hommes, et en assurant l’application effective dudit principe;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D566F7">
        <w:rPr>
          <w:rFonts w:ascii="Palatino Linotype" w:hAnsi="Palatino Linotype"/>
        </w:rPr>
        <w:tab/>
      </w:r>
      <w:r w:rsidR="00E01CD8">
        <w:rPr>
          <w:rFonts w:ascii="Palatino Linotype" w:hAnsi="Palatino Linotype"/>
        </w:rPr>
        <w:t>en interdisant la discrimination à l’égard des femmes, y compris le cas échéant par le recours à des sanctions;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D566F7">
        <w:rPr>
          <w:rFonts w:ascii="Palatino Linotype" w:hAnsi="Palatino Linotype"/>
        </w:rPr>
        <w:tab/>
      </w:r>
      <w:r w:rsidR="00E01CD8">
        <w:rPr>
          <w:rFonts w:ascii="Palatino Linotype" w:hAnsi="Palatino Linotype"/>
        </w:rPr>
        <w:t>en abrogeant toutes les lois et pratiques qui discriminent les femmes.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La mise en œuvre des dispositions de la présente Convention par les Parties, en particulier les mesures visant à protéger les droits des victimes, doit être assurée sans discrimination aucune, fondée notamment sur le sexe, le genre, la race, la couleur, la langue, la religion, les opinions politiques ou toute autre opinion, l’origine nationale ou sociale, l’appartenance à une minorité nationale, la fortune, la naissance, l’orientation sexuelle, l’identité de genre, l’âge, l’état de santé, le handicap, le statut marital, le statut de migrant ou de réfugié, ou toute autre situation.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Les mesures spécifiques qui sont nécessaires pour prévenir et protéger les femmes contre la violence fondée sur le genre ne sont pas considérées comme discriminatoires en vertu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 – Obligations de l’</w:t>
      </w:r>
      <w:r w:rsidR="00D566F7">
        <w:rPr>
          <w:rFonts w:ascii="Palatino Linotype" w:hAnsi="Palatino Linotype"/>
          <w:b/>
        </w:rPr>
        <w:t>É</w:t>
      </w:r>
      <w:r w:rsidR="00E01CD8">
        <w:rPr>
          <w:rFonts w:ascii="Palatino Linotype" w:hAnsi="Palatino Linotype"/>
          <w:b/>
        </w:rPr>
        <w:t>tat et diligence voulue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s’abstiennent de commettre tout acte de violence à l’égard des femmes et s’assurent que les autorités, les fonctionnaires, les agents et les institutions étatiques, ainsi que les autres acteurs qui agissent au nom de l’</w:t>
      </w:r>
      <w:r w:rsidR="00D566F7">
        <w:rPr>
          <w:rFonts w:ascii="Palatino Linotype" w:hAnsi="Palatino Linotype"/>
        </w:rPr>
        <w:t>É</w:t>
      </w:r>
      <w:r>
        <w:rPr>
          <w:rFonts w:ascii="Palatino Linotype" w:hAnsi="Palatino Linotype"/>
        </w:rPr>
        <w:t>tat se comportent conformément à cette obligation.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et autres nécessaires pour agir avec la diligence voulue afin de prévenir, enquêter sur, punir, et accorder une réparation pour les actes de violence couverts par le champ d’application de la présente Convention commis par des acteurs non étatiques.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 – Politiques sensibles au genre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s’engagent à inclure une perspective de genre dans la mise en œuvre et l’évaluation de l’impact des dispositions de la présente Convention et à promouvoir et mettre en œuvre de manière effective des politiques d’égalité entre les femmes et les hommes, et d’autonomisation des femmes.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II – Politiques intégrées et collecte des données</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 – Politiques globales et coordonnées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et autres nécessaires pour adopter et mettre en œuvre des politiques nationales effectives, globales et coordonnées, incluant toutes les mesures pertinentes pour prévenir et combattre toutes les formes de violence couvertes par le champ d’application de la présente Convention, et offrir une réponse globale à la violence à l’égard des femmes.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veillent à ce que les politiques mentionnées au paragraphe 1 placent les droits de la victime au centre de toutes les mesures et soient mises en œuvre par le biais d’une coopération effective entre toutes les agences, institutions et organisations pertinentes.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rsidR="004F2671">
        <w:rPr>
          <w:rFonts w:ascii="Palatino Linotype" w:hAnsi="Palatino Linotype"/>
          <w:sz w:val="16"/>
        </w:rPr>
        <w:tab/>
      </w:r>
      <w:r>
        <w:rPr>
          <w:rFonts w:ascii="Palatino Linotype" w:hAnsi="Palatino Linotype"/>
        </w:rPr>
        <w:t>Les mesures prises conformément au présent article doivent impliquer, le cas échéant, tous les acteurs pertinents tels que les agences gouvernementales, les parlements et les autorités nationales, régionales et locales, les institutions nationales des droits de l’homme et les organisations de la société civile.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8 – Ressources financières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allouent des ressources financières et humaines appropriées pour la mise en œuvre adéquate des politiques intégrées, mesures et programmes visant à prévenir et combattre toutes les formes de violence couvertes par le champ d’application de la présente Convention, y compris ceux réalisés par les organisations non gouvernementales et la société civile.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9 – Organisations non gouvernementales et société civile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reconnaissent, encouragent et soutiennent, à tous les niveaux, le travail des organisations non gouvernementales pertinentes et de la société civile qui sont actives dans la lutte contre la violence à l’égard des femmes et établissent une coopération effective avec ces organisations.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10 – Organe de coordination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désignent ou établissent un ou plusieurs organes officiels responsables pour la coordination, la mise en œuvre, le suivi et l’évaluation des politiques et des mesures prises afin de prévenir et combattre toutes les formes de violence couvertes par la présente Convention. Ces organes coordonnent la collecte des données mentionnées à l’article 11, analysent et en diffusent les résultats.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veillent à ce que les organes désignés ou établis conformément au présent article reçoivent des informations de nature générale portant sur les mesures prises conformément au chapitre VIII.</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rsidR="004F2671">
        <w:rPr>
          <w:rFonts w:ascii="Palatino Linotype" w:hAnsi="Palatino Linotype"/>
          <w:sz w:val="16"/>
        </w:rPr>
        <w:tab/>
      </w:r>
      <w:r>
        <w:rPr>
          <w:rFonts w:ascii="Palatino Linotype" w:hAnsi="Palatino Linotype"/>
        </w:rPr>
        <w:t>Les Parties veillent à ce que les organes désignés ou établis conformément au présent article aient la capacité de communiquer directement et d’encourager des relations avec leurs homologues dans les autres Parties.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sidR="00E3780D">
        <w:tab/>
      </w:r>
      <w:r w:rsidR="00E3780D">
        <w:tab/>
      </w:r>
      <w:r>
        <w:rPr>
          <w:rFonts w:ascii="Palatino Linotype" w:hAnsi="Palatino Linotype"/>
          <w:b/>
        </w:rPr>
        <w:t>Article 11 – Collecte des données et recherche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Aux fins de la mise en œuvre de la présente Convention, les Parties s’engagent</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à collecter les données statistiques désagrégées pertinentes, à intervalle régulier, sur les affaires relatives à toutes les formes de violence couvertes par le champ d’application de la présente Convention;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3780D">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à soutenir la recherche dans les domaines relatifs à toutes les formes de violence couvertes par le champ d’application de la présente Convention, afin d’étudier leurs causes profondes et leurs effets, leur fréquence et les taux de condamnation, ainsi que l’efficacité des mesures prises pour mettre en œuvre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s’efforcent d’effectuer des enquêtes basées sur la population, à intervalle régulier, afin d’évaluer l’étendue et les tendances de toutes les formes de violence couvertes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rsidR="004F2671">
        <w:rPr>
          <w:rFonts w:ascii="Palatino Linotype" w:hAnsi="Palatino Linotype"/>
          <w:sz w:val="16"/>
        </w:rPr>
        <w:tab/>
      </w:r>
      <w:r>
        <w:rPr>
          <w:rFonts w:ascii="Palatino Linotype" w:hAnsi="Palatino Linotype"/>
        </w:rPr>
        <w:t>Les Parties fournissent les informations collectées conformément au présent article au groupe d’experts, mentionné à l’article 66 de la présente Convention, afin de stimuler la coopération internationale et de permettre une comparaison internationale.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Les Parties veillent à ce que les informations collectées conformément au présent article soient mises à la disposition du public.</w:t>
      </w:r>
    </w:p>
    <w:p w:rsidR="00E01CD8" w:rsidRDefault="00E01CD8">
      <w:pPr>
        <w:tabs>
          <w:tab w:val="left" w:pos="426"/>
          <w:tab w:val="left" w:pos="851"/>
          <w:tab w:val="left" w:pos="1276"/>
          <w:tab w:val="left" w:pos="1701"/>
        </w:tabs>
        <w:ind w:left="851" w:hanging="851"/>
        <w:jc w:val="both"/>
        <w:rPr>
          <w:rFonts w:ascii="Palatino Linotype" w:hAnsi="Palatino Linotype"/>
          <w:szCs w:val="20"/>
          <w:u w:val="single"/>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III – Prévention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12 – Obligations générales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nécessaires pour promouvoir les changements dans les modes de comportement socioculturels des femmes et des hommes en vue d’éradiquer les préjugés, les coutumes, les traditions et toute autre pratique fondés sur l’idée de l’infériorité des femmes ou sur un rôle stéréotypé des femmes et des hommes.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et autres nécessaires afin de prévenir toutes les formes de violence couvertes par le champ d’application de la présente Convention par toute personne physique ou morale.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Toutes les mesures prises conformément au présent chapitre tiennent compte et traitent des besoins spécifiques des personnes rendues vulnérables du fait de circonstances particulières, et placent les droits de l’homme de toutes les victimes en leur centre.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Les Parties prennent les mesures nécessaires afin d’encourager tous les membres de la société, en particulier les hommes et les garçons, à contribuer activement à la prévention de toutes les formes de violence couvertes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5</w:t>
      </w:r>
      <w:r w:rsidR="004F2671">
        <w:rPr>
          <w:rFonts w:ascii="Palatino Linotype" w:hAnsi="Palatino Linotype"/>
          <w:sz w:val="16"/>
        </w:rPr>
        <w:tab/>
      </w:r>
      <w:r>
        <w:rPr>
          <w:rFonts w:ascii="Palatino Linotype" w:hAnsi="Palatino Linotype"/>
        </w:rPr>
        <w:t xml:space="preserve">Les Parties veillent à ce que la culture, la coutume, la religion, la tradition ou le prétendu </w:t>
      </w:r>
      <w:r w:rsidR="007B7432">
        <w:rPr>
          <w:rFonts w:ascii="Palatino Linotype" w:hAnsi="Palatino Linotype"/>
        </w:rPr>
        <w:t>«</w:t>
      </w:r>
      <w:r>
        <w:rPr>
          <w:rFonts w:ascii="Palatino Linotype" w:hAnsi="Palatino Linotype"/>
        </w:rPr>
        <w:t>honneur</w:t>
      </w:r>
      <w:r w:rsidR="007B7432">
        <w:rPr>
          <w:rFonts w:ascii="Palatino Linotype" w:hAnsi="Palatino Linotype"/>
        </w:rPr>
        <w:t>»</w:t>
      </w:r>
      <w:r>
        <w:rPr>
          <w:rFonts w:ascii="Palatino Linotype" w:hAnsi="Palatino Linotype"/>
        </w:rPr>
        <w:t xml:space="preserve"> ne soient pas considérés comme justifiant des actes de violence couverts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 w:val="16"/>
          <w:szCs w:val="20"/>
        </w:rPr>
      </w:pPr>
      <w:r>
        <w:br w:type="page"/>
      </w: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6</w:t>
      </w:r>
      <w:r>
        <w:tab/>
      </w:r>
      <w:r>
        <w:rPr>
          <w:rFonts w:ascii="Palatino Linotype" w:hAnsi="Palatino Linotype"/>
        </w:rPr>
        <w:t>Les Parties prennent les mesures nécessaires pour promouvoir des programmes et des activités visant l’autonomisation des femmes.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13 – Sensibilisation</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promeuvent ou conduisent, régulièrement et à tous les niveaux, des campagnes ou des programmes de sensibilisation y compris en coopération avec les institutions nationales des droits de l’homme et les organes compétents en matière d’égalité, la société civile et les organisations non gouvernementales, notamment les organisations de femmes, le cas échéant, pour accroître la prise de conscience et la compréhension par le grand public des différentes manifestations de toutes les formes de violence couvertes par le champ d’application de la présente Convention et leurs conséquences sur les enfants, et de la nécessité de les prévenir.</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assurent une large diffusion parmi le grand public d’informations sur les mesures disponibles pour prévenir les actes de violence couverts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 xml:space="preserve">Article 14 – </w:t>
      </w:r>
      <w:r w:rsidR="00D566F7">
        <w:rPr>
          <w:rFonts w:ascii="Palatino Linotype" w:hAnsi="Palatino Linotype"/>
          <w:b/>
        </w:rPr>
        <w:t>É</w:t>
      </w:r>
      <w:r w:rsidR="00E01CD8">
        <w:rPr>
          <w:rFonts w:ascii="Palatino Linotype" w:hAnsi="Palatino Linotype"/>
          <w:b/>
        </w:rPr>
        <w:t>ducation</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entreprennent, le cas échéant, les actions nécessaires pour inclure dans les programmes d’étude officiels et à tous les niveaux d’enseignement du matériel d’enseignement sur des sujets tels que l’égalité entre les femmes et les hommes, les rôles non stéréotypés des genres, le respect mutuel, la résolution non violente des conflits dans les relations interpersonnelles, la violence à l’égard des femmes fondée sur le genre, et le droit à l’intégrité personnelle, adapté au stade de développement des apprenants.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tab/>
      </w:r>
      <w:r>
        <w:rPr>
          <w:rFonts w:ascii="Palatino Linotype" w:hAnsi="Palatino Linotype"/>
          <w:sz w:val="16"/>
        </w:rPr>
        <w:t>2</w:t>
      </w:r>
      <w:r>
        <w:tab/>
      </w:r>
      <w:r>
        <w:rPr>
          <w:rFonts w:ascii="Palatino Linotype" w:hAnsi="Palatino Linotype"/>
        </w:rPr>
        <w:t>Les Parties entreprennent les actions nécessaires pour promouvoir les principes mentionnés au paragraphe 1 dans les structures éducatives informelles ainsi que dans les structures sportives, culturelles et de loisirs, et les médias.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15 – Formation des professionnels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dispensent ou renforcent la formation adéquate des professionnels pertinents ayant affaire aux victimes ou aux auteurs de tous les actes de violence couverts par le champ d’application de la présente Convention, sur la prévention et la détection de cette violence, l’égalité entre les femmes et les hommes, les besoins et les droits des victimes, ainsi que sur la manière de prévenir la victimisation secondaire.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rsidR="004F2671">
        <w:rPr>
          <w:rFonts w:ascii="Palatino Linotype" w:hAnsi="Palatino Linotype"/>
          <w:sz w:val="16"/>
        </w:rPr>
        <w:tab/>
      </w:r>
      <w:r>
        <w:rPr>
          <w:rFonts w:ascii="Palatino Linotype" w:hAnsi="Palatino Linotype"/>
        </w:rPr>
        <w:t>Les Parties encouragent l’inclusion dans la formation mentionnée au paragraphe 1, d’une formation sur la coopération coordonnée interinstitutionnelle afin de permettre une gestion globale et adéquate des orientations dans les affaires de violence couverte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sidR="00E3780D">
        <w:tab/>
      </w:r>
      <w:r w:rsidR="00E3780D">
        <w:tab/>
      </w:r>
      <w:r>
        <w:rPr>
          <w:rFonts w:ascii="Palatino Linotype" w:hAnsi="Palatino Linotype"/>
          <w:b/>
        </w:rPr>
        <w:t>Article 16 – Programmes préventifs d’intervention et de traitement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établir ou soutenir des programmes visant à apprendre aux auteurs de violence domestique à adopter un comportement non violent dans les relations interpersonnelles en vue de prévenir de nouvelles violences et de changer les schémas comportementaux violents.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établir ou soutenir des programmes de traitement destinés à prévenir la récidive des auteurs d’infractions, en particulier des auteurs d’infractions à caractère sexuel.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En prenant les mesures mentionnées aux paragraphes 1 et 2, les Parties veillent à ce que la sécurité, le soutien et les droits de l’homme des victimes soient une priorité et que, le cas échéant, ces programmes soient établis et mis en œuvre en étroite coordination avec les services spécialisés dans le soutien aux victimes.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17 – Participation du secteur privé et des médias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encouragent le secteur privé, le secteur des technologies de l’information et de la communication et les médias, dans le respect de la liberté d’expression et de leur indépendance, à participer à l’élaboration et à la mise en œuvre des politiques, ainsi qu’à mettre en place des lignes directrices et des normes d’autorégulation pour prévenir la violence à l’égard des femmes et renforcer le respect de leur dignité.</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développent et promeuvent, en coopération avec les acteurs du secteur privé, les capacités des enfants, parents et éducateurs à faire face à un environnement des technologies de l’information et de la communication qui donne accès à des contenus dégradants à caractère sexuel ou violent qui peuvent être nuisibles.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IV – Protection et soutien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18 – Obligations générales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protéger toutes les victimes contre tout nouvel acte de violence.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conformément à leur droit interne, pour veiller à ce qu’il existe des mécanismes adéquats pour mettre en œuvre une coopération effective entre toutes les agences étatiques pertinentes, y compris les autorités judiciaires, les procureurs, les services répressifs, les autorités locales et régionales, ainsi que les organisations non gouvernementales et les autres organisations ou entités pertinentes pour la protection et le soutien des victimes et des témoins de toutes les formes de violence couvertes par le champ d’application de la présente Convention, y compris en se référant aux services de soutien généraux et spécialisés visés aux articles 20 et 22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Les Parties veillent à ce que les mesures prises conformément à ce chapitre: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br w:type="page"/>
      </w:r>
      <w:r>
        <w:tab/>
      </w:r>
      <w:r>
        <w:tab/>
      </w:r>
      <w:r w:rsidR="00E01CD8">
        <w:rPr>
          <w:rFonts w:ascii="Palatino Linotype" w:hAnsi="Palatino Linotype"/>
        </w:rPr>
        <w:t>–</w:t>
      </w:r>
      <w:r w:rsidR="004F2671">
        <w:rPr>
          <w:rFonts w:ascii="Palatino Linotype" w:hAnsi="Palatino Linotype"/>
        </w:rPr>
        <w:tab/>
      </w:r>
      <w:r w:rsidR="00E01CD8">
        <w:rPr>
          <w:rFonts w:ascii="Palatino Linotype" w:hAnsi="Palatino Linotype"/>
        </w:rPr>
        <w:t>soient fondées sur une compréhension fondée sur le genre de la violence à l’égard des femmes et de la violence domestique, et se concentrent sur les droits de l’homme et la sécurité de la victime;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4F2671">
        <w:rPr>
          <w:rFonts w:ascii="Palatino Linotype" w:hAnsi="Palatino Linotype"/>
        </w:rPr>
        <w:tab/>
      </w:r>
      <w:r w:rsidR="00E01CD8">
        <w:rPr>
          <w:rFonts w:ascii="Palatino Linotype" w:hAnsi="Palatino Linotype"/>
        </w:rPr>
        <w:t>soient fondées sur une approche intégrée qui prenne en considération la relation entre les victimes, les auteurs des infractions, les enfants et leur environnement social plus large;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visent à éviter la victimisation secondaire;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visent l’autonomisation et l’indépendance économique des femmes victimes de violence;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permettent, le cas échéant, la mise en place d’un ensemble de services de protection et de soutien dans les mêmes locaux;</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D14D9">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4F2671">
        <w:rPr>
          <w:rFonts w:ascii="Palatino Linotype" w:hAnsi="Palatino Linotype"/>
        </w:rPr>
        <w:tab/>
      </w:r>
      <w:r w:rsidR="00E01CD8">
        <w:rPr>
          <w:rFonts w:ascii="Palatino Linotype" w:hAnsi="Palatino Linotype"/>
        </w:rPr>
        <w:t>répondent aux besoins spécifiques des personnes vulnérables, y compris les enfants victimes, et leur soient accessibles.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La fourniture de services ne doit pas dépendre de la volonté des victimes d’engager des poursuites ou de témoigner contre tout auteur d’infraction.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5</w:t>
      </w:r>
      <w:r>
        <w:tab/>
      </w:r>
      <w:r>
        <w:rPr>
          <w:rFonts w:ascii="Palatino Linotype" w:hAnsi="Palatino Linotype"/>
        </w:rPr>
        <w:t>Les Parties prennent les mesures adéquates pour garantir une protection consulaire ou autre, et un soutien à leurs ressortissants et aux autres victimes ayant droit à cette protection conformément à leurs obligations découlant du droit international.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19 – Information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que les victimes reçoivent une information adéquate et en temps opportun sur les services de soutien et les mesures légales disponibles, dans une langue qu’elles comprennent.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20 – Services de soutien généraux</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les victimes aient accès à des services facilitant leur rétablissement. Ces mesures devraient inclure, si nécessaire, des services tels que le conseil juridique et psychologique, l’assistance financière, les services de logement, l’éducation, la formation et l’assistance en matière de recherche d’emploi.</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que les victimes aient accès à des services de santé et des services sociaux, que les services disposent des ressources adéquates et que les professionnels soient formés afin de fournir une assistance aux victimes et de les orienter vers les services adéquats.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21 – Soutien en matière de plaintes individuelles/collectives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veillent à ce que les victimes bénéficient d’informations sur les mécanismes régionaux et internationaux de plaintes individuelles/collectives applicables et de l’accès à ces mécanismes. Les Parties promeuvent la mise à disposition d’un soutien sensible et avisé aux victimes dans la présentation de leurs plaintes.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sidR="00E3780D">
        <w:tab/>
      </w:r>
      <w:r w:rsidR="00E3780D">
        <w:tab/>
      </w:r>
      <w:r>
        <w:rPr>
          <w:rFonts w:ascii="Palatino Linotype" w:hAnsi="Palatino Linotype"/>
          <w:b/>
        </w:rPr>
        <w:t>Article 22 – Services de soutien spécialisés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fournir ou aménager, selon une répartition géographique adéquate, des services de soutien spécialisés immédiats, à court et à long terme, à toute victime ayant fait l’objet de tout acte de violence couvert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fournissent ou aménagent des services de soutien spécialisés pour toutes les femmes victimes de violence et leurs enfants.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23 – Refuges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permettre la mise en place de refuges appropriés, facilement accessibles et en nombre suffisant, afin d’offrir des logements sûrs pour les victimes, en particulier les femmes et leurs enfants, et pour les aider de manière proactive.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24 – Permanences téléphoniques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mettre en place à l’échelle nationale des permanences téléphoniques gratuites, accessibles vingt-quatre heures sur vingt-quatre, sept jours sur sept, pour fournir aux personnes qui appellent, de manière confidentielle ou dans le respect de leur anonymat, des conseils concernant toutes les formes de violence couvertes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25 – Soutien aux victimes de violence sexuelle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permettre la mise en place de centres d’aide d’urgence pour les victimes de viols et de violences sexuelles, appropriés, facilement accessibles et en nombre suffisant, afin de leur dispenser un examen médical et médico-légal, un soutien lié au traumatisme et des conseils.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26 – Protection et soutien des enfants témoins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dans l’offre des services de protection et de soutien aux victimes, les droits et les besoins des enfants témoins de toutes les formes de violence couvertes par le champ d’application de la présente Convention soient dûment pris en compte.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mesures prises conformément au présent article incluent les conseils psychosociaux adaptés à l’âge des enfants témoins de toutes les formes de violence couvertes par le champ d’application de la présente Convention et tiennent dûment compte de l’intérêt supérieur de l’enfant.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27 – Signalement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rPr>
        <w:t>Les Parties prennent les mesures nécessaires pour encourager toute personne témoin de la commission de tout acte de violence couvert par le champ d’application de la présente Convention, ou qui a de sérieuses raisons de croire qu’un tel acte pourrait être commis ou que des nouveaux actes de violence sont à craindre, à les signaler aux organisations ou autorités compétentes.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sidR="00E3780D">
        <w:tab/>
      </w:r>
      <w:r w:rsidR="00E3780D">
        <w:tab/>
      </w:r>
      <w:r>
        <w:rPr>
          <w:rFonts w:ascii="Palatino Linotype" w:hAnsi="Palatino Linotype"/>
          <w:b/>
        </w:rPr>
        <w:t>Article 28 – Signalement par les professionnels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D14D9">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nécessaires pour que les règles de confidentialité imposées par leur droit interne à certains professionnels ne constituent pas un obstacle à la possibilité, dans les conditions appropriées, d’adresser un signalement aux organisations ou autorités compétentes s’ils ont de sérieuses raisons de croire qu’un acte grave de violence couvert par le champ d’application de la présente Convention a été commis et que de nouveaux actes graves de violence sont à craindre.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rPr>
          <w:rFonts w:ascii="Palatino Linotype" w:hAnsi="Palatino Linotype"/>
          <w:b/>
        </w:rPr>
        <w:t>Chapitre V – Droit matériel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29 – Procès civil et voies de droit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fournir aux victimes des recours civils adéquats à l’encontre de l’auteur de l’infraction.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Conformément aux principes généraux du droit international, les Parties prennent les mesures législatives ou autres nécessaires pour fournir aux victimes des réparations civiles adéquates à l’encontre des autorités étatiques ayant manqué à leur devoir de prendre des mesures de prévention ou de protection nécessaires dans la limite de leurs pouvoirs.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30 – Indemnisation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les victimes aient le droit de demander une indemnisation de la part des auteurs de toute infraction établie conformément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 xml:space="preserve">Une indemnisation adéquate par </w:t>
      </w:r>
      <w:r w:rsidR="00D566F7">
        <w:rPr>
          <w:rFonts w:ascii="Palatino Linotype" w:hAnsi="Palatino Linotype"/>
        </w:rPr>
        <w:t>É</w:t>
      </w:r>
      <w:r>
        <w:rPr>
          <w:rFonts w:ascii="Palatino Linotype" w:hAnsi="Palatino Linotype"/>
        </w:rPr>
        <w:t>tat devrait être octroyée à ceux qui ont subi des atteintes graves à l’intégrité corporelle ou à la santé, dans la mesure où le préjudice n’est pas couvert par d’autres sources, notamment par l’auteur de l’infraction, par les assurances ou par les services sociaux et médicaux financés par l’</w:t>
      </w:r>
      <w:r w:rsidR="00D566F7">
        <w:rPr>
          <w:rFonts w:ascii="Palatino Linotype" w:hAnsi="Palatino Linotype"/>
        </w:rPr>
        <w:t>É</w:t>
      </w:r>
      <w:r>
        <w:rPr>
          <w:rFonts w:ascii="Palatino Linotype" w:hAnsi="Palatino Linotype"/>
        </w:rPr>
        <w:t>tat. Cela n’empêche pas les Parties de demander à l’auteur de l’infraction le remboursement de l’indemnisation octroyée, à condition que la sécurité de la victime soit dûment prise en compte.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Les mesures prises conformément au paragraphe 2 doivent garantir l’octroi de l’indemnisation dans un délai raisonnable.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31 – Garde, droit de visite et sécurité</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lors de la détermination des droits de garde et de visite concernant les enfants, les incidents de violence couverts par le champ d’application de la présente Convention soient pris en compte.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que l’exercice de tout droit de visite ou de garde ne compromette pas les droits et la sécurité de la victime ou des enfants.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b/>
          <w:szCs w:val="20"/>
        </w:rPr>
      </w:pPr>
      <w:r>
        <w:br w:type="page"/>
      </w:r>
      <w:r>
        <w:tab/>
      </w:r>
      <w:r>
        <w:tab/>
      </w:r>
      <w:r w:rsidR="00E01CD8">
        <w:rPr>
          <w:rFonts w:ascii="Palatino Linotype" w:hAnsi="Palatino Linotype"/>
          <w:b/>
        </w:rPr>
        <w:t>Article 32 – Conséquences civiles des mariages forcés</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0122C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que les mariages contractés en ayant recours à la force puissent être annulables, annulés ou dissous sans faire peser sur la victime une charge financière ou administrative excessive.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33 – Violence psychologique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ériger en infraction pénale le fait, lorsqu’il est commis intentionnellement, de porter gravement atteinte à l’intégrité psychologique d’une personne par la contrainte ou les menaces.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b/>
        </w:rPr>
        <w:t>Article 34 – Harcèlement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ériger en infraction pénale le fait, lorsqu’il est commis intentionnellement, d’adopter, à plusieurs reprises, un comportement menaçant dirigé envers une autre personne, conduisant celle-ci à craindre pour sa sécurité.</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35 – Violence physique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ériger en infraction pénale le fait, lorsqu’il est commis intentionnellement, de commettre des actes de violence physique à l’égard d’une autre personne.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b/>
        </w:rPr>
        <w:t>Article 36 – Violence sexuelle, y compris le viol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ériger en infraction pénale, lorsqu’ils sont commis intentionnellement: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0122C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la pénétration vaginale, anale ou orale non consentie, à caractère sexuel, du corps d’autrui avec toute partie du corps ou avec un objet;</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122C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les autres actes à caractère sexuel non consentis sur autrui;</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0122C1">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le fait de contraindre autrui à se livrer à des actes à caractère sexuel non consentis avec un tiers.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 consentement doit être donné volontairement comme résultat de la volonté libre de la personne considérée dans le contexte des circonstances environnantes.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Les Parties prennent les mesures législatives ou autres nécessaires pour que les dispositions du paragraphe 1 s’appliquent également à des actes commis contre les anciens ou actuels conjoints ou partenaires, conformément à leur droit interne.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37 – Mariages forcés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ériger en infraction pénale le fait, lorsqu’il est commis intentionnellement, de forcer un adulte ou un enfant à contracter un mariage.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tab/>
      </w:r>
      <w:r>
        <w:rPr>
          <w:rFonts w:ascii="Palatino Linotype" w:hAnsi="Palatino Linotype"/>
          <w:sz w:val="16"/>
        </w:rPr>
        <w:t>2</w:t>
      </w:r>
      <w:r>
        <w:tab/>
      </w:r>
      <w:r>
        <w:rPr>
          <w:rFonts w:ascii="Palatino Linotype" w:hAnsi="Palatino Linotype"/>
        </w:rPr>
        <w:t xml:space="preserve">Les Parties prennent les mesures législatives ou autres nécessaires pour ériger en infraction pénale le fait, lorsqu’il est commis intentionnellement, de tromper un adulte ou un enfant afin de l’emmener sur le territoire d’une Partie ou d’un </w:t>
      </w:r>
      <w:r w:rsidR="00D566F7">
        <w:rPr>
          <w:rFonts w:ascii="Palatino Linotype" w:hAnsi="Palatino Linotype"/>
        </w:rPr>
        <w:t>É</w:t>
      </w:r>
      <w:r>
        <w:rPr>
          <w:rFonts w:ascii="Palatino Linotype" w:hAnsi="Palatino Linotype"/>
        </w:rPr>
        <w:t>tat autre que celui où il réside avec l’intention de le forcer à contracter un mariage.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38 – Mutilations génitales féminines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ériger en infraction pénale, lorsqu’ils sont commis intentionnellement: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l’excision, l’infibulation ou toute autre mutilation de la totalité ou partie des labia majora, labia minora ou clitoris d’une femme;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3780D">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le fait de contraindre une femme à subir tout acte énuméré au point a ou de lui fournir les moyens à cette fin;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3780D">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le fait d’inciter ou de contraindre une fille à subir tout acte énuméré au point a ou de lui fournir les moyens à cette fin.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39 – Avortement et stérilisation forcés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ériger en infraction pénale, lorsqu’ils sont commis intentionnellement: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r>
        <w:tab/>
      </w:r>
      <w:r>
        <w:tab/>
      </w:r>
      <w:r>
        <w:rPr>
          <w:rFonts w:ascii="Palatino Linotype" w:hAnsi="Palatino Linotype"/>
          <w:sz w:val="16"/>
        </w:rPr>
        <w:t>a</w:t>
      </w:r>
      <w:r>
        <w:tab/>
      </w:r>
      <w:r>
        <w:rPr>
          <w:rFonts w:ascii="Palatino Linotype" w:hAnsi="Palatino Linotype"/>
        </w:rPr>
        <w:t>le fait de pratiquer un avortement chez une femme sans son accord préalable et éclairé;</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r>
        <w:tab/>
      </w:r>
      <w:r>
        <w:tab/>
      </w:r>
      <w:r>
        <w:rPr>
          <w:rFonts w:ascii="Palatino Linotype" w:hAnsi="Palatino Linotype"/>
          <w:sz w:val="16"/>
        </w:rPr>
        <w:t>b</w:t>
      </w:r>
      <w:r>
        <w:tab/>
      </w:r>
      <w:r>
        <w:rPr>
          <w:rFonts w:ascii="Palatino Linotype" w:hAnsi="Palatino Linotype"/>
        </w:rPr>
        <w:t>le fait de pratiquer une intervention chirurgicale qui a pour objet ou pour effet de mettre fin à la capacité d’une femme de se reproduire naturellement sans son accord préalable et éclairé ou sans sa compréhension de la procédure.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40 – Harcèlement sexuel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rPr>
        <w:t>Les Parties prennent les mesures législatives ou autres nécessaires pour que toute forme de comportement non désiré, verbal, non-verbal ou physique, à caractère sexuel, ayant pour objet ou pour effet de violer la dignité d’une personne, en particulier lorsque ce comportement crée un environnement intimidant, hostile, dégradant, humiliant ou offensant, soit soumise à des sanctions pénales ou autres sanctions légales.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41 – Aide ou complicité et tentative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ériger en infractions pénales, lorsqu’elles sont commises intentionnellement, l’aide ou la complicité dans la commission des infractions établies conformément aux articles 33, 34, 35, 36, 37, 38.a et 39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ériger en infractions pénales, lorsqu’elles sont commises intentionnellement, les tentatives de commission des infractions établies conformément aux articles 35, 36, 37, 38.a et 39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 w:val="left" w:pos="2127"/>
        </w:tabs>
        <w:ind w:left="2127" w:hanging="2127"/>
        <w:jc w:val="both"/>
        <w:rPr>
          <w:rFonts w:ascii="Palatino Linotype" w:hAnsi="Palatino Linotype"/>
          <w:b/>
          <w:szCs w:val="20"/>
        </w:rPr>
      </w:pPr>
      <w:r>
        <w:br w:type="page"/>
      </w:r>
      <w:r w:rsidR="00E3780D">
        <w:tab/>
      </w:r>
      <w:r w:rsidR="00E3780D">
        <w:tab/>
      </w:r>
      <w:r>
        <w:rPr>
          <w:rFonts w:ascii="Palatino Linotype" w:hAnsi="Palatino Linotype"/>
          <w:b/>
        </w:rPr>
        <w:t>Article 42 –</w:t>
      </w:r>
      <w:r>
        <w:tab/>
      </w:r>
      <w:r>
        <w:rPr>
          <w:rFonts w:ascii="Palatino Linotype" w:hAnsi="Palatino Linotype"/>
          <w:b/>
        </w:rPr>
        <w:t xml:space="preserve">Justification inacceptable des infractions pénales, y compris les crimes commis au nom du prétendu </w:t>
      </w:r>
      <w:r w:rsidR="007B7432">
        <w:rPr>
          <w:rFonts w:ascii="Palatino Linotype" w:hAnsi="Palatino Linotype"/>
          <w:b/>
        </w:rPr>
        <w:t>«</w:t>
      </w:r>
      <w:r>
        <w:rPr>
          <w:rFonts w:ascii="Palatino Linotype" w:hAnsi="Palatino Linotype"/>
          <w:b/>
        </w:rPr>
        <w:t>honneur</w:t>
      </w:r>
      <w:r w:rsidR="007B7432">
        <w:rPr>
          <w:rFonts w:ascii="Palatino Linotype" w:hAnsi="Palatino Linotype"/>
          <w:b/>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tab/>
      </w:r>
      <w:r>
        <w:rPr>
          <w:rFonts w:ascii="Palatino Linotype" w:hAnsi="Palatino Linotype"/>
          <w:sz w:val="16"/>
        </w:rPr>
        <w:t>1</w:t>
      </w:r>
      <w:r>
        <w:tab/>
      </w:r>
      <w:r>
        <w:rPr>
          <w:rFonts w:ascii="Palatino Linotype" w:hAnsi="Palatino Linotype"/>
        </w:rPr>
        <w:t xml:space="preserve">Les Parties prennent les mesures législatives ou autres nécessaires pour s’assurer que, dans les procédures pénales diligentées à la suite de la commission de l’un des actes de violence couverts par le champ d’application de la présente Convention, la culture, la coutume, la religion, la tradition ou le prétendu </w:t>
      </w:r>
      <w:r w:rsidR="007B7432">
        <w:rPr>
          <w:rFonts w:ascii="Palatino Linotype" w:hAnsi="Palatino Linotype"/>
        </w:rPr>
        <w:t>«</w:t>
      </w:r>
      <w:r>
        <w:rPr>
          <w:rFonts w:ascii="Palatino Linotype" w:hAnsi="Palatino Linotype"/>
        </w:rPr>
        <w:t>honneur</w:t>
      </w:r>
      <w:r w:rsidR="007B7432">
        <w:rPr>
          <w:rFonts w:ascii="Palatino Linotype" w:hAnsi="Palatino Linotype"/>
        </w:rPr>
        <w:t>»</w:t>
      </w:r>
      <w:r>
        <w:rPr>
          <w:rFonts w:ascii="Palatino Linotype" w:hAnsi="Palatino Linotype"/>
        </w:rPr>
        <w:t xml:space="preserve"> ne soient pas considérés comme justifiant de tels actes. Cela couvre, en particulier, les allégations selon lesquelles la victime aurait transgressé des normes ou coutumes culturelles, religieuses, sociales ou traditionnelles relatives à un comportement approprié.</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que l’incitation faite par toute personne à un enfant de commettre tout acte mentionné au paragraphe 1 ne diminue pas la responsabilité pénale de cette personne pour les actes commis.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43 – Application des infractions pénales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infractions établies conformément à la présente Convention s’appliquent indépendamment de la nature de la relation entre la victime et l’auteur de l’infraction.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3780D">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44 – Compétence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établir leur compétence à l’égard de toute infraction établie conformément à la présente Convention, lorsque l’infraction est commise</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sur leur territoire; ou</w:t>
      </w: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à bord d’un navire battant leur pavillon; ou</w:t>
      </w: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à bord d’un aéronef immatriculé selon leurs lois internes; ou</w:t>
      </w: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sz w:val="16"/>
        </w:rPr>
        <w:t>d</w:t>
      </w:r>
      <w:r w:rsidR="00E01CD8">
        <w:tab/>
      </w:r>
      <w:r w:rsidR="00E01CD8">
        <w:rPr>
          <w:rFonts w:ascii="Palatino Linotype" w:hAnsi="Palatino Linotype"/>
        </w:rPr>
        <w:t>par un de leurs ressortissants; ou</w:t>
      </w: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sz w:val="16"/>
        </w:rPr>
        <w:t>e</w:t>
      </w:r>
      <w:r w:rsidR="00E01CD8">
        <w:tab/>
      </w:r>
      <w:r w:rsidR="00E01CD8">
        <w:rPr>
          <w:rFonts w:ascii="Palatino Linotype" w:hAnsi="Palatino Linotype"/>
        </w:rPr>
        <w:t>par une personne ayant sa résidence habituelle sur leur territoire.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s’efforcent de prendre les mesures législatives ou autres nécessaires pour établir leur compétence à l’égard de toute infraction établie conformément à la présente Convention, lorsque l’infraction est commise contre l’un de leurs ressortissants ou contre une personne ayant sa résidence habituelle sur leur territoire.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Pour la poursuite des infractions établies conformément aux articles 36, 37, 38 et 39 de la présente Convention, les Parties prennent les mesures législatives ou autres nécessaires pour que l’établissement de leur compétence ne soit pas subordonné à la condition que les faits soient également incriminés sur le territoire où ils ont été commis.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Pour la poursuite des infractions établies conformément aux articles 36, 37, 38 et 39 de la présente Convention, les Parties prennent les mesures législatives ou autres nécessaires pour que l’établissement de leur compétence au titre des points d et e du paragraphe 1 ne soit pas subordonné à la condition que la poursuite soit précédée d’une plainte de la victime ou d’une dénonciation de l’</w:t>
      </w:r>
      <w:r w:rsidR="00D566F7">
        <w:rPr>
          <w:rFonts w:ascii="Palatino Linotype" w:hAnsi="Palatino Linotype"/>
        </w:rPr>
        <w:t>É</w:t>
      </w:r>
      <w:r>
        <w:rPr>
          <w:rFonts w:ascii="Palatino Linotype" w:hAnsi="Palatino Linotype"/>
        </w:rPr>
        <w:t>tat du lieu où l’infraction a été commise.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tab/>
      </w:r>
      <w:r>
        <w:rPr>
          <w:rFonts w:ascii="Palatino Linotype" w:hAnsi="Palatino Linotype"/>
          <w:sz w:val="16"/>
        </w:rPr>
        <w:t>5</w:t>
      </w:r>
      <w:r>
        <w:tab/>
      </w:r>
      <w:r>
        <w:rPr>
          <w:rFonts w:ascii="Palatino Linotype" w:hAnsi="Palatino Linotype"/>
        </w:rPr>
        <w:t>Les Parties prennent les mesures législatives ou autres nécessaires pour établir leur compétence à l’égard de toute infraction établie conformément à la présente Convention, dans les cas où l’auteur présumé est présent sur leur territoire et ne peut être extradé vers une autre Partie uniquement en raison de sa nationalité.</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6</w:t>
      </w:r>
      <w:r>
        <w:tab/>
      </w:r>
      <w:r>
        <w:rPr>
          <w:rFonts w:ascii="Palatino Linotype" w:hAnsi="Palatino Linotype"/>
        </w:rPr>
        <w:t>Lorsque plusieurs Parties revendiquent leur compétence à l’égard d’une infraction présumée établie conformément à la présente Convention, les Parties concernées se concertent, le cas échéant, afin de déterminer la mieux à même d’exercer les poursuites.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7</w:t>
      </w:r>
      <w:r>
        <w:tab/>
      </w:r>
      <w:r>
        <w:rPr>
          <w:rFonts w:ascii="Palatino Linotype" w:hAnsi="Palatino Linotype"/>
        </w:rPr>
        <w:t>Sans préjudice des règles générales de droit international, la présente Convention n’exclut aucune compétence pénale exercée par une Partie conformément à son droit interne.</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45 – Sanctions et mesures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les infractions établies conformément à la présente Convention soient passibles de sanctions effectives, proportionnées et dissuasives, au regard de leur gravité. Celles-ci incluent, le cas échéant, des peines privatives de liberté pouvant donner lieu à l’extradition.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peuvent adopter d’autres mesures à l’égard des auteurs d’infractions, telles que</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le suivi ou la surveillance de la personne condamnée;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la déchéance des droits parentaux si l’intérêt supérieur de l’enfant, qui peut inclure la sécurité de la victime, ne peut être garanti d’aucune autre façon.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b/>
        </w:rPr>
        <w:t>Article 46 – Circonstances aggravantes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afin que les circonstances suivantes, pour autant qu’elles ne relèvent pas déjà des éléments constitutifs de l’infraction, puissent, conformément aux dispositions pertinentes de leur droit interne, être prises en compte en tant que circonstances aggravantes lors de la détermination des peines relatives aux infractions établies conformément à la présente Convention</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l’infraction a été commise à l’encontre d’un ancien ou actuel conjoint ou partenaire, conformément au droit interne, par un membre de la famille, une personne cohabitant avec la victime, ou une personne ayant abusé de son autorité;</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l’infraction, ou les infractions apparentées, ont été commises de manière répétée;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l’infraction a été commise à l’encontre d’une personne rendue vulnérable du fait de circonstances particulières;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d</w:t>
      </w:r>
      <w:r w:rsidR="00E01CD8">
        <w:tab/>
      </w:r>
      <w:r w:rsidR="00E01CD8">
        <w:rPr>
          <w:rFonts w:ascii="Palatino Linotype" w:hAnsi="Palatino Linotype"/>
        </w:rPr>
        <w:t>l’infraction a été commise à l’encontre ou en présence d’un enfant;</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e</w:t>
      </w:r>
      <w:r w:rsidR="00E01CD8">
        <w:tab/>
      </w:r>
      <w:r w:rsidR="00E01CD8">
        <w:rPr>
          <w:rFonts w:ascii="Palatino Linotype" w:hAnsi="Palatino Linotype"/>
        </w:rPr>
        <w:t>l’infraction a été commise par deux ou plusieurs personnes agissant ensemble;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f</w:t>
      </w:r>
      <w:r w:rsidR="00E01CD8">
        <w:tab/>
      </w:r>
      <w:r w:rsidR="00E01CD8">
        <w:rPr>
          <w:rFonts w:ascii="Palatino Linotype" w:hAnsi="Palatino Linotype"/>
        </w:rPr>
        <w:t>l’infraction a été précédée ou accompagnée d’une violence d’une extrême gravité;</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r>
        <w:br w:type="page"/>
      </w:r>
      <w:r>
        <w:tab/>
      </w:r>
      <w:r w:rsidR="006F2D0D">
        <w:tab/>
      </w:r>
      <w:r>
        <w:rPr>
          <w:rFonts w:ascii="Palatino Linotype" w:hAnsi="Palatino Linotype"/>
          <w:sz w:val="16"/>
        </w:rPr>
        <w:t>g</w:t>
      </w:r>
      <w:r>
        <w:tab/>
      </w:r>
      <w:r>
        <w:rPr>
          <w:rFonts w:ascii="Palatino Linotype" w:hAnsi="Palatino Linotype"/>
        </w:rPr>
        <w:t>l’infraction a été commise avec l’utilisation ou la menace d’une arme;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h</w:t>
      </w:r>
      <w:r w:rsidR="00E01CD8">
        <w:tab/>
      </w:r>
      <w:r w:rsidR="00E01CD8">
        <w:rPr>
          <w:rFonts w:ascii="Palatino Linotype" w:hAnsi="Palatino Linotype"/>
        </w:rPr>
        <w:t>l’infraction a entraîné de graves dommages physiques ou psychologiques pour la victime;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b/>
          <w:szCs w:val="20"/>
        </w:rPr>
      </w:pPr>
      <w:r>
        <w:tab/>
      </w:r>
      <w:r>
        <w:tab/>
      </w:r>
      <w:r w:rsidR="00E01CD8">
        <w:rPr>
          <w:rFonts w:ascii="Palatino Linotype" w:hAnsi="Palatino Linotype"/>
          <w:sz w:val="16"/>
        </w:rPr>
        <w:t>i</w:t>
      </w:r>
      <w:r w:rsidR="00E01CD8">
        <w:tab/>
      </w:r>
      <w:r w:rsidR="00E01CD8">
        <w:rPr>
          <w:rFonts w:ascii="Palatino Linotype" w:hAnsi="Palatino Linotype"/>
        </w:rPr>
        <w:t>l’auteur a été condamné antérieurement pour des faits de nature similaire.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47 – Condamnations dans une autre Partie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prévoir la possibilité de prendre en compte, dans le cadre de l’appréciation de la peine, les condamnations définitives prononcées dans une autre Partie pour les infractions établies conformément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 w:val="left" w:pos="2127"/>
        </w:tabs>
        <w:ind w:left="2127" w:hanging="2127"/>
        <w:jc w:val="both"/>
        <w:rPr>
          <w:rFonts w:ascii="Palatino Linotype" w:hAnsi="Palatino Linotype"/>
          <w:b/>
          <w:szCs w:val="20"/>
        </w:rPr>
      </w:pPr>
      <w:r>
        <w:tab/>
      </w:r>
      <w:r>
        <w:tab/>
      </w:r>
      <w:r w:rsidR="00E01CD8">
        <w:rPr>
          <w:rFonts w:ascii="Palatino Linotype" w:hAnsi="Palatino Linotype"/>
          <w:b/>
        </w:rPr>
        <w:t>Article 48 –</w:t>
      </w:r>
      <w:r w:rsidR="00E01CD8">
        <w:tab/>
      </w:r>
      <w:r w:rsidR="00E01CD8">
        <w:rPr>
          <w:rFonts w:ascii="Palatino Linotype" w:hAnsi="Palatino Linotype"/>
          <w:b/>
        </w:rPr>
        <w:t>Interdiction des modes alternatifs de résolution des conflits ou des condamnations obligatoires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interdire les modes alternatifs de résolution des conflits obligatoires, y compris la médiation et la conciliation, en ce qui concerne toutes les formes de violence couvertes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u w:val="single"/>
        </w:rPr>
      </w:pPr>
      <w:r>
        <w:tab/>
      </w:r>
      <w:r>
        <w:rPr>
          <w:rFonts w:ascii="Palatino Linotype" w:hAnsi="Palatino Linotype"/>
          <w:sz w:val="16"/>
        </w:rPr>
        <w:t>2</w:t>
      </w:r>
      <w:r>
        <w:tab/>
      </w:r>
      <w:r>
        <w:rPr>
          <w:rFonts w:ascii="Palatino Linotype" w:hAnsi="Palatino Linotype"/>
        </w:rPr>
        <w:t>Les Parties prennent les mesures législatives ou autres nécessaires pour que, si le paiement d’une amende est ordonné, la capacité de l’auteur de l’infraction à faire face aux obligations financières qu’il a envers la victime soit dûment prise en compte.</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VI – Enquêtes, poursuites, droit procédural et mesures de protection</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49 – Obligations générales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les enquêtes et les procédures judiciaires relatives à toutes les formes de violence couvertes par le champ d’application de la présente Convention soient traitées sans retard injustifié tout en prenant en considération les droits de la victime à toutes les étapes des procédures pénales.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conformément aux principes fondamentaux des droits de l’homme et en prenant en considération la compréhension de la violence fondée sur le genre, pour garantir une enquête et une poursuite effectives des infractions établies conformément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50 – Réponse immédiate, prévention et protection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les services répressifs responsables répondent rapidement et de manière appropriée à toutes les formes de violence couvertes par le champ d’application de la présente Convention en offrant une protection adéquate et immédiate aux victimes.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tab/>
      </w:r>
      <w:r>
        <w:rPr>
          <w:rFonts w:ascii="Palatino Linotype" w:hAnsi="Palatino Linotype"/>
          <w:sz w:val="16"/>
        </w:rPr>
        <w:t>2</w:t>
      </w:r>
      <w:r>
        <w:tab/>
      </w:r>
      <w:r>
        <w:rPr>
          <w:rFonts w:ascii="Palatino Linotype" w:hAnsi="Palatino Linotype"/>
        </w:rPr>
        <w:t>Les Parties prennent les mesures législatives ou autres nécessaires pour que les services répressifs responsables engagent rapidement et de manière appropriée la prévention et la protection contre toutes les formes de violence couvertes par le champ d’application de la présente Convention, y compris l’emploi de mesures opérationnelles préventives et la collecte des preuves.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51 – Appréciation et gestion des risques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qu’une appréciation du risque de létalité, de la gravité de la situation et du risque de réitération de la violence soit faite par toutes les autorités pertinentes afin de gérer le risque et garantir, si nécessaire, une sécurité et un soutien coordonnés.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que l’appréciation mentionnée au paragraphe 1 prenne dûment en compte, à tous les stades de l’enquête et de l’application des mesures de protection, le fait que l’auteur d’actes de violence couverts par le champ d’application de la présente Convention possède ou ait accès à des armes à feu.</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52 – Ordonnances d’urgence d’interdiction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que les autorités compétentes se voient reconnaître le pouvoir d’ordonner, dans des situations de danger immédiat, à l’auteur de violence domestique de quitter la résidence de la victime ou de la personne en danger pour une période de temps suffisante et d’interdire à l’auteur d’entrer dans le domicile de la victime ou de la personne en danger ou de la contacter. Les mesures prises conformément au présent article doivent donner la priorité à la sécurité des victimes ou des personnes en danger.</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53 – Ordonnances d’injonction ou de protection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des ordonnances d’injonction ou de protection appropriées soient disponibles pour les victimes de toutes les formes de violence couvertes par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que les ordonnances d’injonction ou de protection mentionnées au paragraphe 1 soient</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disponibles pour une protection immédiate et sans charge financière ou administrative excessive pesant sur la victime;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émises pour une période spécifiée, ou jusqu’à modification ou révocation;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le cas échéant, émises ex parte avec effet immédiat;</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disponibles indépendamment ou cumulativement à d’autres procédures judiciaires;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autorisées à être introduites dans les procédures judiciaires subséquentes.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tab/>
      </w:r>
      <w:r>
        <w:rPr>
          <w:rFonts w:ascii="Palatino Linotype" w:hAnsi="Palatino Linotype"/>
          <w:sz w:val="16"/>
        </w:rPr>
        <w:t>3</w:t>
      </w:r>
      <w:r>
        <w:tab/>
      </w:r>
      <w:r>
        <w:rPr>
          <w:rFonts w:ascii="Palatino Linotype" w:hAnsi="Palatino Linotype"/>
        </w:rPr>
        <w:t>Les Parties prennent les mesures législatives ou autres nécessaires pour que la violation des ordonnances d’injonction ou de protection émises conformément au paragraphe 1 fasse l’objet de sanctions pénales, ou d’autres sanctions légales, effectives, proportionnées et dissuasives.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54 – Enquêtes et preuves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prennent les mesures législatives ou autres nécessaires pour que, dans toute procédure civile ou pénale, les preuves relatives aux antécédents sexuels et à la conduite de la victime ne soient recevables que lorsque cela est pertinent et nécessaire.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55 – Procédures ex parte et ex officio</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veillent à ce que les enquêtes ou les poursuites d’infractions établies conformément aux articles 35, 36, 37, 38 et 39 de la présente Convention ne dépendent pas entièrement d’une dénonciation ou d’une plainte de la victime lorsque l’infraction a été commise, en partie ou en totalité, sur leur territoire, et à ce que la procédure puisse se poursuivre même si la victime se rétracte ou retire sa plainte.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garantir, conformément aux conditions prévues par leur droit interne, la possibilité pour les organisations gouvernementales et non gouvernementales et les conseillers spécialisés dans la violence domestique, d’assister et/ou de soutenir les victimes, sur demande de leur part, au cours des enquêtes et des procédures judiciaires relatives aux infractions établies conformément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56 – Mesures de protection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protéger les droits et les intérêts des victimes, y compris leurs besoins spécifiques en tant que témoins, à tous les stades des enquêtes et des procédures judiciaires, en particulier</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en veillant à ce qu’elles soient, ainsi que leurs familles et les témoins à charge, à l’abri des risques d’intimidation, de représailles et de nouvelle victimisation;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en veillant à ce que les victimes soient informées, au moins dans les cas où les victimes et la famille pourraient être en danger, lorsque l’auteur de l’infraction s’évade ou est libéré temporairement ou définitivement;</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en les tenant informées, selon les conditions prévues par leur droit interne, de leurs droits et des services à leur disposition, et des suites données à leur plainte, des chefs d’accusation retenus, du déroulement général de l’enquête ou de la procédure, et de leur rôle au sein de celle-ci ainsi que de la décision rendue;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d</w:t>
      </w:r>
      <w:r w:rsidR="00E01CD8">
        <w:tab/>
      </w:r>
      <w:r w:rsidR="00E01CD8">
        <w:rPr>
          <w:rFonts w:ascii="Palatino Linotype" w:hAnsi="Palatino Linotype"/>
        </w:rPr>
        <w:t>en donnant aux victimes, conformément aux règles de procédure de leur droit interne, la possibilité d’être entendues, de fournir des éléments de preuve et de présenter leurs vues, besoins et préoccupations, directement ou par le recours à un intermédiaire, et que ceux-ci soient examinés;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r>
        <w:br w:type="page"/>
      </w:r>
      <w:r w:rsidR="004C12B4">
        <w:tab/>
      </w:r>
      <w:r w:rsidR="004C12B4">
        <w:tab/>
      </w:r>
      <w:r>
        <w:rPr>
          <w:rFonts w:ascii="Palatino Linotype" w:hAnsi="Palatino Linotype"/>
          <w:sz w:val="16"/>
        </w:rPr>
        <w:t>e</w:t>
      </w:r>
      <w:r>
        <w:tab/>
      </w:r>
      <w:r>
        <w:rPr>
          <w:rFonts w:ascii="Palatino Linotype" w:hAnsi="Palatino Linotype"/>
        </w:rPr>
        <w:t>en fournissant aux victimes une assistance appropriée pour que leurs droits et intérêts soient dûment présentés et pris en compte;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f</w:t>
      </w:r>
      <w:r w:rsidR="00E01CD8">
        <w:tab/>
      </w:r>
      <w:r w:rsidR="00E01CD8">
        <w:rPr>
          <w:rFonts w:ascii="Palatino Linotype" w:hAnsi="Palatino Linotype"/>
        </w:rPr>
        <w:t>en veillant à ce que des mesures pour protéger la vie privée et l’image de la victime puissent être prises;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g</w:t>
      </w:r>
      <w:r w:rsidR="00E01CD8">
        <w:tab/>
      </w:r>
      <w:r w:rsidR="00E01CD8">
        <w:rPr>
          <w:rFonts w:ascii="Palatino Linotype" w:hAnsi="Palatino Linotype"/>
        </w:rPr>
        <w:t>en veillant, lorsque cela est possible, à ce que les contacts entre les victimes et les auteurs d’infractions à l’intérieur des tribunaux et des locaux des services répressifs soient évités;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h</w:t>
      </w:r>
      <w:r w:rsidR="00E01CD8">
        <w:tab/>
      </w:r>
      <w:r w:rsidR="00E01CD8">
        <w:rPr>
          <w:rFonts w:ascii="Palatino Linotype" w:hAnsi="Palatino Linotype"/>
        </w:rPr>
        <w:t>en fournissant aux victimes des interprètes indépendants et compétents, lorsque les victimes sont parties aux procédures ou lorsqu’elles fournissent des éléments de preuve;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i</w:t>
      </w:r>
      <w:r w:rsidR="00E01CD8">
        <w:tab/>
      </w:r>
      <w:r w:rsidR="00E01CD8">
        <w:rPr>
          <w:rFonts w:ascii="Palatino Linotype" w:hAnsi="Palatino Linotype"/>
        </w:rPr>
        <w:t>en permettant aux victimes de témoigner en salle d’audience, conformément aux règles prévues par leur droit interne, sans être présentes, ou du moins sans que l’auteur présumé de l’infraction ne soit présent, notamment par le recours aux technologies de communication appropriées, si elles sont disponibles.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Un enfant victime et témoin de violence à l’égard des femmes et de violence domestique doit, le cas échéant, se voir accorder des mesures de protection spécifiques prenant en compte l’intérêt supérieur de l’enfant.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57 – Aide juridique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Parties veillent à ce que les victimes aient droit à une assistance juridique et à une aide juridique gratuite selon les conditions prévues par leur droit interne.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58 – Prescription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rPr>
        <w:t>Les Parties prennent les mesures législatives et autres nécessaires pour que le délai de prescription pour engager toute poursuite du chef des infractions établies conformément aux articles 36, 37, 38 et 39 de la présente Convention, continue de courir pour une durée suffisante et proportionnelle à la gravité de l’infraction en question, afin de permettre la mise en œuvre efficace des poursuites, après que la victime a atteint l’âge de la majorité.</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VII – Migration et asile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59 – Statut de résident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garantir que les victimes, dont le statut de résident dépend de celui de leur conjoint ou de leur partenaire, conformément à leur droit interne, se voient accorder, sur demande, dans l’éventualité de la dissolution du mariage ou de la relation, en cas de situations particulièrement difficiles, un permis de résidence autonome, indépendamment de la durée du mariage ou de la relation. Les conditions relatives à l’octroi et à la durée du permis de résidence autonome sont établies conformément au droit interne.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tab/>
      </w:r>
      <w:r>
        <w:rPr>
          <w:rFonts w:ascii="Palatino Linotype" w:hAnsi="Palatino Linotype"/>
          <w:sz w:val="16"/>
        </w:rPr>
        <w:t>2</w:t>
      </w:r>
      <w:r>
        <w:tab/>
      </w:r>
      <w:r>
        <w:rPr>
          <w:rFonts w:ascii="Palatino Linotype" w:hAnsi="Palatino Linotype"/>
        </w:rPr>
        <w:t>Les Parties prennent les mesures législatives ou autres nécessaires pour que les victimes puissent obtenir la suspension des procédures d’expulsion initiées du fait que leur statut de résident dépend de celui de leur conjoint ou de leur partenaire, conformément à leur droit interne, pour leur permettre de demander un permis de résidence autonome.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Les Parties délivrent un permis de résidence renouvelable aux victimes, dans l’une ou les deux situations suivantes</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lorsque l’autorité compétente considère que leur séjour est nécessaire au regard de leur situation personnelle;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lorsque l’autorité compétente considère que leur séjour est nécessaire aux fins de leur coopération avec les autorités compétentes dans le cadre d’une enquête ou de procédures pénales.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tab/>
      </w:r>
      <w:r>
        <w:rPr>
          <w:rFonts w:ascii="Palatino Linotype" w:hAnsi="Palatino Linotype"/>
          <w:sz w:val="16"/>
        </w:rPr>
        <w:t>4</w:t>
      </w:r>
      <w:r>
        <w:tab/>
      </w:r>
      <w:r>
        <w:rPr>
          <w:rFonts w:ascii="Palatino Linotype" w:hAnsi="Palatino Linotype"/>
        </w:rPr>
        <w:t>Les Parties prennent les mesures législatives ou autres nécessaires pour que les victimes de mariages forcés amenées dans un autre pays aux fins de ce mariage, et qui perdent en conséquence leur statut de résident dans le pays où elles résident habituellement, puissent récupérer ce statut.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60 – Demandes d’asile fondées sur le genre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que la violence à l’égard des femmes fondée sur le genre puisse être reconnue comme une forme de persécution au sens de l’article 1, A (2), de la Convention relative au statut des réfugiés de 1951 et comme une forme de préjudice grave donnant lieu à une protection complémentaire/subsidiaire.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vertAlign w:val="superscript"/>
        </w:rPr>
      </w:pPr>
      <w:r>
        <w:tab/>
      </w:r>
      <w:r>
        <w:rPr>
          <w:rFonts w:ascii="Palatino Linotype" w:hAnsi="Palatino Linotype"/>
          <w:sz w:val="16"/>
        </w:rPr>
        <w:t>2</w:t>
      </w:r>
      <w:r>
        <w:tab/>
      </w:r>
      <w:r>
        <w:rPr>
          <w:rFonts w:ascii="Palatino Linotype" w:hAnsi="Palatino Linotype"/>
        </w:rPr>
        <w:t>Les Parties veillent à ce qu’une interprétation sensible au genre soit appliquée à chacun des motifs de la Convention et à ce que les demandeurs d’asile se voient octroyer le statut de réfugié dans les cas où il a été établi que la crainte de persécution est fondée sur l’un ou plusieurs de ces motifs, conformément aux instruments pertinents applicables.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Les Parties prennent les mesures législatives ou autres nécessaires pour développer des procédures d’accueil sensibles au genre et des services de soutien pour les demandeurs d’asile, ainsi que des lignes directrices fondées sur le genre et des procédures d’asile sensibles au genre, y compris pour l’octroi du statut de réfugié et pour la demande de protection internationale.</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61 – Non-refoulement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prennent les mesures législatives ou autres nécessaires pour respecter le principe de non-refoulement, conformément aux obligations existantes découlant du droit international.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prennent les mesures législatives ou autres nécessaires pour que les victimes de violence à l’égard des femmes nécessitant une protection, indépendamment de leur statut ou lieu de résidence, ne puissent en aucune circonstance être refoulées vers un pays où leur vie serait en péril ou dans lequel elles pourraient être victimes de torture ou de peines ou traitements inhumains ou dégradants.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Pr>
          <w:rFonts w:ascii="Palatino Linotype" w:hAnsi="Palatino Linotype"/>
          <w:b/>
        </w:rPr>
        <w:t>Chapitre VIII – Coopération internationale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62 – Principes généraux</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coopèrent, conformément aux dispositions de la présente Convention, et en application des instruments internationaux et régionaux pertinents, relatifs à la coopération en matière civile et pénale, des arrangements reposant sur des législations uniformes ou réciproques et de leur droit interne, dans la mesure la plus large possible, aux fins</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de prévenir, combattre, et poursuivre toutes les formes de violence couvertes par le champ d’application de la présente Convention;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de protéger et assister les victimes;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de mener des enquêtes ou des procédures concernant les infractions établies conformément à la présente Convention;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d</w:t>
      </w:r>
      <w:r w:rsidR="00E01CD8">
        <w:tab/>
      </w:r>
      <w:r w:rsidR="00E01CD8">
        <w:rPr>
          <w:rFonts w:ascii="Palatino Linotype" w:hAnsi="Palatino Linotype"/>
        </w:rPr>
        <w:t>d’appliquer les jugements civils et pénaux pertinents rendus par les autorités judiciaires des Parties, y compris les ordonnances de protection.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 xml:space="preserve">Les Parties prennent les mesures législatives ou autres nécessaires pour que les victimes d’une infraction établie conformément à la présente Convention et commise sur le territoire d’une Partie autre que celui sur lequel elles résident puissent porter plainte auprès des autorités compétentes de leur </w:t>
      </w:r>
      <w:r w:rsidR="00D566F7">
        <w:rPr>
          <w:rFonts w:ascii="Palatino Linotype" w:hAnsi="Palatino Linotype"/>
        </w:rPr>
        <w:t>É</w:t>
      </w:r>
      <w:r>
        <w:rPr>
          <w:rFonts w:ascii="Palatino Linotype" w:hAnsi="Palatino Linotype"/>
        </w:rPr>
        <w:t>tat de résidence.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Si une Partie qui subordonne l’entraide judiciaire en matière pénale, l’extradition ou l’exécution de jugements civils ou pénaux prononcés par une autre Partie à la présente Convention à l’existence d’un traité reçoit une demande concernant cette coopération en matière judiciaire d’une Partie avec laquelle elle n’a pas conclu pareil traité, elle peut considérer la présente Convention comme la base légale de l’entraide judiciaire en matière pénale, de l’extradition ou de l’exécution de jugements civils ou pénaux prononcés par une autre Partie à la présente Convention à l’égard des infractions établies conformément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Les Parties s’efforcent d’intégrer, le cas échéant, la prévention et la lutte contre la violence à l’égard des femmes et la violence domestique dans les programmes d’assistance au développement conduits au profit d’</w:t>
      </w:r>
      <w:r w:rsidR="00D566F7">
        <w:rPr>
          <w:rFonts w:ascii="Palatino Linotype" w:hAnsi="Palatino Linotype"/>
        </w:rPr>
        <w:t>É</w:t>
      </w:r>
      <w:r>
        <w:rPr>
          <w:rFonts w:ascii="Palatino Linotype" w:hAnsi="Palatino Linotype"/>
        </w:rPr>
        <w:t xml:space="preserve">tats tiers, y compris la conclusion d’accords bilatéraux et multilatéraux avec des </w:t>
      </w:r>
      <w:r w:rsidR="00932F06">
        <w:rPr>
          <w:rFonts w:ascii="Palatino Linotype" w:hAnsi="Palatino Linotype"/>
        </w:rPr>
        <w:t>États</w:t>
      </w:r>
      <w:r>
        <w:rPr>
          <w:rFonts w:ascii="Palatino Linotype" w:hAnsi="Palatino Linotype"/>
        </w:rPr>
        <w:t xml:space="preserve"> tiers dans le but de faciliter la protection des victimes, conformément à l’article 18, paragraphe 5.</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63 – Mesures relatives aux personnes en danger</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Lorsqu’une Partie a, sur la base d’informations à sa disposition, de sérieuses raisons de penser qu’une personne risque d’être soumise de manière immédiate à l’un des actes de violence visés par les articles 36, 37, 38 et 39 de la présente Convention sur le territoire d’une autre Partie, la Partie disposant de l’information est encouragée à la transmettre sans délai à l’autre Partie dans le but d’assurer que les mesures de protection appropriées soient prises. Cette information doit contenir, le cas échéant, des indications sur des dispositions de protection existantes établies au bénéfice de la personne en danger.</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sidR="004C12B4">
        <w:tab/>
      </w:r>
      <w:r w:rsidR="004C12B4">
        <w:tab/>
      </w:r>
      <w:r>
        <w:rPr>
          <w:rFonts w:ascii="Palatino Linotype" w:hAnsi="Palatino Linotype"/>
          <w:b/>
        </w:rPr>
        <w:t>Article 64 – Information</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La Partie requise doit rapidement informer la Partie requérante du résultat final de l’action exercée conformément au présent chapitre. La Partie requise doit également informer rapidement la Partie requérante de toutes les circonstances qui rendent impossible l’exécution de l’action envisagée ou qui sont susceptibles de la retarder de manière significative.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Une Partie peut, dans la limite des règles de son droit interne, sans demande préalable, transférer à une autre Partie les informations obtenues dans le cadre de ses propres investigations lorsqu’elle considère que la divulgation de telles informations pourrait aider la Partie qui les reçoit à prévenir les infractions pénales établies conformément à la présente Convention, ou à entamer ou poursuivre les investigations ou les procédures relatives à de telles infractions pénales, ou qu’elle pourrait aboutir à une demande de coopération formulée par cette Partie conformément au présent chapitre.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La Partie qui reçoit toute information conformément au paragraphe 2 doit la communiquer à ses autorités compétentes de manière à ce que des procédures puissent être engagées si elles sont considérées comme étant appropriées, ou que cette information puisse être prise en compte dans les procédures civiles et pénales pertinentes.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65 – Protection des données</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données personnelles sont conservées et utilisées conformément aux obligations contractées par les Parties à la Convention pour la protection des personnes à l’égard du traitement automatisé des données à caractère personnel (STE n° 108).</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IX – Mécanisme de suivi</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 w:val="left" w:pos="2127"/>
        </w:tabs>
        <w:ind w:left="2127" w:hanging="2127"/>
        <w:jc w:val="both"/>
        <w:rPr>
          <w:rFonts w:ascii="Palatino Linotype" w:hAnsi="Palatino Linotype"/>
          <w:b/>
          <w:szCs w:val="20"/>
        </w:rPr>
      </w:pPr>
      <w:r>
        <w:tab/>
      </w:r>
      <w:r>
        <w:tab/>
      </w:r>
      <w:r w:rsidR="00E01CD8">
        <w:rPr>
          <w:rFonts w:ascii="Palatino Linotype" w:hAnsi="Palatino Linotype"/>
          <w:b/>
        </w:rPr>
        <w:t>Article 66 –</w:t>
      </w:r>
      <w:r w:rsidR="00E01CD8">
        <w:tab/>
      </w:r>
      <w:r w:rsidR="00E01CD8">
        <w:rPr>
          <w:rFonts w:ascii="Palatino Linotype" w:hAnsi="Palatino Linotype"/>
          <w:b/>
        </w:rPr>
        <w:t>Groupe d’experts sur la lutte contre la violence à l’égard des femmes et la violence domestique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 xml:space="preserve">Le Groupe d’experts sur la lutte contre la violence à l’égard des femmes et la violence domestique (ci-après dénommé </w:t>
      </w:r>
      <w:r w:rsidR="007B7432">
        <w:rPr>
          <w:rFonts w:ascii="Palatino Linotype" w:hAnsi="Palatino Linotype"/>
        </w:rPr>
        <w:t>«</w:t>
      </w:r>
      <w:r>
        <w:rPr>
          <w:rFonts w:ascii="Palatino Linotype" w:hAnsi="Palatino Linotype"/>
        </w:rPr>
        <w:t>GREVIO</w:t>
      </w:r>
      <w:r w:rsidR="007B7432">
        <w:rPr>
          <w:rFonts w:ascii="Palatino Linotype" w:hAnsi="Palatino Linotype"/>
        </w:rPr>
        <w:t>»</w:t>
      </w:r>
      <w:r>
        <w:rPr>
          <w:rFonts w:ascii="Palatino Linotype" w:hAnsi="Palatino Linotype"/>
        </w:rPr>
        <w:t>) est chargé de veiller à la mise en œuvre de la présente Convention par les Parties.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 GREVIO est composé de 10 membres au minimum et de 15 membres au maximum, en tenant compte d’une participation équilibrée entre les femmes et les hommes, et d’une participation géographiquement équilibrée, ainsi que d’une expertise multidisciplinaire. Ses membres sont élus par le Comité des Parties parmi des candidats désignés par les Parties, pour un mandat de quatre ans, renouvelable une fois, et choisis parmi des ressortissants des Parties.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L’élection initiale de 10 membres est organisée dans un délai d’un an suivant la date d’entrée en vigueur de la présente Convention. L’élection de cinq membres additionnels est organisée après la vingt-cinquième ratification ou adhésion.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L’élection des membres du GREVIO se fonde sur les principes suivants</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1276" w:hanging="1276"/>
        <w:jc w:val="both"/>
        <w:rPr>
          <w:rFonts w:ascii="Palatino Linotype" w:hAnsi="Palatino Linotype"/>
          <w:szCs w:val="20"/>
        </w:rPr>
      </w:pPr>
      <w:r>
        <w:br w:type="page"/>
      </w:r>
      <w:r w:rsidR="004C12B4">
        <w:tab/>
      </w:r>
      <w:r w:rsidR="004C12B4">
        <w:tab/>
      </w:r>
      <w:r>
        <w:rPr>
          <w:rFonts w:ascii="Palatino Linotype" w:hAnsi="Palatino Linotype"/>
          <w:sz w:val="16"/>
        </w:rPr>
        <w:t>a</w:t>
      </w:r>
      <w:r>
        <w:tab/>
      </w:r>
      <w:r>
        <w:rPr>
          <w:rFonts w:ascii="Palatino Linotype" w:hAnsi="Palatino Linotype"/>
        </w:rPr>
        <w:t>ils sont choisis selon une procédure transparente parmi des personnalités de haute moralité connues pour leur compétence en matière de droits de l’homme, d’égalité entre les femmes et les hommes, de violence à l’égard des femmes et de violence domestique ou d’assistance et protection des victimes, ou ayant une expérience professionnelle reconnue dans les domaines couverts par la présente Convention;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 xml:space="preserve">le GREVIO ne peut comprendre plus d’un ressortissant du même </w:t>
      </w:r>
      <w:r w:rsidR="00D566F7">
        <w:rPr>
          <w:rFonts w:ascii="Palatino Linotype" w:hAnsi="Palatino Linotype"/>
        </w:rPr>
        <w:t>É</w:t>
      </w:r>
      <w:r w:rsidR="00E01CD8">
        <w:rPr>
          <w:rFonts w:ascii="Palatino Linotype" w:hAnsi="Palatino Linotype"/>
        </w:rPr>
        <w:t>tat;</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ils devraient représenter les principaux systèmes juridiques;</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d</w:t>
      </w:r>
      <w:r w:rsidR="00E01CD8">
        <w:tab/>
      </w:r>
      <w:r w:rsidR="00E01CD8">
        <w:rPr>
          <w:rFonts w:ascii="Palatino Linotype" w:hAnsi="Palatino Linotype"/>
        </w:rPr>
        <w:t>ils devraient représenter les acteurs et instances pertinents dans le domaine de la violence à l’égard des femmes et la violence domestique;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e</w:t>
      </w:r>
      <w:r w:rsidR="00E01CD8">
        <w:tab/>
      </w:r>
      <w:r w:rsidR="00E01CD8">
        <w:rPr>
          <w:rFonts w:ascii="Palatino Linotype" w:hAnsi="Palatino Linotype"/>
        </w:rPr>
        <w:t>ils siègent à titre individuel, sont indépendants et impartiaux dans l’exercice de leurs mandats et se rendent disponibles pour remplir leurs fonctions de manière effective.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5</w:t>
      </w:r>
      <w:r>
        <w:tab/>
      </w:r>
      <w:r>
        <w:rPr>
          <w:rFonts w:ascii="Palatino Linotype" w:hAnsi="Palatino Linotype"/>
        </w:rPr>
        <w:t>La procédure d’élection des membres du GREVIO est fixée par le Comité des Ministres du Conseil de l’Europe, après consultation et assentiment unanime des Parties, dans un délai de six mois à compter de l’entrée en vigueur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6</w:t>
      </w:r>
      <w:r>
        <w:tab/>
      </w:r>
      <w:r>
        <w:rPr>
          <w:rFonts w:ascii="Palatino Linotype" w:hAnsi="Palatino Linotype"/>
        </w:rPr>
        <w:t>Le GREVIO adopte son propre règlement intérieur.</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7</w:t>
      </w:r>
      <w:r>
        <w:tab/>
      </w:r>
      <w:r>
        <w:rPr>
          <w:rFonts w:ascii="Palatino Linotype" w:hAnsi="Palatino Linotype"/>
        </w:rPr>
        <w:t>Les membres du GREVIO et les autres membres des délégations chargées d’effectuer les visites dans les pays, tel qu’établi dans l’article 68, paragraphes 9 et 14, bénéficient des privilèges et immunités prévus par l’annexe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67 – Comité des Parties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 Comité des Parties est composé des représentants des Parties à la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 Comité des Parties est convoqué par le Secrétaire Général du Conseil de l’Europe. Sa première réunion doit se tenir dans un délai d’un an suivant l’entrée en vigueur de la présente Convention afin d’élire les membres du GREVIO. Il se réunira par la suite à la demande d’un tiers des Parties, du Président du Comité des Parties ou du Secrétaire Général.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Le Comité des Parties adopte son propre règlement intérieur.</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68 – Procédure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présentent au Secrétaire Général du Conseil de l’Europe, sur la base d’un questionnaire préparé par le GREVIO, un rapport sur les mesures d’ordre législatif et autres donnant effet aux dispositions de la présente Convention, pour examen par le GREVIO.</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 GREVIO examine le rapport soumis conformément au paragraphe 1 avec les représentants de la Partie concernée.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La procédure d’évaluation ultérieure est divisée en cycles dont la durée est déterminée par le GREVIO. Au début de chaque cycle, le GREVIO sélectionne les dispositions particulières sur lesquelles va porter la procédure d’évaluation et envoie un questionnaire.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Le GREVIO détermine les moyens appropriés pour procéder à cette évaluation. Il peut, en particulier, adopter un questionnaire pour chacun des cycles qui sert de base à l’évaluation de la mise en œuvre par les Parties. Ce questionnaire est adressé à toutes les Parties. Les Parties répondent à ce questionnaire ainsi qu’à toute autre demande d’information du GREVIO.</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5</w:t>
      </w:r>
      <w:r>
        <w:tab/>
      </w:r>
      <w:r>
        <w:rPr>
          <w:rFonts w:ascii="Palatino Linotype" w:hAnsi="Palatino Linotype"/>
        </w:rPr>
        <w:t>Le GREVIO peut recevoir des informations concernant la mise en œuvre de la Convention des organisations non gouvernementales et de la société civile, ainsi que des institutions nationales de protection des droits de l’homme.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6</w:t>
      </w:r>
      <w:r>
        <w:tab/>
      </w:r>
      <w:r>
        <w:rPr>
          <w:rFonts w:ascii="Palatino Linotype" w:hAnsi="Palatino Linotype"/>
        </w:rPr>
        <w:t>Le GREVIO prend dûment en considération les informations existantes disponibles dans d’autres instruments et organisations régionaux et internationaux dans les domaines entrant dans le champ d’application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7</w:t>
      </w:r>
      <w:r>
        <w:tab/>
      </w:r>
      <w:r>
        <w:rPr>
          <w:rFonts w:ascii="Palatino Linotype" w:hAnsi="Palatino Linotype"/>
        </w:rPr>
        <w:t>Lorsqu’il adopte le questionnaire pour chaque cycle d’évaluation, le GREVIO prend dûment en considération la collecte des données et les recherches existantes dans les Parties, telles que mentionnées à l’article 11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8</w:t>
      </w:r>
      <w:r>
        <w:tab/>
      </w:r>
      <w:r>
        <w:rPr>
          <w:rFonts w:ascii="Palatino Linotype" w:hAnsi="Palatino Linotype"/>
        </w:rPr>
        <w:t>Le GREVIO peut recevoir des informations relatives à la mise en œuvre de la Convention de la part du Commissaire aux droits de l’homme du Conseil de l’Europe, de l’Assemblée parlementaire et d’autres organes spécialisés pertinents du Conseil de l’Europe ainsi que ceux établis par d’autres instruments internationaux. Les plaintes présentées devant ces organes et les suites qui leur sont données seront mises à la disposition du GREVIO.</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9</w:t>
      </w:r>
      <w:r>
        <w:tab/>
      </w:r>
      <w:r>
        <w:rPr>
          <w:rFonts w:ascii="Palatino Linotype" w:hAnsi="Palatino Linotype"/>
        </w:rPr>
        <w:t>Le GREVIO peut organiser, de manière subsidiaire, en coopération avec les autorités nationales et avec l’assistance d’experts nationaux indépendants, des visites dans les pays concernés, si les informations reçues sont insuffisantes ou dans les cas prévus au paragraphe 14. Lors de ces visites, le GREVIO peut se faire assister par des spécialistes dans des domaines spécifiques.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10</w:t>
      </w:r>
      <w:r>
        <w:tab/>
      </w:r>
      <w:r>
        <w:rPr>
          <w:rFonts w:ascii="Palatino Linotype" w:hAnsi="Palatino Linotype"/>
        </w:rPr>
        <w:t>Le GREVIO établit un projet de rapport contenant ses analyses concernant la mise en œuvre des dispositions sur lesquelles porte la procédure d’évaluation, ainsi que ses suggestions et propositions relatives à la manière dont la Partie concernée peut traiter les problèmes identifiés. Le projet de rapport est transmis pour commentaire à la Partie faisant l’objet de l’évaluation. Ses commentaires sont pris en compte par le GREVIO lorsqu’il adopte son rapport.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11</w:t>
      </w:r>
      <w:r>
        <w:tab/>
      </w:r>
      <w:r>
        <w:rPr>
          <w:rFonts w:ascii="Palatino Linotype" w:hAnsi="Palatino Linotype"/>
        </w:rPr>
        <w:t>Sur la base de toutes les informations reçues et des commentaires des Parties, le GREVIO adopte son rapport et ses conclusions concernant les mesures prises par la Partie concernée pour mettre en œuvre les dispositions de la présente Convention. Ce rapport et les conclusions sont envoyés à la Partie concernée et au Comité des Parties. Le rapport et les conclusions du GREVIO sont rendus publics dès leur adoption, avec les commentaires éventuels de la Partie concernée.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tab/>
      </w:r>
      <w:r>
        <w:rPr>
          <w:rFonts w:ascii="Palatino Linotype" w:hAnsi="Palatino Linotype"/>
          <w:sz w:val="16"/>
        </w:rPr>
        <w:t>12</w:t>
      </w:r>
      <w:r>
        <w:tab/>
      </w:r>
      <w:r>
        <w:rPr>
          <w:rFonts w:ascii="Palatino Linotype" w:hAnsi="Palatino Linotype"/>
        </w:rPr>
        <w:t>Sans préjudice de la procédure prévue aux paragraphes 1 à 8, le Comité des Parties peut adopter, sur la base du rapport et des conclusions du GREVIO, des recommandations adressées à cette Partie (a) concernant les mesures à prendre pour mettre en œuvre les conclusions du GREVIO, si nécessaire en fixant une date pour la soumission d’informations sur leur mise en œuvre, et (b) ayant pour objectif de promouvoir la coopération avec cette Partie afin de mettre en œuvre la présente Convention de manière satisfaisante.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13</w:t>
      </w:r>
      <w:r>
        <w:tab/>
      </w:r>
      <w:r>
        <w:rPr>
          <w:rFonts w:ascii="Palatino Linotype" w:hAnsi="Palatino Linotype"/>
        </w:rPr>
        <w:t>Si le GREVIO reçoit des informations fiables indiquant une situation dans laquelle des problèmes nécessitent une attention immédiate afin de prévenir ou de limiter l’ampleur ou le nombre de violations graves de la Convention, il peut demander la soumission urgente d’un rapport spécial relatif aux mesures prises pour prévenir un type de violence grave, répandu ou récurrent à l’égard des femmes.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14</w:t>
      </w:r>
      <w:r>
        <w:tab/>
      </w:r>
      <w:r>
        <w:rPr>
          <w:rFonts w:ascii="Palatino Linotype" w:hAnsi="Palatino Linotype"/>
        </w:rPr>
        <w:t>Le GREVIO peut, en tenant compte des informations soumises par la Partie concernée ainsi que de toute autre information fiable disponible, désigner un ou plusieurs de ses membres pour conduire une enquête et présenter de manière urgente un rapport au GREVIO. Lorsque cela est nécessaire et avec l’accord de la Partie, l’enquête peut comprendre une visite sur son territoire.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15</w:t>
      </w:r>
      <w:r>
        <w:tab/>
      </w:r>
      <w:r>
        <w:rPr>
          <w:rFonts w:ascii="Palatino Linotype" w:hAnsi="Palatino Linotype"/>
        </w:rPr>
        <w:t>Après avoir examiné les conclusions relatives à l’enquête mentionnée au paragraphe 14, le GREVIO transmet ces conclusions à la Partie concernée et, le cas échéant, au Comité des Parties et au Comité des Ministres du Conseil de l’Europe avec tout autre commentaire et recommandation.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69 – Recommandations générales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 GREVIO peut adopter, le cas échéant, des recommandations générales sur la mise en œuvre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70 – Participation des parlements au suivi</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parlements nationaux sont invités à participer au suivi des mesures prises pour la mise en œuvre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soumettent les rapports du GREVIO à leurs parlements nationaux.</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L’Assemblée parlementaire du Conseil de l’Europe est invitée à faire le bilan, de manière régulière, de la mise en œuvre de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X – Relations avec d’autres instruments internationaux</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71 – Relations avec d’autres instruments internationaux</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La présente Convention ne porte pas atteinte aux obligations découlant d’autres instruments internationaux auxquels les Parties à la présente Convention sont Parties ou le deviendront, et qui contiennent des dispositions relatives aux matières régies par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Parties à la présente Convention peuvent conclure entre elles des accords bilatéraux ou multilatéraux relatifs aux questions réglées par la présente Convention, aux fins de compléter ou de renforcer les dispositions de celle-ci ou pour faciliter l’application des principes qu’elle consacre.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Pr>
          <w:rFonts w:ascii="Palatino Linotype" w:hAnsi="Palatino Linotype"/>
          <w:b/>
        </w:rPr>
        <w:t>Chapitre XI – Amendements à la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72 – Amendements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 xml:space="preserve">Tout amendement à la présente Convention proposé par une Partie devra être communiqué au Secrétaire Général du Conseil de l’Europe et être transmis par ce dernier aux </w:t>
      </w:r>
      <w:r w:rsidR="00932F06">
        <w:rPr>
          <w:rFonts w:ascii="Palatino Linotype" w:hAnsi="Palatino Linotype"/>
        </w:rPr>
        <w:t>États</w:t>
      </w:r>
      <w:r>
        <w:rPr>
          <w:rFonts w:ascii="Palatino Linotype" w:hAnsi="Palatino Linotype"/>
        </w:rPr>
        <w:t xml:space="preserve"> membres du Conseil de l’Europe, à tout signataire, à toute Partie, à l’Union européenne, à tout </w:t>
      </w:r>
      <w:r w:rsidR="00D566F7">
        <w:rPr>
          <w:rFonts w:ascii="Palatino Linotype" w:hAnsi="Palatino Linotype"/>
        </w:rPr>
        <w:t>É</w:t>
      </w:r>
      <w:r>
        <w:rPr>
          <w:rFonts w:ascii="Palatino Linotype" w:hAnsi="Palatino Linotype"/>
        </w:rPr>
        <w:t xml:space="preserve">tat ayant été invité à signer la présente Convention conformément aux dispositions de l’article 75 et à tout </w:t>
      </w:r>
      <w:r w:rsidR="00D566F7">
        <w:rPr>
          <w:rFonts w:ascii="Palatino Linotype" w:hAnsi="Palatino Linotype"/>
        </w:rPr>
        <w:t>É</w:t>
      </w:r>
      <w:r>
        <w:rPr>
          <w:rFonts w:ascii="Palatino Linotype" w:hAnsi="Palatino Linotype"/>
        </w:rPr>
        <w:t>tat invité à adhérer à la présente Convention conformément aux dispositions de l’article 76.</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 Comité des Ministres du Conseil de l’Europe examine l’amendement proposé et, après consultation des Parties à la Convention qui ne sont pas membres du Conseil de l’Europe, peut adopter l’amendement à la majorité prévue à l’article 20.d du Statut du Conseil de l’Europe.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Le texte de tout amendement adopté par le Comité des Ministres conformément au paragraphe 2 sera communiqué aux Parties, en vue de son acceptation.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Tout amendement adopté conformément au paragraphe 2 entrera en vigueur le premier jour du mois suivant l’expiration d’une période d’un mois après la date à laquelle toutes les Parties auront informé le Secrétaire Général de leur acceptation.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rPr>
          <w:rFonts w:ascii="Palatino Linotype" w:hAnsi="Palatino Linotype"/>
          <w:b/>
        </w:rPr>
        <w:t>Chapitre XII – Clauses finales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73 – Effets de la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Les dispositions de la présente Convention ne portent pas atteinte aux dispositions du droit interne et d’autres instruments internationaux contraignants déjà en vigueur ou pouvant entrer en vigueur, et en application desquels des droits plus favorables sont ou seraient reconnus aux personnes en matière de prévention et de lutte contre la violence à l’égard des femmes et la violence domestique.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b/>
        </w:rPr>
        <w:t>Article 74 – Règlement de différends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Parties à tout litige qui surgit au sujet de l’application ou de l’interprétation des dispositions de la présente Convention devront en rechercher la solution, avant tout par voie de négociation, de conciliation, d’arbitrage, ou par tout autre mode de règlement pacifique accepté d’un commun accord par elles.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 Comité des Ministres du Conseil de l’Europe pourra établir des procédures de règlement qui pourraient être utilisées par les Parties à un litige, si elles y consentent.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75 – Signature et entrée en vigueur</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 xml:space="preserve">La présente Convention est ouverte à la signature des </w:t>
      </w:r>
      <w:r w:rsidR="00932F06">
        <w:rPr>
          <w:rFonts w:ascii="Palatino Linotype" w:hAnsi="Palatino Linotype"/>
        </w:rPr>
        <w:t>États</w:t>
      </w:r>
      <w:r>
        <w:rPr>
          <w:rFonts w:ascii="Palatino Linotype" w:hAnsi="Palatino Linotype"/>
        </w:rPr>
        <w:t xml:space="preserve"> membres du Conseil de l’Europe, des </w:t>
      </w:r>
      <w:r w:rsidR="00D566F7">
        <w:rPr>
          <w:rFonts w:ascii="Palatino Linotype" w:hAnsi="Palatino Linotype"/>
        </w:rPr>
        <w:t>États</w:t>
      </w:r>
      <w:r>
        <w:rPr>
          <w:rFonts w:ascii="Palatino Linotype" w:hAnsi="Palatino Linotype"/>
        </w:rPr>
        <w:t xml:space="preserve"> non</w:t>
      </w:r>
      <w:r w:rsidR="00D566F7">
        <w:rPr>
          <w:rFonts w:ascii="Palatino Linotype" w:hAnsi="Palatino Linotype"/>
        </w:rPr>
        <w:t>-</w:t>
      </w:r>
      <w:r>
        <w:rPr>
          <w:rFonts w:ascii="Palatino Linotype" w:hAnsi="Palatino Linotype"/>
        </w:rPr>
        <w:t>membres ayant participé à son élaboration ainsi que de l’Union européenne.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br w:type="page"/>
      </w:r>
      <w:r>
        <w:tab/>
      </w:r>
      <w:r>
        <w:rPr>
          <w:rFonts w:ascii="Palatino Linotype" w:hAnsi="Palatino Linotype"/>
          <w:sz w:val="16"/>
        </w:rPr>
        <w:t>2</w:t>
      </w:r>
      <w:r>
        <w:tab/>
      </w:r>
      <w:r>
        <w:rPr>
          <w:rFonts w:ascii="Palatino Linotype" w:hAnsi="Palatino Linotype"/>
        </w:rPr>
        <w:t>La présente Convention est soumise à ratification, acceptation ou approbation. Les instruments de ratification, d’acceptation ou d’approbation sont déposés près le Secrétaire Général du Conseil de l’Europe.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 xml:space="preserve">La présente Convention entrera en vigueur le premier jour du mois suivant l’expiration d’une période de trois mois après la date à laquelle 10 signataires, dont au moins huit </w:t>
      </w:r>
      <w:r w:rsidR="00932F06">
        <w:rPr>
          <w:rFonts w:ascii="Palatino Linotype" w:hAnsi="Palatino Linotype"/>
        </w:rPr>
        <w:t>États</w:t>
      </w:r>
      <w:r>
        <w:rPr>
          <w:rFonts w:ascii="Palatino Linotype" w:hAnsi="Palatino Linotype"/>
        </w:rPr>
        <w:t xml:space="preserve"> membres du Conseil de l’Europe, auront exprimé leur consentement à être liés par la Convention, conformément aux dispositions du paragraphe 2.</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 xml:space="preserve">Si un </w:t>
      </w:r>
      <w:r w:rsidR="00D566F7">
        <w:rPr>
          <w:rFonts w:ascii="Palatino Linotype" w:hAnsi="Palatino Linotype"/>
        </w:rPr>
        <w:t>É</w:t>
      </w:r>
      <w:r>
        <w:rPr>
          <w:rFonts w:ascii="Palatino Linotype" w:hAnsi="Palatino Linotype"/>
        </w:rPr>
        <w:t>tat visé au paragraphe 1 ou l’Union européenne exprime ultérieurement son consentement à être lié par la Convention, cette dernière entrera en vigueur, à son égard, le premier jour du mois suivant l’expiration d’une période de trois mois après la date du dépôt de l’instrument de ratification, d’acceptation ou d’approbation.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76 – Adhésion à la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 xml:space="preserve">Après l’entrée en vigueur de la présente Convention, le Comité des Ministres du Conseil de l’Europe pourra, après consultation des Parties à la présente Convention et en avoir obtenu l’assentiment unanime, inviter tout </w:t>
      </w:r>
      <w:r w:rsidR="00D566F7">
        <w:rPr>
          <w:rFonts w:ascii="Palatino Linotype" w:hAnsi="Palatino Linotype"/>
        </w:rPr>
        <w:t>É</w:t>
      </w:r>
      <w:r>
        <w:rPr>
          <w:rFonts w:ascii="Palatino Linotype" w:hAnsi="Palatino Linotype"/>
        </w:rPr>
        <w:t>tat non</w:t>
      </w:r>
      <w:r w:rsidR="00D566F7">
        <w:rPr>
          <w:rFonts w:ascii="Palatino Linotype" w:hAnsi="Palatino Linotype"/>
        </w:rPr>
        <w:t>-</w:t>
      </w:r>
      <w:r>
        <w:rPr>
          <w:rFonts w:ascii="Palatino Linotype" w:hAnsi="Palatino Linotype"/>
        </w:rPr>
        <w:t xml:space="preserve">membre du Conseil de l’Europe n’ayant pas participé à l’élaboration de la Convention à adhérer à la présente Convention par une décision prise à la majorité prévue à l’article 20.d du Statut du Conseil de l’Europe, et à l’unanimité des voix des représentants des </w:t>
      </w:r>
      <w:r w:rsidR="00932F06">
        <w:rPr>
          <w:rFonts w:ascii="Palatino Linotype" w:hAnsi="Palatino Linotype"/>
        </w:rPr>
        <w:t>États</w:t>
      </w:r>
      <w:r>
        <w:rPr>
          <w:rFonts w:ascii="Palatino Linotype" w:hAnsi="Palatino Linotype"/>
        </w:rPr>
        <w:t xml:space="preserve"> contractants ayant le droit de siéger au Comité des Ministres.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 xml:space="preserve">Pour tout </w:t>
      </w:r>
      <w:r w:rsidR="00D566F7">
        <w:rPr>
          <w:rFonts w:ascii="Palatino Linotype" w:hAnsi="Palatino Linotype"/>
        </w:rPr>
        <w:t>É</w:t>
      </w:r>
      <w:r>
        <w:rPr>
          <w:rFonts w:ascii="Palatino Linotype" w:hAnsi="Palatino Linotype"/>
        </w:rPr>
        <w:t>tat adhérent, la Convention entrera en vigueur le premier jour du mois suivant l’expiration d’une période de trois mois après la date du dépôt de l’instrument d’adhésion près le Secrétaire Général du Conseil de l’Europe.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77 – Application territoriale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 xml:space="preserve">Tout </w:t>
      </w:r>
      <w:r w:rsidR="00D566F7">
        <w:rPr>
          <w:rFonts w:ascii="Palatino Linotype" w:hAnsi="Palatino Linotype"/>
        </w:rPr>
        <w:t>É</w:t>
      </w:r>
      <w:r>
        <w:rPr>
          <w:rFonts w:ascii="Palatino Linotype" w:hAnsi="Palatino Linotype"/>
        </w:rPr>
        <w:t>tat ou l’Union européenne peut, au moment de la signature ou au moment du dépôt de son instrument de ratification, d’acceptation, d’approbation ou d’adhésion, désigner le ou les territoires auxquels s’appliquera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Toute Partie peut, à tout autre moment par la suite, par une déclaration adressée au Secrétaire Général du Conseil de l’Europe, étendre l’application de la présente Convention à tout autre territoire désigné dans cette déclaration dont elle assure les relations internationales ou au nom duquel elle est autorisée à prendre des engagements. La Convention entrera en vigueur à l’égard de ce territoire le premier jour du mois suivant l’expiration d’une période de trois mois après la date de réception de la déclaration par le Secrétaire Général.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Toute déclaration faite en vertu des deux paragraphes précédents pourra, à l’égard de tout territoire désigné dans cette déclaration, être retirée par notification adressée au Secrétaire Général du Conseil de l’Europe. Ce retrait prendra effet le premier jour du mois suivant l’expiration d’une période de trois mois après la date de réception de la notification par le Secrétaire Général.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sidR="004C12B4">
        <w:tab/>
      </w:r>
      <w:r w:rsidR="004C12B4">
        <w:tab/>
      </w:r>
      <w:r>
        <w:rPr>
          <w:rFonts w:ascii="Palatino Linotype" w:hAnsi="Palatino Linotype"/>
          <w:b/>
        </w:rPr>
        <w:t>Article 78 – Réserves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Aucune réserve n’est admise à l’égard des dispositions de la présente Convention, à l’exception de celles prévues aux paragraphes 2 et 3.</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 xml:space="preserve">Tout </w:t>
      </w:r>
      <w:r w:rsidR="00D566F7">
        <w:rPr>
          <w:rFonts w:ascii="Palatino Linotype" w:hAnsi="Palatino Linotype"/>
        </w:rPr>
        <w:t>É</w:t>
      </w:r>
      <w:r>
        <w:rPr>
          <w:rFonts w:ascii="Palatino Linotype" w:hAnsi="Palatino Linotype"/>
        </w:rPr>
        <w:t>tat ou l’Union européenne peut, au moment de la signature ou au moment du dépôt de son instrument de ratification, d’acceptation, d’approbation ou d’adhésion, dans une déclaration adressée au Secrétaire Général du Conseil de l’Europe, préciser qu’il se réserve le droit de ne pas appliquer, ou de n’appliquer que dans des cas ou conditions spécifiques, les dispositions établies à</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l’article 30, paragraphe 2;</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w:t>
      </w:r>
      <w:r w:rsidR="00CF4F6F">
        <w:rPr>
          <w:rFonts w:ascii="Palatino Linotype" w:hAnsi="Palatino Linotype"/>
        </w:rPr>
        <w:tab/>
      </w:r>
      <w:r w:rsidR="00E01CD8">
        <w:rPr>
          <w:rFonts w:ascii="Palatino Linotype" w:hAnsi="Palatino Linotype"/>
        </w:rPr>
        <w:t>l’article 44, paragraphes 1.e, 3 et 4;</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l’article 55, paragraphe 1 en ce qui concerne l’article 35 à l’égard des infractions mineures;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l’article 58 en ce qui concerne les articles 37, 38 et 39;</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w:t>
      </w:r>
      <w:r w:rsidR="00E01CD8">
        <w:tab/>
      </w:r>
      <w:r w:rsidR="00E01CD8">
        <w:rPr>
          <w:rFonts w:ascii="Palatino Linotype" w:hAnsi="Palatino Linotype"/>
        </w:rPr>
        <w:t>l’article 59.</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 xml:space="preserve">Tout </w:t>
      </w:r>
      <w:r w:rsidR="00D566F7">
        <w:rPr>
          <w:rFonts w:ascii="Palatino Linotype" w:hAnsi="Palatino Linotype"/>
        </w:rPr>
        <w:t>É</w:t>
      </w:r>
      <w:r>
        <w:rPr>
          <w:rFonts w:ascii="Palatino Linotype" w:hAnsi="Palatino Linotype"/>
        </w:rPr>
        <w:t>tat ou l’Union européenne peut, au moment de la signature ou au moment du dépôt de son instrument de ratification, d’acceptation, d’approbation ou d’adhésion, dans une déclaration adressée au Secrétaire Général du Conseil de l’Europe, préciser qu’il se réserve le droit de prévoir des sanctions non pénales, au lieu de sanctions pénales, pour les comportements mentionnés aux articles 33 et 34.</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Toute Partie peut retirer en tout ou en partie une réserve au moyen d’une déclaration adressée au Secrétaire Général du Conseil de l’Europe. Cette déclaration prendra effet à la date de sa réception par le Secrétaire Général.</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79 – Validité et examen des réserves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Les réserves prévues à l’article 78, paragraphes 2 et 3, sont valables cinq ans à compter du premier jour de l’entrée en vigueur de la Convention pour la Partie concernée. Toutefois, ces réserves peuvent être renouvelées pour des périodes de la même durée.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Dix-huit mois avant l’expiration de la réserve, le Secrétaire Général du Conseil de l’Europe informe la Partie concernée de cette expiration. Trois mois avant la date d’expiration, la Partie notifie au Secrétaire Général son intention de maintenir, de modifier ou de retirer la réserve. Dans le cas contraire, le Secrétaire Général informe cette Partie que sa réserve est automatiquement prolongée pour une période de six mois. Si la Partie concernée ne notifie pas sa décision de maintenir ou modifier ses réserves avant l’expiration de cette période, la ou les réserves tombent.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Lorsqu’une Partie formule une réserve conformément à l’article 78, paragraphes 2 et 3, elle fournit, avant son renouvellement ou sur demande, des explications au GREVIO quant aux motifs justifiant son maintien.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sidR="004C12B4">
        <w:tab/>
      </w:r>
      <w:r w:rsidR="004C12B4">
        <w:tab/>
      </w:r>
      <w:r>
        <w:rPr>
          <w:rFonts w:ascii="Palatino Linotype" w:hAnsi="Palatino Linotype"/>
          <w:b/>
        </w:rPr>
        <w:t>Article 80 – Dénonciation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Toute Partie peut, à tout moment, dénoncer la présente Convention en adressant une notification au Secrétaire Général du Conseil de l’Europe.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Cette dénonciation prendra effet le premier jour du mois suivant l’expiration d’une période de trois mois après la date de réception de la notification par le Secrétaire Général.</w:t>
      </w:r>
    </w:p>
    <w:p w:rsidR="00E01CD8" w:rsidRDefault="00E01CD8">
      <w:pPr>
        <w:tabs>
          <w:tab w:val="left" w:pos="426"/>
          <w:tab w:val="left" w:pos="851"/>
          <w:tab w:val="left" w:pos="1276"/>
          <w:tab w:val="left" w:pos="1701"/>
        </w:tabs>
        <w:ind w:left="851" w:hanging="851"/>
        <w:jc w:val="both"/>
        <w:rPr>
          <w:rFonts w:ascii="Palatino Linotype" w:hAnsi="Palatino Linotype"/>
          <w:b/>
          <w:szCs w:val="20"/>
        </w:rPr>
      </w:pPr>
    </w:p>
    <w:p w:rsidR="00E01CD8" w:rsidRDefault="004C12B4">
      <w:pPr>
        <w:tabs>
          <w:tab w:val="left" w:pos="426"/>
          <w:tab w:val="left" w:pos="851"/>
          <w:tab w:val="left" w:pos="1276"/>
          <w:tab w:val="left" w:pos="1701"/>
        </w:tabs>
        <w:ind w:left="851" w:hanging="851"/>
        <w:jc w:val="both"/>
        <w:rPr>
          <w:rFonts w:ascii="Palatino Linotype" w:hAnsi="Palatino Linotype"/>
          <w:b/>
          <w:szCs w:val="20"/>
        </w:rPr>
      </w:pPr>
      <w:r>
        <w:tab/>
      </w:r>
      <w:r>
        <w:tab/>
      </w:r>
      <w:r w:rsidR="00E01CD8">
        <w:rPr>
          <w:rFonts w:ascii="Palatino Linotype" w:hAnsi="Palatino Linotype"/>
          <w:b/>
        </w:rPr>
        <w:t>Article 81 – Notification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 xml:space="preserve">Le Secrétaire Général du Conseil de l’Europe notifiera aux </w:t>
      </w:r>
      <w:r w:rsidR="00932F06">
        <w:rPr>
          <w:rFonts w:ascii="Palatino Linotype" w:hAnsi="Palatino Linotype"/>
        </w:rPr>
        <w:t>États</w:t>
      </w:r>
      <w:r w:rsidR="00E01CD8">
        <w:rPr>
          <w:rFonts w:ascii="Palatino Linotype" w:hAnsi="Palatino Linotype"/>
        </w:rPr>
        <w:t xml:space="preserve"> membres du Conseil de l’Europe, aux </w:t>
      </w:r>
      <w:r w:rsidR="00D566F7">
        <w:rPr>
          <w:rFonts w:ascii="Palatino Linotype" w:hAnsi="Palatino Linotype"/>
        </w:rPr>
        <w:t>États</w:t>
      </w:r>
      <w:r w:rsidR="00E01CD8">
        <w:rPr>
          <w:rFonts w:ascii="Palatino Linotype" w:hAnsi="Palatino Linotype"/>
        </w:rPr>
        <w:t xml:space="preserve"> non</w:t>
      </w:r>
      <w:r w:rsidR="00D566F7">
        <w:rPr>
          <w:rFonts w:ascii="Palatino Linotype" w:hAnsi="Palatino Linotype"/>
        </w:rPr>
        <w:t>-</w:t>
      </w:r>
      <w:r w:rsidR="00E01CD8">
        <w:rPr>
          <w:rFonts w:ascii="Palatino Linotype" w:hAnsi="Palatino Linotype"/>
        </w:rPr>
        <w:t xml:space="preserve">membres du Conseil de l’Europe ayant participé à l’élaboration de la présente Convention, à tout signataire, à toute Partie, à l’Union européenne, et à tout </w:t>
      </w:r>
      <w:r w:rsidR="00D566F7">
        <w:rPr>
          <w:rFonts w:ascii="Palatino Linotype" w:hAnsi="Palatino Linotype"/>
        </w:rPr>
        <w:t>É</w:t>
      </w:r>
      <w:r w:rsidR="00E01CD8">
        <w:rPr>
          <w:rFonts w:ascii="Palatino Linotype" w:hAnsi="Palatino Linotype"/>
        </w:rPr>
        <w:t>tat invité à adhérer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toute signature;</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le dépôt de tout instrument de ratification, d’acceptation, d’approbation ou d’adhésion;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c</w:t>
      </w:r>
      <w:r w:rsidR="00E01CD8">
        <w:tab/>
      </w:r>
      <w:r w:rsidR="00E01CD8">
        <w:rPr>
          <w:rFonts w:ascii="Palatino Linotype" w:hAnsi="Palatino Linotype"/>
        </w:rPr>
        <w:t>toute date d’entrée en vigueur de la présente Convention, conformément aux articles 75 et 76;</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d</w:t>
      </w:r>
      <w:r w:rsidR="00E01CD8">
        <w:tab/>
      </w:r>
      <w:r w:rsidR="00E01CD8">
        <w:rPr>
          <w:rFonts w:ascii="Palatino Linotype" w:hAnsi="Palatino Linotype"/>
        </w:rPr>
        <w:t>tout amendement adopté conformément à l’article 72, ainsi que la date d’entrée en vigueur dudit amendement;</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e</w:t>
      </w:r>
      <w:r w:rsidR="00E01CD8">
        <w:tab/>
      </w:r>
      <w:r w:rsidR="00E01CD8">
        <w:rPr>
          <w:rFonts w:ascii="Palatino Linotype" w:hAnsi="Palatino Linotype"/>
        </w:rPr>
        <w:t>toute réserve et tout retrait de réserve faits en application de l’article 78;</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f</w:t>
      </w:r>
      <w:r w:rsidR="00E01CD8">
        <w:tab/>
      </w:r>
      <w:r w:rsidR="00E01CD8">
        <w:rPr>
          <w:rFonts w:ascii="Palatino Linotype" w:hAnsi="Palatino Linotype"/>
        </w:rPr>
        <w:t>toute dénonciation faite en vertu des dispositions de l’article 80;</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g</w:t>
      </w:r>
      <w:r w:rsidR="00E01CD8">
        <w:tab/>
      </w:r>
      <w:r w:rsidR="00E01CD8">
        <w:rPr>
          <w:rFonts w:ascii="Palatino Linotype" w:hAnsi="Palatino Linotype"/>
        </w:rPr>
        <w:t>tout autre acte, notification ou communication ayant trait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En foi de quoi, les soussignés, dûment autorisés à cet effet, ont signé la présente Convention.</w:t>
      </w:r>
    </w:p>
    <w:p w:rsidR="00E01CD8" w:rsidRDefault="00E01CD8">
      <w:pPr>
        <w:tabs>
          <w:tab w:val="left" w:pos="426"/>
          <w:tab w:val="left" w:pos="851"/>
          <w:tab w:val="left" w:pos="1276"/>
          <w:tab w:val="left" w:pos="1701"/>
        </w:tabs>
        <w:jc w:val="both"/>
        <w:rPr>
          <w:rFonts w:ascii="Palatino Linotype" w:hAnsi="Palatino Linotype"/>
          <w:szCs w:val="20"/>
        </w:rPr>
      </w:pPr>
    </w:p>
    <w:p w:rsidR="00E01CD8" w:rsidRDefault="004C12B4">
      <w:pPr>
        <w:tabs>
          <w:tab w:val="left" w:pos="426"/>
          <w:tab w:val="left" w:pos="851"/>
          <w:tab w:val="left" w:pos="1276"/>
          <w:tab w:val="left" w:pos="1701"/>
        </w:tabs>
        <w:ind w:left="851" w:hanging="851"/>
        <w:jc w:val="both"/>
        <w:rPr>
          <w:rFonts w:ascii="Palatino Linotype" w:hAnsi="Palatino Linotype"/>
          <w:szCs w:val="20"/>
        </w:rPr>
      </w:pPr>
      <w:r>
        <w:tab/>
      </w:r>
      <w:r>
        <w:tab/>
      </w:r>
      <w:r w:rsidR="00E01CD8">
        <w:rPr>
          <w:rFonts w:ascii="Palatino Linotype" w:hAnsi="Palatino Linotype"/>
        </w:rPr>
        <w:t xml:space="preserve">Fait à Istanbul, le 11 mai 2011, en français et en anglais, les deux textes faisant également foi, en un seul exemplaire qui sera déposé dans les archives du Conseil de l’Europe. Le Secrétaire Général du Conseil de l’Europe en communiquera copie certifiée conforme à chacun des </w:t>
      </w:r>
      <w:r w:rsidR="00932F06">
        <w:rPr>
          <w:rFonts w:ascii="Palatino Linotype" w:hAnsi="Palatino Linotype"/>
        </w:rPr>
        <w:t>États</w:t>
      </w:r>
      <w:r w:rsidR="00E01CD8">
        <w:rPr>
          <w:rFonts w:ascii="Palatino Linotype" w:hAnsi="Palatino Linotype"/>
        </w:rPr>
        <w:t xml:space="preserve"> membres du Conseil de l’Europe, aux </w:t>
      </w:r>
      <w:r w:rsidR="00D566F7">
        <w:rPr>
          <w:rFonts w:ascii="Palatino Linotype" w:hAnsi="Palatino Linotype"/>
        </w:rPr>
        <w:t>États</w:t>
      </w:r>
      <w:r w:rsidR="00E01CD8">
        <w:rPr>
          <w:rFonts w:ascii="Palatino Linotype" w:hAnsi="Palatino Linotype"/>
        </w:rPr>
        <w:t xml:space="preserve"> non</w:t>
      </w:r>
      <w:r w:rsidR="00D566F7">
        <w:rPr>
          <w:rFonts w:ascii="Palatino Linotype" w:hAnsi="Palatino Linotype"/>
        </w:rPr>
        <w:t>-</w:t>
      </w:r>
      <w:r w:rsidR="00E01CD8">
        <w:rPr>
          <w:rFonts w:ascii="Palatino Linotype" w:hAnsi="Palatino Linotype"/>
        </w:rPr>
        <w:t xml:space="preserve">membres ayant participé à l’élaboration de la présente Convention, à l’Union européenne et à tout </w:t>
      </w:r>
      <w:r w:rsidR="00D566F7">
        <w:rPr>
          <w:rFonts w:ascii="Palatino Linotype" w:hAnsi="Palatino Linotype"/>
        </w:rPr>
        <w:t>É</w:t>
      </w:r>
      <w:r w:rsidR="00E01CD8">
        <w:rPr>
          <w:rFonts w:ascii="Palatino Linotype" w:hAnsi="Palatino Linotype"/>
        </w:rPr>
        <w:t>tat invité à adhérer à la présente Convention.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b/>
          <w:szCs w:val="20"/>
        </w:rPr>
      </w:pPr>
      <w:r>
        <w:br w:type="page"/>
      </w:r>
      <w:r>
        <w:rPr>
          <w:rFonts w:ascii="Palatino Linotype" w:hAnsi="Palatino Linotype"/>
          <w:b/>
        </w:rPr>
        <w:t>Annexe – Privilèges et Immunités (article 66)</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1</w:t>
      </w:r>
      <w:r>
        <w:tab/>
      </w:r>
      <w:r>
        <w:rPr>
          <w:rFonts w:ascii="Palatino Linotype" w:hAnsi="Palatino Linotype"/>
        </w:rPr>
        <w:t xml:space="preserve">La présente annexe s’applique aux membres du GREVIO mentionnés à l’article 66 de la Convention ainsi qu’aux autres membres des délégations chargées d’effectuer les visites dans le pays. Aux fins de la présente annexe, l’expression </w:t>
      </w:r>
      <w:r w:rsidR="007B7432">
        <w:rPr>
          <w:rFonts w:ascii="Palatino Linotype" w:hAnsi="Palatino Linotype"/>
        </w:rPr>
        <w:t>«</w:t>
      </w:r>
      <w:r>
        <w:rPr>
          <w:rFonts w:ascii="Palatino Linotype" w:hAnsi="Palatino Linotype"/>
        </w:rPr>
        <w:t>autres membres des délégations chargées d’effectuer les visites dans le pays</w:t>
      </w:r>
      <w:r w:rsidR="007B7432">
        <w:rPr>
          <w:rFonts w:ascii="Palatino Linotype" w:hAnsi="Palatino Linotype"/>
        </w:rPr>
        <w:t>»</w:t>
      </w:r>
      <w:r>
        <w:rPr>
          <w:rFonts w:ascii="Palatino Linotype" w:hAnsi="Palatino Linotype"/>
        </w:rPr>
        <w:t xml:space="preserve"> comprend les experts nationaux indépendants et les spécialistes visés à l’article 68, paragraphe 9, de la Convention, les agents du Conseil de l’Europe et les interprètes employés par le Conseil de l’Europe qui accompagnent le GREVIO lors de ses visites dans le pays.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2</w:t>
      </w:r>
      <w:r>
        <w:tab/>
      </w:r>
      <w:r>
        <w:rPr>
          <w:rFonts w:ascii="Palatino Linotype" w:hAnsi="Palatino Linotype"/>
        </w:rPr>
        <w:t>Les membres du GREVIO et les autres membres des délégations chargées d’effectuer les visites dans le pays bénéficient des privilèges et immunités mentionnés ci-après dans l’exercice de leurs fonctions liées à la préparation et à la mise en œuvre des visites ainsi qu’aux suites données à celles-ci et aux voyages liés à ces fonctions</w:t>
      </w:r>
      <w:r w:rsidR="00CF4F6F">
        <w:rPr>
          <w:rFonts w:ascii="Palatino Linotype" w:hAnsi="Palatino Linotype"/>
        </w:rPr>
        <w:t>:</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a</w:t>
      </w:r>
      <w:r w:rsidR="00E01CD8">
        <w:tab/>
      </w:r>
      <w:r w:rsidR="00E01CD8">
        <w:rPr>
          <w:rFonts w:ascii="Palatino Linotype" w:hAnsi="Palatino Linotype"/>
        </w:rPr>
        <w:t>immunité d’arrestation ou de détention et de saisie de leurs bagages personnels et, en ce qui concerne les actes accomplis par eux en leur qualité officielle, y compris leurs paroles et écrits, immunité de toute juridiction;</w:t>
      </w:r>
    </w:p>
    <w:p w:rsidR="00E01CD8" w:rsidRDefault="00E01CD8">
      <w:pPr>
        <w:tabs>
          <w:tab w:val="left" w:pos="426"/>
          <w:tab w:val="left" w:pos="851"/>
          <w:tab w:val="left" w:pos="1276"/>
          <w:tab w:val="left" w:pos="1701"/>
        </w:tabs>
        <w:ind w:left="1276" w:hanging="1276"/>
        <w:jc w:val="both"/>
        <w:rPr>
          <w:rFonts w:ascii="Palatino Linotype" w:hAnsi="Palatino Linotype"/>
          <w:szCs w:val="20"/>
        </w:rPr>
      </w:pPr>
    </w:p>
    <w:p w:rsidR="00E01CD8" w:rsidRDefault="004C12B4">
      <w:pPr>
        <w:tabs>
          <w:tab w:val="left" w:pos="426"/>
          <w:tab w:val="left" w:pos="851"/>
          <w:tab w:val="left" w:pos="1276"/>
          <w:tab w:val="left" w:pos="1701"/>
        </w:tabs>
        <w:ind w:left="1276" w:hanging="1276"/>
        <w:jc w:val="both"/>
        <w:rPr>
          <w:rFonts w:ascii="Palatino Linotype" w:hAnsi="Palatino Linotype"/>
          <w:szCs w:val="20"/>
        </w:rPr>
      </w:pPr>
      <w:r>
        <w:tab/>
      </w:r>
      <w:r>
        <w:tab/>
      </w:r>
      <w:r w:rsidR="00E01CD8">
        <w:rPr>
          <w:rFonts w:ascii="Palatino Linotype" w:hAnsi="Palatino Linotype"/>
          <w:sz w:val="16"/>
        </w:rPr>
        <w:t>b</w:t>
      </w:r>
      <w:r w:rsidR="00E01CD8">
        <w:tab/>
      </w:r>
      <w:r w:rsidR="00E01CD8">
        <w:rPr>
          <w:rFonts w:ascii="Palatino Linotype" w:hAnsi="Palatino Linotype"/>
        </w:rPr>
        <w:t>exemption à l’égard de toutes mesures restrictives relatives à leur liberté de mouvement</w:t>
      </w:r>
      <w:r w:rsidR="00CF4F6F">
        <w:rPr>
          <w:rFonts w:ascii="Palatino Linotype" w:hAnsi="Palatino Linotype"/>
        </w:rPr>
        <w:t>:</w:t>
      </w:r>
      <w:r w:rsidR="00E01CD8">
        <w:rPr>
          <w:rFonts w:ascii="Palatino Linotype" w:hAnsi="Palatino Linotype"/>
        </w:rPr>
        <w:t xml:space="preserve"> sortie de et entrée dans leur pays de résidence et entrée dans le et sortie du pays dans lequel ils exercent leurs fonctions, ainsi qu’à l’égard de toutes les formalités d’enregistrement des étrangers, dans les pays visités ou traversés par eux dans l’exercice de leurs fonctions.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3</w:t>
      </w:r>
      <w:r>
        <w:tab/>
      </w:r>
      <w:r>
        <w:rPr>
          <w:rFonts w:ascii="Palatino Linotype" w:hAnsi="Palatino Linotype"/>
        </w:rPr>
        <w:t>Au cours des voyages accomplis dans l’exercice de leurs fonctions, les membres du GREVIO et les autres membres des délégations chargées d’effectuer les visites dans le pays se voient accorder, en matière de douane et de contrôle des changes, les mêmes facilités que celles reconnues aux représentants de gouvernements étrangers en mission officielle temporaire.</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4</w:t>
      </w:r>
      <w:r>
        <w:tab/>
      </w:r>
      <w:r>
        <w:rPr>
          <w:rFonts w:ascii="Palatino Linotype" w:hAnsi="Palatino Linotype"/>
        </w:rPr>
        <w:t>Les documents relatifs à l’évaluation de la mise en œuvre de la Convention transportés par les membres du GREVIO et les autres membres des délégations chargées d’effectuer les visites dans le pays, sont inviolables dans la mesure où ils concernent l’activité du GREVIO. Aucune mesure d’interception ou de censure ne peut s’appliquer à la correspondance officielle du GREVIO ou aux communications officielles des membres du GREVIO et des autres membres des délégations chargées d’effectuer les visites dans le pays.</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5</w:t>
      </w:r>
      <w:r>
        <w:tab/>
      </w:r>
      <w:r>
        <w:rPr>
          <w:rFonts w:ascii="Palatino Linotype" w:hAnsi="Palatino Linotype"/>
        </w:rPr>
        <w:t>En vue d’assurer aux membres du GREVIO et aux autres membres des délégations chargées d’effectuer les visites dans le pays une complète liberté de parole et une complète indépendance dans l’accomplissement de leurs fonctions, l’immunité de juridiction en ce qui concerne les paroles ou les écrits ou les actes émanant d’eux dans l’accomplissement de leurs fonctions continuera à leur être accordée même après que le mandat de ces personnes aura pris fin.</w:t>
      </w:r>
    </w:p>
    <w:p w:rsidR="00E01CD8" w:rsidRDefault="00E01CD8">
      <w:pPr>
        <w:tabs>
          <w:tab w:val="left" w:pos="426"/>
          <w:tab w:val="left" w:pos="851"/>
          <w:tab w:val="left" w:pos="1276"/>
          <w:tab w:val="left" w:pos="1701"/>
        </w:tabs>
        <w:ind w:left="851" w:hanging="851"/>
        <w:jc w:val="both"/>
        <w:rPr>
          <w:rFonts w:ascii="Palatino Linotype" w:hAnsi="Palatino Linotype"/>
          <w:szCs w:val="20"/>
        </w:rPr>
      </w:pPr>
    </w:p>
    <w:p w:rsidR="00E01CD8" w:rsidRDefault="00E01CD8">
      <w:pPr>
        <w:tabs>
          <w:tab w:val="left" w:pos="426"/>
          <w:tab w:val="left" w:pos="851"/>
          <w:tab w:val="left" w:pos="1276"/>
          <w:tab w:val="left" w:pos="1701"/>
        </w:tabs>
        <w:ind w:left="851" w:hanging="851"/>
        <w:jc w:val="both"/>
        <w:rPr>
          <w:rFonts w:ascii="Palatino Linotype" w:hAnsi="Palatino Linotype"/>
          <w:szCs w:val="20"/>
        </w:rPr>
      </w:pPr>
      <w:r>
        <w:tab/>
      </w:r>
      <w:r>
        <w:rPr>
          <w:rFonts w:ascii="Palatino Linotype" w:hAnsi="Palatino Linotype"/>
          <w:sz w:val="16"/>
        </w:rPr>
        <w:t>6</w:t>
      </w:r>
      <w:r>
        <w:tab/>
      </w:r>
      <w:r>
        <w:rPr>
          <w:rFonts w:ascii="Palatino Linotype" w:hAnsi="Palatino Linotype"/>
        </w:rPr>
        <w:t>Les privilèges et immunités sont accordés aux personnes mentionnées au paragraphe 1 de la présente annexe, non pour leur bénéfice personnel, mais dans le but d’assurer en toute indépendance l’exercice de leurs fonctions dans l’intérêt du GREVIO. La levée des immunités accordées aux personnes mentionnées au paragraphe 1 de la présente annexe est effectuée par le Secrétaire Général du Conseil de l’Europe, dans tous les cas où, à son avis, l’immunité empêcherait que justice soit faite et où l’immunité peut être levée sans nuire aux intérêts du GREVIO.</w:t>
      </w:r>
    </w:p>
    <w:bookmarkEnd w:id="2"/>
    <w:p w:rsidR="00E01CD8" w:rsidRDefault="00E01CD8">
      <w:pPr>
        <w:jc w:val="both"/>
        <w:rPr>
          <w:rFonts w:ascii="Palatino Linotype" w:hAnsi="Palatino Linotype"/>
          <w:szCs w:val="20"/>
        </w:rPr>
      </w:pPr>
    </w:p>
    <w:sectPr w:rsidR="00E01CD8" w:rsidSect="00794A12">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493"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22" w:rsidRDefault="004C5822">
      <w:r>
        <w:separator/>
      </w:r>
    </w:p>
  </w:endnote>
  <w:endnote w:type="continuationSeparator" w:id="0">
    <w:p w:rsidR="004C5822" w:rsidRDefault="004C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F2" w:rsidRDefault="00897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2" w:rsidRPr="004C5822" w:rsidRDefault="004C5822" w:rsidP="004C5822">
    <w:pPr>
      <w:pStyle w:val="FooterCoverPage"/>
      <w:rPr>
        <w:rFonts w:ascii="Arial" w:hAnsi="Arial" w:cs="Arial"/>
        <w:b/>
        <w:sz w:val="48"/>
      </w:rPr>
    </w:pPr>
    <w:r w:rsidRPr="004C5822">
      <w:rPr>
        <w:rFonts w:ascii="Arial" w:hAnsi="Arial" w:cs="Arial"/>
        <w:b/>
        <w:sz w:val="48"/>
      </w:rPr>
      <w:t>FR</w:t>
    </w:r>
    <w:r w:rsidRPr="004C5822">
      <w:rPr>
        <w:rFonts w:ascii="Arial" w:hAnsi="Arial" w:cs="Arial"/>
        <w:b/>
        <w:sz w:val="48"/>
      </w:rPr>
      <w:tab/>
    </w:r>
    <w:r w:rsidRPr="004C5822">
      <w:rPr>
        <w:rFonts w:ascii="Arial" w:hAnsi="Arial" w:cs="Arial"/>
        <w:b/>
        <w:sz w:val="48"/>
      </w:rPr>
      <w:tab/>
    </w:r>
    <w:fldSimple w:instr=" DOCVARIABLE &quot;LW_Confidence&quot; \* MERGEFORMAT ">
      <w:r w:rsidR="00897FF2">
        <w:t xml:space="preserve"> </w:t>
      </w:r>
    </w:fldSimple>
    <w:r w:rsidRPr="004C5822">
      <w:tab/>
    </w:r>
    <w:r w:rsidRPr="004C582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F2" w:rsidRDefault="00897F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2" w:rsidRDefault="004C5822">
    <w:pPr>
      <w:pStyle w:val="Footer"/>
      <w:jc w:val="right"/>
    </w:pPr>
    <w:r>
      <w:fldChar w:fldCharType="begin"/>
    </w:r>
    <w:r>
      <w:instrText xml:space="preserve"> PAGE   \* MERGEFORMAT </w:instrText>
    </w:r>
    <w:r>
      <w:fldChar w:fldCharType="separate"/>
    </w:r>
    <w:r>
      <w:rPr>
        <w:noProof/>
      </w:rPr>
      <w:t>2</w:t>
    </w:r>
    <w:r>
      <w:rPr>
        <w:noProof/>
      </w:rPr>
      <w:fldChar w:fldCharType="end"/>
    </w:r>
  </w:p>
  <w:p w:rsidR="004C5822" w:rsidRDefault="004C58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2" w:rsidRDefault="004C5822">
    <w:pPr>
      <w:pStyle w:val="Footer"/>
      <w:jc w:val="center"/>
    </w:pPr>
    <w:r>
      <w:fldChar w:fldCharType="begin"/>
    </w:r>
    <w:r>
      <w:instrText xml:space="preserve"> PAGE   \* MERGEFORMAT </w:instrText>
    </w:r>
    <w:r>
      <w:fldChar w:fldCharType="separate"/>
    </w:r>
    <w:r w:rsidR="00897FF2">
      <w:rPr>
        <w:noProof/>
      </w:rPr>
      <w:t>3</w:t>
    </w:r>
    <w:r>
      <w:rPr>
        <w:noProof/>
      </w:rPr>
      <w:fldChar w:fldCharType="end"/>
    </w:r>
  </w:p>
  <w:p w:rsidR="004C5822" w:rsidRDefault="004C58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2" w:rsidRDefault="004C5822">
    <w:pPr>
      <w:pStyle w:val="Footer"/>
      <w:jc w:val="center"/>
    </w:pPr>
    <w:r>
      <w:fldChar w:fldCharType="begin"/>
    </w:r>
    <w:r>
      <w:instrText xml:space="preserve"> PAGE   \* MERGEFORMAT </w:instrText>
    </w:r>
    <w:r>
      <w:fldChar w:fldCharType="separate"/>
    </w:r>
    <w:r w:rsidR="00897FF2">
      <w:rPr>
        <w:noProof/>
      </w:rPr>
      <w:t>2</w:t>
    </w:r>
    <w:r>
      <w:rPr>
        <w:noProof/>
      </w:rPr>
      <w:fldChar w:fldCharType="end"/>
    </w:r>
  </w:p>
  <w:p w:rsidR="004C5822" w:rsidRDefault="004C5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22" w:rsidRDefault="004C5822">
      <w:r>
        <w:separator/>
      </w:r>
    </w:p>
  </w:footnote>
  <w:footnote w:type="continuationSeparator" w:id="0">
    <w:p w:rsidR="004C5822" w:rsidRDefault="004C5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F2" w:rsidRDefault="00897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F2" w:rsidRDefault="00897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F2" w:rsidRDefault="00897F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2" w:rsidRDefault="004C58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2" w:rsidRDefault="004C58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2" w:rsidRDefault="004C58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A2"/>
    <w:multiLevelType w:val="hybridMultilevel"/>
    <w:tmpl w:val="3000E2FA"/>
    <w:lvl w:ilvl="0" w:tplc="4C9A2BCA">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14BB7C8E"/>
    <w:multiLevelType w:val="hybridMultilevel"/>
    <w:tmpl w:val="512C72B2"/>
    <w:lvl w:ilvl="0" w:tplc="D04C76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D36082"/>
    <w:multiLevelType w:val="hybridMultilevel"/>
    <w:tmpl w:val="43267E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D9379B1"/>
    <w:multiLevelType w:val="hybridMultilevel"/>
    <w:tmpl w:val="18003FFA"/>
    <w:lvl w:ilvl="0" w:tplc="FFFFFFFF">
      <w:start w:val="1"/>
      <w:numFmt w:val="decimal"/>
      <w:pStyle w:val="ParagrapheAuto"/>
      <w:lvlText w:val="%1."/>
      <w:lvlJc w:val="left"/>
      <w:pPr>
        <w:tabs>
          <w:tab w:val="num" w:pos="520"/>
        </w:tabs>
        <w:ind w:left="180" w:firstLine="0"/>
      </w:pPr>
      <w:rPr>
        <w:rFonts w:ascii="Times New Roman" w:hAnsi="Times New Roman" w:hint="default"/>
        <w:b w:val="0"/>
        <w:i w:val="0"/>
        <w:strike w:val="0"/>
        <w:dstrike w:val="0"/>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Heading4"/>
      <w:lvlText w:val="%1.%2.%3.%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a"/>
    <w:docVar w:name="LW_ANNEX_NBR_FIRST" w:val="1"/>
    <w:docVar w:name="LW_ANNEX_NBR_LAST" w:val="1"/>
    <w:docVar w:name="LW_CONFIDENCE" w:val=" "/>
    <w:docVar w:name="LW_CONST_RESTREINT_UE" w:val="RESTREINT UE/EU RESTRICTED"/>
    <w:docVar w:name="LW_CORRIGENDUM" w:val="&lt;UNUSED&gt;"/>
    <w:docVar w:name="LW_COVERPAGE_GUID" w:val="BD7F98A2CCA44CF79056ACC49C6C837B"/>
    <w:docVar w:name="LW_CROSSREFERENCE" w:val="&lt;UNUSED&gt;"/>
    <w:docVar w:name="LW_DocType" w:val="E_CMABRIDGEDREPORT"/>
    <w:docVar w:name="LW_EMISSION" w:val="4.3.2016"/>
    <w:docVar w:name="LW_EMISSION_ISODATE" w:val="2016-03-04"/>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portant conclusion, par l\u8217?Union européenne, de la convention du Conseil de l\u8217?Europe sur la prévention et la lutte contre la violence à l\u8217?égard des femmes et la violence domestique"/>
    <w:docVar w:name="LW_PART_NBR" w:val="1"/>
    <w:docVar w:name="LW_PART_NBR_TOTAL" w:val="1"/>
    <w:docVar w:name="LW_REF.INST.NEW" w:val="COM"/>
    <w:docVar w:name="LW_REF.INST.NEW_ADOPTED" w:val="final"/>
    <w:docVar w:name="LW_REF.INST.NEW_TEXT" w:val="(2016) 109"/>
    <w:docVar w:name="LW_REF.INTERNE" w:val="&lt;UNUSED&gt;"/>
    <w:docVar w:name="LW_SUPERTITRE" w:val="&lt;UNUSED&gt;"/>
    <w:docVar w:name="LW_TITRE.OBJ.CP" w:val="CONVENTION DU CONSEIL DE L\u8217?EUROPE SUR LA PRÉVENTION ET LA LUTTE CONTRE LA VIOLENCE À L\u8217?ÉGARD DES FEMMES ET LA VIOLENCE DOMESTIQUE"/>
    <w:docVar w:name="LW_TYPE.DOC.CP" w:val="ANNEXE_x000b_"/>
    <w:docVar w:name="LW_TYPEACTEPRINCIPAL.CP" w:val="proposition de décision du Conseil"/>
  </w:docVars>
  <w:rsids>
    <w:rsidRoot w:val="00E01CD8"/>
    <w:rsid w:val="000122C1"/>
    <w:rsid w:val="000B372C"/>
    <w:rsid w:val="000D14D9"/>
    <w:rsid w:val="002441BA"/>
    <w:rsid w:val="002B4E59"/>
    <w:rsid w:val="003E0639"/>
    <w:rsid w:val="004C12B4"/>
    <w:rsid w:val="004C5822"/>
    <w:rsid w:val="004F2671"/>
    <w:rsid w:val="004F5624"/>
    <w:rsid w:val="006F2D0D"/>
    <w:rsid w:val="00794A12"/>
    <w:rsid w:val="007B7432"/>
    <w:rsid w:val="00897FF2"/>
    <w:rsid w:val="0090616C"/>
    <w:rsid w:val="00932F06"/>
    <w:rsid w:val="0098235D"/>
    <w:rsid w:val="00C675C2"/>
    <w:rsid w:val="00CB7BC4"/>
    <w:rsid w:val="00CC4B91"/>
    <w:rsid w:val="00CD71E7"/>
    <w:rsid w:val="00CF4F6F"/>
    <w:rsid w:val="00D566F7"/>
    <w:rsid w:val="00DE0B27"/>
    <w:rsid w:val="00E01CD8"/>
    <w:rsid w:val="00E3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bidi="fr-FR"/>
    </w:rPr>
  </w:style>
  <w:style w:type="paragraph" w:styleId="Heading1">
    <w:name w:val="heading 1"/>
    <w:basedOn w:val="Normal"/>
    <w:next w:val="Normal"/>
    <w:autoRedefine/>
    <w:qFormat/>
    <w:pPr>
      <w:keepNext/>
      <w:spacing w:before="240" w:after="60"/>
      <w:ind w:left="720"/>
      <w:outlineLvl w:val="0"/>
    </w:pPr>
    <w:rPr>
      <w:rFonts w:cs="Arial"/>
      <w:bCs/>
      <w:kern w:val="32"/>
      <w:sz w:val="24"/>
      <w:szCs w:val="32"/>
    </w:rPr>
  </w:style>
  <w:style w:type="paragraph" w:styleId="Heading2">
    <w:name w:val="heading 2"/>
    <w:basedOn w:val="Normal"/>
    <w:next w:val="Normal"/>
    <w:autoRedefine/>
    <w:qFormat/>
    <w:pPr>
      <w:keepNext/>
      <w:spacing w:before="240" w:after="60"/>
      <w:ind w:left="720"/>
      <w:outlineLvl w:val="1"/>
    </w:pPr>
    <w:rPr>
      <w:rFonts w:cs="Arial"/>
      <w:b/>
      <w:bCs/>
      <w:iCs/>
      <w:sz w:val="22"/>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qFormat/>
    <w:pPr>
      <w:numPr>
        <w:ilvl w:val="4"/>
        <w:numId w:val="3"/>
      </w:numPr>
      <w:spacing w:before="100" w:beforeAutospacing="1" w:after="100" w:afterAutospacing="1"/>
      <w:outlineLvl w:val="4"/>
    </w:pPr>
    <w:rPr>
      <w:szCs w:val="20"/>
    </w:rPr>
  </w:style>
  <w:style w:type="paragraph" w:styleId="Heading6">
    <w:name w:val="heading 6"/>
    <w:basedOn w:val="Normal"/>
    <w:next w:val="Normal"/>
    <w:qFormat/>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3"/>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paragraph" w:customStyle="1" w:styleId="COECote">
    <w:name w:val="COE_Cote"/>
    <w:basedOn w:val="Normal"/>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
    <w:link w:val="COEHeading1Char"/>
    <w:autoRedefine/>
    <w:rPr>
      <w:b/>
      <w:sz w:val="24"/>
      <w:szCs w:val="32"/>
    </w:rPr>
  </w:style>
  <w:style w:type="paragraph" w:customStyle="1" w:styleId="COEHeading2">
    <w:name w:val="COE_Heading2"/>
    <w:basedOn w:val="Normal"/>
    <w:autoRedefine/>
    <w:rPr>
      <w:rFonts w:ascii="Verdana" w:hAnsi="Verdana"/>
      <w:b/>
      <w:szCs w:val="28"/>
    </w:rPr>
  </w:style>
  <w:style w:type="paragraph" w:customStyle="1" w:styleId="COEHeading3">
    <w:name w:val="COE_Heading3"/>
    <w:basedOn w:val="Normal"/>
    <w:autoRedefine/>
    <w:pPr>
      <w:outlineLvl w:val="2"/>
    </w:pPr>
    <w:rPr>
      <w:rFonts w:ascii="Helvetica" w:hAnsi="Helvetica"/>
      <w:i/>
    </w:rPr>
  </w:style>
  <w:style w:type="paragraph" w:customStyle="1" w:styleId="COENoLignes">
    <w:name w:val="COE_NoLignes"/>
    <w:link w:val="COENoLignesChar"/>
    <w:rPr>
      <w:rFonts w:ascii="Arial" w:hAnsi="Arial"/>
      <w:lang w:bidi="fr-FR"/>
    </w:rPr>
  </w:style>
  <w:style w:type="paragraph" w:customStyle="1" w:styleId="COETitre">
    <w:name w:val="COE_Titre"/>
    <w:basedOn w:val="Normal"/>
    <w:link w:val="COETitreChar"/>
    <w:pPr>
      <w:spacing w:before="360" w:after="240"/>
    </w:pPr>
    <w:rPr>
      <w:sz w:val="36"/>
      <w:szCs w:val="36"/>
    </w:rPr>
  </w:style>
  <w:style w:type="paragraph" w:customStyle="1" w:styleId="COEType">
    <w:name w:val="COE_Type"/>
    <w:basedOn w:val="Normal"/>
    <w:pPr>
      <w:spacing w:before="240"/>
    </w:pPr>
    <w:rPr>
      <w:b/>
      <w:sz w:val="28"/>
      <w:szCs w:val="28"/>
    </w:rPr>
  </w:style>
  <w:style w:type="character" w:styleId="Strong">
    <w:name w:val="Strong"/>
    <w:qFormat/>
    <w:rPr>
      <w:b/>
    </w:rPr>
  </w:style>
  <w:style w:type="paragraph" w:styleId="NormalWeb">
    <w:name w:val="Normal (Web)"/>
    <w:basedOn w:val="Normal"/>
    <w:pPr>
      <w:spacing w:before="100" w:beforeAutospacing="1" w:after="100" w:afterAutospacing="1"/>
    </w:pPr>
    <w:rPr>
      <w:sz w:val="17"/>
      <w:szCs w:val="17"/>
    </w:rPr>
  </w:style>
  <w:style w:type="paragraph" w:styleId="Header">
    <w:name w:val="header"/>
    <w:basedOn w:val="Normal"/>
    <w:pPr>
      <w:tabs>
        <w:tab w:val="center" w:pos="4320"/>
        <w:tab w:val="right" w:pos="8640"/>
      </w:tabs>
    </w:pPr>
  </w:style>
  <w:style w:type="paragraph" w:customStyle="1" w:styleId="COEWord">
    <w:name w:val="COE_Word"/>
    <w:basedOn w:val="Normal"/>
    <w:pPr>
      <w:jc w:val="right"/>
    </w:pPr>
    <w:rPr>
      <w:i/>
      <w:iCs/>
    </w:rPr>
  </w:style>
  <w:style w:type="character" w:styleId="Hyperlink">
    <w:name w:val="Hyperlink"/>
    <w:rPr>
      <w:color w:val="0000FF"/>
      <w:u w:val="single"/>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COESource"/>
    <w:semiHidden/>
    <w:rPr>
      <w:szCs w:val="20"/>
    </w:rPr>
  </w:style>
  <w:style w:type="character" w:styleId="PageNumber">
    <w:name w:val="page number"/>
    <w:basedOn w:val="DefaultParagraphFont"/>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Cote">
    <w:name w:val="CM_Cote"/>
    <w:basedOn w:val="Normal"/>
    <w:qFormat/>
    <w:pPr>
      <w:spacing w:before="120"/>
    </w:pPr>
    <w:rPr>
      <w:b/>
      <w:sz w:val="22"/>
      <w:szCs w:val="22"/>
    </w:rPr>
  </w:style>
  <w:style w:type="paragraph" w:customStyle="1" w:styleId="CMTitle">
    <w:name w:val="CM_Title"/>
    <w:basedOn w:val="COETitre"/>
    <w:link w:val="CMTitleChar"/>
    <w:autoRedefine/>
    <w:qFormat/>
    <w:pPr>
      <w:spacing w:before="0" w:after="0"/>
    </w:pPr>
    <w:rPr>
      <w:b/>
      <w:szCs w:val="32"/>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
    <w:rPr>
      <w:sz w:val="16"/>
    </w:rPr>
  </w:style>
  <w:style w:type="paragraph" w:customStyle="1" w:styleId="CMMainSubTitle">
    <w:name w:val="CM_MainSubTitle"/>
    <w:basedOn w:val="Normal"/>
    <w:autoRedefine/>
    <w:pPr>
      <w:tabs>
        <w:tab w:val="left" w:pos="426"/>
        <w:tab w:val="left" w:pos="1276"/>
        <w:tab w:val="left" w:pos="1701"/>
      </w:tabs>
      <w:jc w:val="both"/>
    </w:pPr>
    <w:rPr>
      <w:rFonts w:ascii="Palatino Linotype" w:hAnsi="Palatino Linotype"/>
      <w:b/>
      <w:szCs w:val="20"/>
    </w:rPr>
  </w:style>
  <w:style w:type="paragraph" w:customStyle="1" w:styleId="CMRevision">
    <w:name w:val="CM_Revision"/>
    <w:basedOn w:val="Normal"/>
    <w:link w:val="CMRevisionChar"/>
    <w:rPr>
      <w:rFonts w:cs="Arial"/>
      <w:color w:val="FF0000"/>
      <w:szCs w:val="20"/>
      <w:shd w:val="clear" w:color="auto" w:fill="D9D9D9"/>
    </w:rPr>
  </w:style>
  <w:style w:type="character" w:customStyle="1" w:styleId="CMRevisionChar">
    <w:name w:val="CM_Revision Char"/>
    <w:link w:val="CMRevision"/>
    <w:rPr>
      <w:rFonts w:ascii="Arial" w:hAnsi="Arial" w:cs="Arial"/>
      <w:color w:val="FF0000"/>
      <w:shd w:val="clear" w:color="auto" w:fill="D9D9D9"/>
      <w:lang w:val="fr-FR" w:eastAsia="fr-FR" w:bidi="fr-FR"/>
    </w:rPr>
  </w:style>
  <w:style w:type="paragraph" w:customStyle="1" w:styleId="CMRevisionInside">
    <w:name w:val="CM_RevisionInside"/>
    <w:basedOn w:val="Normal"/>
    <w:link w:val="CMRevisionInsideCharChar"/>
    <w:rPr>
      <w:color w:val="FF0000"/>
      <w:shd w:val="clear" w:color="auto" w:fill="D9D9D9"/>
    </w:rPr>
  </w:style>
  <w:style w:type="character" w:customStyle="1" w:styleId="CMRevisionInsideCharChar">
    <w:name w:val="CM_RevisionInside Char Char"/>
    <w:link w:val="CMRevisionInside"/>
    <w:rPr>
      <w:rFonts w:ascii="Arial" w:hAnsi="Arial"/>
      <w:color w:val="FF0000"/>
      <w:szCs w:val="24"/>
      <w:shd w:val="clear" w:color="auto" w:fill="D9D9D9"/>
      <w:lang w:val="fr-FR" w:eastAsia="fr-FR" w:bidi="fr-FR"/>
    </w:rPr>
  </w:style>
  <w:style w:type="paragraph" w:customStyle="1" w:styleId="CMSpace">
    <w:name w:val="CM_Space"/>
    <w:basedOn w:val="Normal"/>
    <w:qFormat/>
  </w:style>
  <w:style w:type="paragraph" w:customStyle="1" w:styleId="CMSubTitle">
    <w:name w:val="CM_SubTitle"/>
    <w:basedOn w:val="Normal"/>
    <w:qFormat/>
    <w:rPr>
      <w:sz w:val="22"/>
      <w:szCs w:val="22"/>
    </w:rPr>
  </w:style>
  <w:style w:type="paragraph" w:customStyle="1" w:styleId="COEAbstract">
    <w:name w:val="COE_Abstract"/>
    <w:link w:val="COEAbstractChar"/>
    <w:pPr>
      <w:spacing w:before="120" w:after="120"/>
    </w:pPr>
    <w:rPr>
      <w:rFonts w:ascii="Verdana" w:hAnsi="Verdana"/>
      <w:lang w:bidi="fr-FR"/>
    </w:rPr>
  </w:style>
  <w:style w:type="character" w:customStyle="1" w:styleId="COEAbstractChar">
    <w:name w:val="COE_Abstract Char"/>
    <w:link w:val="COEAbstract"/>
    <w:rPr>
      <w:rFonts w:ascii="Verdana" w:hAnsi="Verdana"/>
      <w:lang w:val="fr-FR" w:eastAsia="fr-FR" w:bidi="fr-FR"/>
    </w:rPr>
  </w:style>
  <w:style w:type="paragraph" w:customStyle="1" w:styleId="COEBullet">
    <w:name w:val="COE_Bullet"/>
    <w:basedOn w:val="Normal"/>
    <w:pPr>
      <w:numPr>
        <w:numId w:val="1"/>
      </w:numPr>
      <w:spacing w:after="60"/>
    </w:pPr>
  </w:style>
  <w:style w:type="paragraph" w:customStyle="1" w:styleId="COEDate">
    <w:name w:val="COE_Date"/>
    <w:next w:val="Normal"/>
    <w:pPr>
      <w:spacing w:before="120" w:after="120"/>
    </w:pPr>
    <w:rPr>
      <w:rFonts w:ascii="Verdana" w:hAnsi="Verdana"/>
      <w:b/>
      <w:color w:val="808080"/>
      <w:szCs w:val="22"/>
      <w:lang w:bidi="fr-FR"/>
    </w:rPr>
  </w:style>
  <w:style w:type="paragraph" w:customStyle="1" w:styleId="COEFootnote">
    <w:name w:val="COE_Footnote"/>
    <w:basedOn w:val="Normal"/>
    <w:next w:val="Normal"/>
    <w:pPr>
      <w:spacing w:before="60" w:after="60"/>
    </w:pPr>
    <w:rPr>
      <w:i/>
    </w:rPr>
  </w:style>
  <w:style w:type="character" w:customStyle="1" w:styleId="COEHeading1Char">
    <w:name w:val="COE_Heading1 Char"/>
    <w:link w:val="COEHeading1"/>
    <w:rPr>
      <w:rFonts w:ascii="Arial" w:hAnsi="Arial"/>
      <w:b/>
      <w:sz w:val="24"/>
      <w:szCs w:val="32"/>
      <w:lang w:val="fr-FR" w:eastAsia="fr-FR" w:bidi="fr-FR"/>
    </w:rPr>
  </w:style>
  <w:style w:type="paragraph" w:customStyle="1" w:styleId="COEHeading4">
    <w:name w:val="COE_Heading4"/>
    <w:basedOn w:val="Normal"/>
    <w:next w:val="Normal"/>
    <w:pPr>
      <w:numPr>
        <w:ilvl w:val="3"/>
        <w:numId w:val="2"/>
      </w:numPr>
    </w:pPr>
  </w:style>
  <w:style w:type="paragraph" w:customStyle="1" w:styleId="COEIMGPROTECTED">
    <w:name w:val="COE_IMG_PROTECTED"/>
    <w:basedOn w:val="Normal"/>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
    <w:rPr>
      <w:i/>
      <w:color w:val="999999"/>
    </w:rPr>
  </w:style>
  <w:style w:type="paragraph" w:customStyle="1" w:styleId="COELignes">
    <w:name w:val="COE_Lignes"/>
    <w:basedOn w:val="Normal"/>
  </w:style>
  <w:style w:type="paragraph" w:customStyle="1" w:styleId="COEList">
    <w:name w:val="COE_List"/>
    <w:basedOn w:val="Normal"/>
    <w:pPr>
      <w:spacing w:after="60"/>
    </w:pPr>
  </w:style>
  <w:style w:type="paragraph" w:customStyle="1" w:styleId="COEMedium">
    <w:name w:val="COE_Medium"/>
    <w:pPr>
      <w:spacing w:before="120" w:after="60"/>
      <w:jc w:val="both"/>
    </w:pPr>
    <w:rPr>
      <w:rFonts w:ascii="Verdana" w:hAnsi="Verdana"/>
      <w:b/>
      <w:sz w:val="24"/>
      <w:szCs w:val="24"/>
      <w:lang w:bidi="fr-FR"/>
    </w:rPr>
  </w:style>
  <w:style w:type="paragraph" w:customStyle="1" w:styleId="COESource">
    <w:name w:val="COE_Source"/>
    <w:basedOn w:val="Normal"/>
    <w:link w:val="COESourceChar"/>
    <w:autoRedefine/>
    <w:rPr>
      <w:sz w:val="16"/>
      <w:szCs w:val="18"/>
    </w:rPr>
  </w:style>
  <w:style w:type="paragraph" w:customStyle="1" w:styleId="COESousTitre">
    <w:name w:val="COE_SousTitre"/>
    <w:next w:val="Normal"/>
    <w:link w:val="COESousTitreChar"/>
    <w:pPr>
      <w:spacing w:before="240" w:after="120"/>
    </w:pPr>
    <w:rPr>
      <w:rFonts w:ascii="Verdana" w:hAnsi="Verdana"/>
      <w:sz w:val="28"/>
      <w:szCs w:val="28"/>
      <w:lang w:bidi="fr-FR"/>
    </w:rPr>
  </w:style>
  <w:style w:type="character" w:customStyle="1" w:styleId="COETitreChar">
    <w:name w:val="COE_Titre Char"/>
    <w:link w:val="COETitre"/>
    <w:rPr>
      <w:rFonts w:ascii="Arial" w:hAnsi="Arial"/>
      <w:sz w:val="36"/>
      <w:szCs w:val="36"/>
      <w:lang w:val="fr-FR" w:eastAsia="fr-FR" w:bidi="fr-FR"/>
    </w:rPr>
  </w:style>
  <w:style w:type="character" w:customStyle="1" w:styleId="COESousTitreChar">
    <w:name w:val="COE_SousTitre Char"/>
    <w:link w:val="COESousTitre"/>
    <w:rPr>
      <w:rFonts w:ascii="Verdana" w:hAnsi="Verdana"/>
      <w:sz w:val="28"/>
      <w:szCs w:val="28"/>
      <w:lang w:val="fr-FR" w:eastAsia="fr-FR" w:bidi="fr-F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600"/>
    </w:pPr>
  </w:style>
  <w:style w:type="character" w:customStyle="1" w:styleId="CMTitleChar">
    <w:name w:val="CM_Title Char"/>
    <w:link w:val="CMTitle"/>
    <w:rPr>
      <w:rFonts w:ascii="Arial" w:hAnsi="Arial"/>
      <w:b/>
      <w:sz w:val="36"/>
      <w:szCs w:val="32"/>
      <w:lang w:val="fr-FR" w:eastAsia="fr-FR" w:bidi="fr-FR"/>
    </w:rPr>
  </w:style>
  <w:style w:type="paragraph" w:customStyle="1" w:styleId="Style1">
    <w:name w:val="Style1"/>
    <w:basedOn w:val="COEHeading1"/>
    <w:autoRedefine/>
    <w:rPr>
      <w:sz w:val="28"/>
    </w:rPr>
  </w:style>
  <w:style w:type="paragraph" w:customStyle="1" w:styleId="StyleCMAuthorGray-50">
    <w:name w:val="Style CM_Author + Gray-50%"/>
    <w:basedOn w:val="CMAuthor"/>
    <w:autoRedefine/>
    <w:rPr>
      <w:bCs/>
      <w:iCs/>
    </w:rPr>
  </w:style>
  <w:style w:type="paragraph" w:customStyle="1" w:styleId="CMNormal">
    <w:name w:val="CM_Normal"/>
    <w:basedOn w:val="Normal"/>
    <w:rPr>
      <w:rFonts w:cs="Arial"/>
      <w:color w:val="000000"/>
      <w:szCs w:val="20"/>
    </w:rPr>
  </w:style>
  <w:style w:type="paragraph" w:customStyle="1" w:styleId="CMRightAlign">
    <w:name w:val="CM_RightAlign"/>
    <w:basedOn w:val="Normal"/>
    <w:pPr>
      <w:jc w:val="right"/>
    </w:pPr>
    <w:rPr>
      <w:rFonts w:cs="Arial"/>
      <w:color w:val="000000"/>
      <w:szCs w:val="20"/>
    </w:rPr>
  </w:style>
  <w:style w:type="character" w:customStyle="1" w:styleId="COENoLignesChar">
    <w:name w:val="COE_NoLignes Char"/>
    <w:link w:val="COENoLignes"/>
    <w:rPr>
      <w:rFonts w:ascii="Arial" w:hAnsi="Arial"/>
      <w:lang w:val="fr-FR" w:eastAsia="fr-FR" w:bidi="fr-FR"/>
    </w:rPr>
  </w:style>
  <w:style w:type="character" w:customStyle="1" w:styleId="COESourceChar">
    <w:name w:val="COE_Source Char"/>
    <w:link w:val="COESource"/>
    <w:rPr>
      <w:rFonts w:ascii="Arial" w:hAnsi="Arial"/>
      <w:sz w:val="16"/>
      <w:szCs w:val="18"/>
      <w:lang w:val="fr-FR" w:eastAsia="fr-FR" w:bidi="fr-FR"/>
    </w:rPr>
  </w:style>
  <w:style w:type="paragraph" w:customStyle="1" w:styleId="COETitleSystem">
    <w:name w:val="COE_Title(System)"/>
    <w:basedOn w:val="Normal"/>
    <w:next w:val="Normal"/>
    <w:rPr>
      <w:rFonts w:ascii="Verdana" w:hAnsi="Verdana"/>
      <w:bCs/>
      <w:color w:val="808080"/>
      <w:sz w:val="26"/>
    </w:rPr>
  </w:style>
  <w:style w:type="paragraph" w:customStyle="1" w:styleId="COETitleBrowser">
    <w:name w:val="COE_Title(Browser)"/>
    <w:basedOn w:val="COETitleSystem"/>
    <w:next w:val="Normal"/>
    <w:rPr>
      <w:color w:val="C0C0C0"/>
      <w:sz w:val="16"/>
    </w:rPr>
  </w:style>
  <w:style w:type="paragraph" w:customStyle="1" w:styleId="COEWCDSearchParams">
    <w:name w:val="COE_WCD_SearchParams"/>
    <w:basedOn w:val="Normal"/>
    <w:autoRedefine/>
    <w:rPr>
      <w:rFonts w:ascii="Verdana" w:hAnsi="Verdana"/>
    </w:rPr>
  </w:style>
  <w:style w:type="character" w:styleId="LineNumber">
    <w:name w:val="line number"/>
    <w:basedOn w:val="DefaultParagraphFont"/>
  </w:style>
  <w:style w:type="paragraph" w:customStyle="1" w:styleId="Style2">
    <w:name w:val="Style2"/>
    <w:basedOn w:val="COEHeading2"/>
    <w:rPr>
      <w:rFonts w:ascii="Arial" w:hAnsi="Arial"/>
    </w:rPr>
  </w:style>
  <w:style w:type="paragraph" w:customStyle="1" w:styleId="ParagrapheAuto">
    <w:name w:val="=Paragraphe_Auto"/>
    <w:basedOn w:val="Normal"/>
    <w:next w:val="Normal"/>
    <w:link w:val="ParagrapheAutoChar"/>
    <w:pPr>
      <w:numPr>
        <w:numId w:val="4"/>
      </w:numPr>
      <w:jc w:val="both"/>
    </w:pPr>
    <w:rPr>
      <w:rFonts w:ascii="Times New Roman" w:hAnsi="Times New Roman"/>
      <w:sz w:val="24"/>
    </w:rPr>
  </w:style>
  <w:style w:type="character" w:customStyle="1" w:styleId="ParagrapheAutoChar">
    <w:name w:val="=Paragraphe_Auto Char"/>
    <w:link w:val="ParagrapheAuto"/>
    <w:rPr>
      <w:sz w:val="24"/>
      <w:szCs w:val="24"/>
      <w:lang w:val="fr-FR" w:eastAsia="fr-FR" w:bidi="fr-FR"/>
    </w:rPr>
  </w:style>
  <w:style w:type="paragraph" w:customStyle="1" w:styleId="Appendix">
    <w:name w:val="Appendix"/>
    <w:basedOn w:val="Heading1"/>
    <w:pPr>
      <w:keepNext w:val="0"/>
      <w:spacing w:before="0" w:after="0"/>
      <w:ind w:hanging="720"/>
      <w:jc w:val="center"/>
    </w:pPr>
    <w:rPr>
      <w:rFonts w:ascii="Times" w:hAnsi="Times" w:cs="Times New Roman"/>
      <w:b/>
      <w:bCs w:val="0"/>
      <w:smallCaps/>
      <w:spacing w:val="30"/>
      <w:kern w:val="0"/>
      <w:sz w:val="28"/>
      <w:szCs w:val="28"/>
    </w:rPr>
  </w:style>
  <w:style w:type="paragraph" w:customStyle="1" w:styleId="PR">
    <w:name w:val="PR"/>
    <w:pPr>
      <w:widowControl w:val="0"/>
      <w:tabs>
        <w:tab w:val="left" w:pos="0"/>
        <w:tab w:val="left" w:pos="708"/>
        <w:tab w:val="left" w:pos="991"/>
        <w:tab w:val="left" w:pos="1417"/>
      </w:tabs>
      <w:suppressAutoHyphens/>
      <w:jc w:val="both"/>
    </w:pPr>
    <w:rPr>
      <w:rFonts w:ascii="Courier" w:hAnsi="Courier"/>
      <w:snapToGrid w:val="0"/>
      <w:spacing w:val="-3"/>
      <w:sz w:val="24"/>
      <w:lang w:bidi="fr-FR"/>
    </w:rPr>
  </w:style>
  <w:style w:type="paragraph" w:customStyle="1" w:styleId="CarCharCar">
    <w:name w:val="Car Char Car"/>
    <w:basedOn w:val="Normal"/>
    <w:pPr>
      <w:spacing w:after="160" w:line="240" w:lineRule="exact"/>
    </w:pPr>
    <w:rPr>
      <w:rFonts w:cs="Arial"/>
      <w:szCs w:val="20"/>
    </w:rPr>
  </w:style>
  <w:style w:type="paragraph" w:customStyle="1" w:styleId="Participants">
    <w:name w:val="=Participants"/>
    <w:basedOn w:val="Normal"/>
    <w:link w:val="ParticipantsChar2"/>
    <w:pPr>
      <w:keepNext/>
      <w:keepLines/>
      <w:tabs>
        <w:tab w:val="left" w:pos="851"/>
        <w:tab w:val="left" w:pos="5103"/>
      </w:tabs>
      <w:jc w:val="both"/>
    </w:pPr>
    <w:rPr>
      <w:rFonts w:cs="Arial"/>
      <w:spacing w:val="-3"/>
      <w:szCs w:val="22"/>
    </w:rPr>
  </w:style>
  <w:style w:type="character" w:customStyle="1" w:styleId="ParticipantsChar2">
    <w:name w:val="=Participants Char2"/>
    <w:link w:val="Participants"/>
    <w:rPr>
      <w:rFonts w:ascii="Arial" w:hAnsi="Arial" w:cs="Arial"/>
      <w:spacing w:val="-3"/>
      <w:szCs w:val="22"/>
      <w:lang w:val="fr-FR" w:eastAsia="fr-FR" w:bidi="fr-FR"/>
    </w:rPr>
  </w:style>
  <w:style w:type="paragraph" w:customStyle="1" w:styleId="Country">
    <w:name w:val="=Country"/>
    <w:basedOn w:val="Normal"/>
    <w:next w:val="Normal"/>
    <w:pPr>
      <w:keepNext/>
      <w:keepLines/>
      <w:spacing w:after="120"/>
    </w:pPr>
    <w:rPr>
      <w:rFonts w:cs="Arial"/>
      <w:b/>
      <w:sz w:val="22"/>
      <w:szCs w:val="22"/>
      <w:u w:val="single"/>
    </w:rPr>
  </w:style>
  <w:style w:type="paragraph" w:styleId="E-mailSignature">
    <w:name w:val="E-mail Signature"/>
    <w:basedOn w:val="Normal"/>
    <w:rPr>
      <w:rFonts w:ascii="Times New Roman" w:hAnsi="Times New Roman"/>
      <w:sz w:val="24"/>
    </w:rPr>
  </w:style>
  <w:style w:type="character" w:customStyle="1" w:styleId="spelle">
    <w:name w:val="spelle"/>
    <w:basedOn w:val="DefaultParagraphFont"/>
  </w:style>
  <w:style w:type="paragraph" w:customStyle="1" w:styleId="2Article">
    <w:name w:val="2.Article"/>
    <w:basedOn w:val="Normal"/>
    <w:pPr>
      <w:keepNext/>
      <w:jc w:val="center"/>
      <w:outlineLvl w:val="1"/>
    </w:pPr>
    <w:rPr>
      <w:rFonts w:ascii="Times New Roman" w:hAnsi="Times New Roman"/>
      <w:b/>
      <w:sz w:val="24"/>
    </w:rPr>
  </w:style>
  <w:style w:type="paragraph" w:customStyle="1" w:styleId="1Section">
    <w:name w:val="1.Section"/>
    <w:basedOn w:val="Normal"/>
    <w:pPr>
      <w:keepNext/>
      <w:jc w:val="center"/>
      <w:outlineLvl w:val="0"/>
    </w:pPr>
    <w:rPr>
      <w:rFonts w:ascii="Times New Roman" w:hAnsi="Times New Roman"/>
      <w:b/>
      <w:sz w:val="28"/>
      <w:szCs w:val="28"/>
    </w:rPr>
  </w:style>
  <w:style w:type="paragraph" w:customStyle="1" w:styleId="3List">
    <w:name w:val="3.List"/>
    <w:basedOn w:val="Normal"/>
    <w:pPr>
      <w:ind w:left="851" w:hanging="567"/>
      <w:jc w:val="both"/>
    </w:pPr>
    <w:rPr>
      <w:rFonts w:ascii="Times New Roman" w:hAnsi="Times New Roman"/>
      <w:sz w:val="24"/>
    </w:rPr>
  </w:style>
  <w:style w:type="paragraph" w:customStyle="1" w:styleId="4Letters">
    <w:name w:val="4.Letters"/>
    <w:basedOn w:val="Normal"/>
    <w:pPr>
      <w:ind w:left="851" w:hanging="567"/>
      <w:jc w:val="both"/>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paragraph" w:customStyle="1" w:styleId="CharCharCharCarCharCharCarCar">
    <w:name w:val="Char Char Char Car Char Char Car Car"/>
    <w:basedOn w:val="Normal"/>
    <w:pPr>
      <w:autoSpaceDE w:val="0"/>
      <w:autoSpaceDN w:val="0"/>
      <w:spacing w:after="160" w:line="240" w:lineRule="exact"/>
    </w:pPr>
    <w:rPr>
      <w:rFonts w:cs="Arial"/>
      <w:szCs w:val="20"/>
    </w:rPr>
  </w:style>
  <w:style w:type="paragraph" w:styleId="BodyText2">
    <w:name w:val="Body Text 2"/>
    <w:basedOn w:val="Normal"/>
    <w:pPr>
      <w:suppressAutoHyphens/>
      <w:jc w:val="both"/>
    </w:pPr>
    <w:rPr>
      <w:rFonts w:ascii="Times New Roman" w:hAnsi="Times New Roman"/>
      <w:b/>
      <w:spacing w:val="-3"/>
      <w:sz w:val="24"/>
      <w:szCs w:val="20"/>
      <w:u w:val="single"/>
    </w:rPr>
  </w:style>
  <w:style w:type="character" w:customStyle="1" w:styleId="FooterChar">
    <w:name w:val="Footer Char"/>
    <w:link w:val="Footer"/>
    <w:uiPriority w:val="99"/>
    <w:rsid w:val="006F2D0D"/>
    <w:rPr>
      <w:rFonts w:ascii="Arial" w:hAnsi="Arial"/>
      <w:sz w:val="16"/>
      <w:szCs w:val="24"/>
    </w:rPr>
  </w:style>
  <w:style w:type="character" w:customStyle="1" w:styleId="Marker">
    <w:name w:val="Marker"/>
    <w:rsid w:val="00794A12"/>
    <w:rPr>
      <w:color w:val="0000FF"/>
      <w:shd w:val="clear" w:color="auto" w:fill="auto"/>
    </w:rPr>
  </w:style>
  <w:style w:type="paragraph" w:customStyle="1" w:styleId="Pagedecouverture">
    <w:name w:val="Page de couverture"/>
    <w:basedOn w:val="Normal"/>
    <w:next w:val="Normal"/>
    <w:rsid w:val="00794A12"/>
    <w:pPr>
      <w:jc w:val="both"/>
    </w:pPr>
    <w:rPr>
      <w:rFonts w:ascii="Times New Roman" w:eastAsia="Calibri" w:hAnsi="Times New Roman"/>
      <w:sz w:val="24"/>
      <w:szCs w:val="22"/>
      <w:lang w:eastAsia="en-US" w:bidi="ar-SA"/>
    </w:rPr>
  </w:style>
  <w:style w:type="paragraph" w:customStyle="1" w:styleId="FooterCoverPage">
    <w:name w:val="Footer Cover Page"/>
    <w:basedOn w:val="Normal"/>
    <w:link w:val="FooterCoverPageChar"/>
    <w:rsid w:val="00794A12"/>
    <w:pPr>
      <w:tabs>
        <w:tab w:val="center" w:pos="4535"/>
        <w:tab w:val="right" w:pos="9071"/>
        <w:tab w:val="right" w:pos="9921"/>
      </w:tabs>
      <w:spacing w:before="360"/>
      <w:ind w:left="-850" w:right="-850"/>
    </w:pPr>
    <w:rPr>
      <w:rFonts w:ascii="Times New Roman" w:hAnsi="Times New Roman"/>
      <w:spacing w:val="-3"/>
      <w:sz w:val="24"/>
    </w:rPr>
  </w:style>
  <w:style w:type="character" w:customStyle="1" w:styleId="FooterCoverPageChar">
    <w:name w:val="Footer Cover Page Char"/>
    <w:link w:val="FooterCoverPage"/>
    <w:rsid w:val="00794A12"/>
    <w:rPr>
      <w:spacing w:val="-3"/>
      <w:sz w:val="24"/>
      <w:szCs w:val="24"/>
      <w:lang w:bidi="fr-FR"/>
    </w:rPr>
  </w:style>
  <w:style w:type="paragraph" w:customStyle="1" w:styleId="HeaderCoverPage">
    <w:name w:val="Header Cover Page"/>
    <w:basedOn w:val="Normal"/>
    <w:link w:val="HeaderCoverPageChar"/>
    <w:rsid w:val="00794A12"/>
    <w:pPr>
      <w:tabs>
        <w:tab w:val="center" w:pos="4535"/>
        <w:tab w:val="right" w:pos="9071"/>
      </w:tabs>
      <w:spacing w:after="120"/>
      <w:jc w:val="both"/>
    </w:pPr>
    <w:rPr>
      <w:rFonts w:ascii="Times New Roman" w:hAnsi="Times New Roman"/>
      <w:spacing w:val="-3"/>
      <w:sz w:val="24"/>
    </w:rPr>
  </w:style>
  <w:style w:type="character" w:customStyle="1" w:styleId="HeaderCoverPageChar">
    <w:name w:val="Header Cover Page Char"/>
    <w:link w:val="HeaderCoverPage"/>
    <w:rsid w:val="00794A12"/>
    <w:rPr>
      <w:spacing w:val="-3"/>
      <w:sz w:val="24"/>
      <w:szCs w:val="24"/>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bidi="fr-FR"/>
    </w:rPr>
  </w:style>
  <w:style w:type="paragraph" w:styleId="Heading1">
    <w:name w:val="heading 1"/>
    <w:basedOn w:val="Normal"/>
    <w:next w:val="Normal"/>
    <w:autoRedefine/>
    <w:qFormat/>
    <w:pPr>
      <w:keepNext/>
      <w:spacing w:before="240" w:after="60"/>
      <w:ind w:left="720"/>
      <w:outlineLvl w:val="0"/>
    </w:pPr>
    <w:rPr>
      <w:rFonts w:cs="Arial"/>
      <w:bCs/>
      <w:kern w:val="32"/>
      <w:sz w:val="24"/>
      <w:szCs w:val="32"/>
    </w:rPr>
  </w:style>
  <w:style w:type="paragraph" w:styleId="Heading2">
    <w:name w:val="heading 2"/>
    <w:basedOn w:val="Normal"/>
    <w:next w:val="Normal"/>
    <w:autoRedefine/>
    <w:qFormat/>
    <w:pPr>
      <w:keepNext/>
      <w:spacing w:before="240" w:after="60"/>
      <w:ind w:left="720"/>
      <w:outlineLvl w:val="1"/>
    </w:pPr>
    <w:rPr>
      <w:rFonts w:cs="Arial"/>
      <w:b/>
      <w:bCs/>
      <w:iCs/>
      <w:sz w:val="22"/>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qFormat/>
    <w:pPr>
      <w:numPr>
        <w:ilvl w:val="4"/>
        <w:numId w:val="3"/>
      </w:numPr>
      <w:spacing w:before="100" w:beforeAutospacing="1" w:after="100" w:afterAutospacing="1"/>
      <w:outlineLvl w:val="4"/>
    </w:pPr>
    <w:rPr>
      <w:szCs w:val="20"/>
    </w:rPr>
  </w:style>
  <w:style w:type="paragraph" w:styleId="Heading6">
    <w:name w:val="heading 6"/>
    <w:basedOn w:val="Normal"/>
    <w:next w:val="Normal"/>
    <w:qFormat/>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3"/>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rPr>
  </w:style>
  <w:style w:type="paragraph" w:customStyle="1" w:styleId="COECote">
    <w:name w:val="COE_Cote"/>
    <w:basedOn w:val="Normal"/>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
    <w:link w:val="COEHeading1Char"/>
    <w:autoRedefine/>
    <w:rPr>
      <w:b/>
      <w:sz w:val="24"/>
      <w:szCs w:val="32"/>
    </w:rPr>
  </w:style>
  <w:style w:type="paragraph" w:customStyle="1" w:styleId="COEHeading2">
    <w:name w:val="COE_Heading2"/>
    <w:basedOn w:val="Normal"/>
    <w:autoRedefine/>
    <w:rPr>
      <w:rFonts w:ascii="Verdana" w:hAnsi="Verdana"/>
      <w:b/>
      <w:szCs w:val="28"/>
    </w:rPr>
  </w:style>
  <w:style w:type="paragraph" w:customStyle="1" w:styleId="COEHeading3">
    <w:name w:val="COE_Heading3"/>
    <w:basedOn w:val="Normal"/>
    <w:autoRedefine/>
    <w:pPr>
      <w:outlineLvl w:val="2"/>
    </w:pPr>
    <w:rPr>
      <w:rFonts w:ascii="Helvetica" w:hAnsi="Helvetica"/>
      <w:i/>
    </w:rPr>
  </w:style>
  <w:style w:type="paragraph" w:customStyle="1" w:styleId="COENoLignes">
    <w:name w:val="COE_NoLignes"/>
    <w:link w:val="COENoLignesChar"/>
    <w:rPr>
      <w:rFonts w:ascii="Arial" w:hAnsi="Arial"/>
      <w:lang w:bidi="fr-FR"/>
    </w:rPr>
  </w:style>
  <w:style w:type="paragraph" w:customStyle="1" w:styleId="COETitre">
    <w:name w:val="COE_Titre"/>
    <w:basedOn w:val="Normal"/>
    <w:link w:val="COETitreChar"/>
    <w:pPr>
      <w:spacing w:before="360" w:after="240"/>
    </w:pPr>
    <w:rPr>
      <w:sz w:val="36"/>
      <w:szCs w:val="36"/>
    </w:rPr>
  </w:style>
  <w:style w:type="paragraph" w:customStyle="1" w:styleId="COEType">
    <w:name w:val="COE_Type"/>
    <w:basedOn w:val="Normal"/>
    <w:pPr>
      <w:spacing w:before="240"/>
    </w:pPr>
    <w:rPr>
      <w:b/>
      <w:sz w:val="28"/>
      <w:szCs w:val="28"/>
    </w:rPr>
  </w:style>
  <w:style w:type="character" w:styleId="Strong">
    <w:name w:val="Strong"/>
    <w:qFormat/>
    <w:rPr>
      <w:b/>
    </w:rPr>
  </w:style>
  <w:style w:type="paragraph" w:styleId="NormalWeb">
    <w:name w:val="Normal (Web)"/>
    <w:basedOn w:val="Normal"/>
    <w:pPr>
      <w:spacing w:before="100" w:beforeAutospacing="1" w:after="100" w:afterAutospacing="1"/>
    </w:pPr>
    <w:rPr>
      <w:sz w:val="17"/>
      <w:szCs w:val="17"/>
    </w:rPr>
  </w:style>
  <w:style w:type="paragraph" w:styleId="Header">
    <w:name w:val="header"/>
    <w:basedOn w:val="Normal"/>
    <w:pPr>
      <w:tabs>
        <w:tab w:val="center" w:pos="4320"/>
        <w:tab w:val="right" w:pos="8640"/>
      </w:tabs>
    </w:pPr>
  </w:style>
  <w:style w:type="paragraph" w:customStyle="1" w:styleId="COEWord">
    <w:name w:val="COE_Word"/>
    <w:basedOn w:val="Normal"/>
    <w:pPr>
      <w:jc w:val="right"/>
    </w:pPr>
    <w:rPr>
      <w:i/>
      <w:iCs/>
    </w:rPr>
  </w:style>
  <w:style w:type="character" w:styleId="Hyperlink">
    <w:name w:val="Hyperlink"/>
    <w:rPr>
      <w:color w:val="0000FF"/>
      <w:u w:val="single"/>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COESource"/>
    <w:semiHidden/>
    <w:rPr>
      <w:szCs w:val="20"/>
    </w:rPr>
  </w:style>
  <w:style w:type="character" w:styleId="PageNumber">
    <w:name w:val="page number"/>
    <w:basedOn w:val="DefaultParagraphFont"/>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Cote">
    <w:name w:val="CM_Cote"/>
    <w:basedOn w:val="Normal"/>
    <w:qFormat/>
    <w:pPr>
      <w:spacing w:before="120"/>
    </w:pPr>
    <w:rPr>
      <w:b/>
      <w:sz w:val="22"/>
      <w:szCs w:val="22"/>
    </w:rPr>
  </w:style>
  <w:style w:type="paragraph" w:customStyle="1" w:styleId="CMTitle">
    <w:name w:val="CM_Title"/>
    <w:basedOn w:val="COETitre"/>
    <w:link w:val="CMTitleChar"/>
    <w:autoRedefine/>
    <w:qFormat/>
    <w:pPr>
      <w:spacing w:before="0" w:after="0"/>
    </w:pPr>
    <w:rPr>
      <w:b/>
      <w:szCs w:val="32"/>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
    <w:rPr>
      <w:sz w:val="16"/>
    </w:rPr>
  </w:style>
  <w:style w:type="paragraph" w:customStyle="1" w:styleId="CMMainSubTitle">
    <w:name w:val="CM_MainSubTitle"/>
    <w:basedOn w:val="Normal"/>
    <w:autoRedefine/>
    <w:pPr>
      <w:tabs>
        <w:tab w:val="left" w:pos="426"/>
        <w:tab w:val="left" w:pos="1276"/>
        <w:tab w:val="left" w:pos="1701"/>
      </w:tabs>
      <w:jc w:val="both"/>
    </w:pPr>
    <w:rPr>
      <w:rFonts w:ascii="Palatino Linotype" w:hAnsi="Palatino Linotype"/>
      <w:b/>
      <w:szCs w:val="20"/>
    </w:rPr>
  </w:style>
  <w:style w:type="paragraph" w:customStyle="1" w:styleId="CMRevision">
    <w:name w:val="CM_Revision"/>
    <w:basedOn w:val="Normal"/>
    <w:link w:val="CMRevisionChar"/>
    <w:rPr>
      <w:rFonts w:cs="Arial"/>
      <w:color w:val="FF0000"/>
      <w:szCs w:val="20"/>
      <w:shd w:val="clear" w:color="auto" w:fill="D9D9D9"/>
    </w:rPr>
  </w:style>
  <w:style w:type="character" w:customStyle="1" w:styleId="CMRevisionChar">
    <w:name w:val="CM_Revision Char"/>
    <w:link w:val="CMRevision"/>
    <w:rPr>
      <w:rFonts w:ascii="Arial" w:hAnsi="Arial" w:cs="Arial"/>
      <w:color w:val="FF0000"/>
      <w:shd w:val="clear" w:color="auto" w:fill="D9D9D9"/>
      <w:lang w:val="fr-FR" w:eastAsia="fr-FR" w:bidi="fr-FR"/>
    </w:rPr>
  </w:style>
  <w:style w:type="paragraph" w:customStyle="1" w:styleId="CMRevisionInside">
    <w:name w:val="CM_RevisionInside"/>
    <w:basedOn w:val="Normal"/>
    <w:link w:val="CMRevisionInsideCharChar"/>
    <w:rPr>
      <w:color w:val="FF0000"/>
      <w:shd w:val="clear" w:color="auto" w:fill="D9D9D9"/>
    </w:rPr>
  </w:style>
  <w:style w:type="character" w:customStyle="1" w:styleId="CMRevisionInsideCharChar">
    <w:name w:val="CM_RevisionInside Char Char"/>
    <w:link w:val="CMRevisionInside"/>
    <w:rPr>
      <w:rFonts w:ascii="Arial" w:hAnsi="Arial"/>
      <w:color w:val="FF0000"/>
      <w:szCs w:val="24"/>
      <w:shd w:val="clear" w:color="auto" w:fill="D9D9D9"/>
      <w:lang w:val="fr-FR" w:eastAsia="fr-FR" w:bidi="fr-FR"/>
    </w:rPr>
  </w:style>
  <w:style w:type="paragraph" w:customStyle="1" w:styleId="CMSpace">
    <w:name w:val="CM_Space"/>
    <w:basedOn w:val="Normal"/>
    <w:qFormat/>
  </w:style>
  <w:style w:type="paragraph" w:customStyle="1" w:styleId="CMSubTitle">
    <w:name w:val="CM_SubTitle"/>
    <w:basedOn w:val="Normal"/>
    <w:qFormat/>
    <w:rPr>
      <w:sz w:val="22"/>
      <w:szCs w:val="22"/>
    </w:rPr>
  </w:style>
  <w:style w:type="paragraph" w:customStyle="1" w:styleId="COEAbstract">
    <w:name w:val="COE_Abstract"/>
    <w:link w:val="COEAbstractChar"/>
    <w:pPr>
      <w:spacing w:before="120" w:after="120"/>
    </w:pPr>
    <w:rPr>
      <w:rFonts w:ascii="Verdana" w:hAnsi="Verdana"/>
      <w:lang w:bidi="fr-FR"/>
    </w:rPr>
  </w:style>
  <w:style w:type="character" w:customStyle="1" w:styleId="COEAbstractChar">
    <w:name w:val="COE_Abstract Char"/>
    <w:link w:val="COEAbstract"/>
    <w:rPr>
      <w:rFonts w:ascii="Verdana" w:hAnsi="Verdana"/>
      <w:lang w:val="fr-FR" w:eastAsia="fr-FR" w:bidi="fr-FR"/>
    </w:rPr>
  </w:style>
  <w:style w:type="paragraph" w:customStyle="1" w:styleId="COEBullet">
    <w:name w:val="COE_Bullet"/>
    <w:basedOn w:val="Normal"/>
    <w:pPr>
      <w:numPr>
        <w:numId w:val="1"/>
      </w:numPr>
      <w:spacing w:after="60"/>
    </w:pPr>
  </w:style>
  <w:style w:type="paragraph" w:customStyle="1" w:styleId="COEDate">
    <w:name w:val="COE_Date"/>
    <w:next w:val="Normal"/>
    <w:pPr>
      <w:spacing w:before="120" w:after="120"/>
    </w:pPr>
    <w:rPr>
      <w:rFonts w:ascii="Verdana" w:hAnsi="Verdana"/>
      <w:b/>
      <w:color w:val="808080"/>
      <w:szCs w:val="22"/>
      <w:lang w:bidi="fr-FR"/>
    </w:rPr>
  </w:style>
  <w:style w:type="paragraph" w:customStyle="1" w:styleId="COEFootnote">
    <w:name w:val="COE_Footnote"/>
    <w:basedOn w:val="Normal"/>
    <w:next w:val="Normal"/>
    <w:pPr>
      <w:spacing w:before="60" w:after="60"/>
    </w:pPr>
    <w:rPr>
      <w:i/>
    </w:rPr>
  </w:style>
  <w:style w:type="character" w:customStyle="1" w:styleId="COEHeading1Char">
    <w:name w:val="COE_Heading1 Char"/>
    <w:link w:val="COEHeading1"/>
    <w:rPr>
      <w:rFonts w:ascii="Arial" w:hAnsi="Arial"/>
      <w:b/>
      <w:sz w:val="24"/>
      <w:szCs w:val="32"/>
      <w:lang w:val="fr-FR" w:eastAsia="fr-FR" w:bidi="fr-FR"/>
    </w:rPr>
  </w:style>
  <w:style w:type="paragraph" w:customStyle="1" w:styleId="COEHeading4">
    <w:name w:val="COE_Heading4"/>
    <w:basedOn w:val="Normal"/>
    <w:next w:val="Normal"/>
    <w:pPr>
      <w:numPr>
        <w:ilvl w:val="3"/>
        <w:numId w:val="2"/>
      </w:numPr>
    </w:pPr>
  </w:style>
  <w:style w:type="paragraph" w:customStyle="1" w:styleId="COEIMGPROTECTED">
    <w:name w:val="COE_IMG_PROTECTED"/>
    <w:basedOn w:val="Normal"/>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
    <w:rPr>
      <w:i/>
      <w:color w:val="999999"/>
    </w:rPr>
  </w:style>
  <w:style w:type="paragraph" w:customStyle="1" w:styleId="COELignes">
    <w:name w:val="COE_Lignes"/>
    <w:basedOn w:val="Normal"/>
  </w:style>
  <w:style w:type="paragraph" w:customStyle="1" w:styleId="COEList">
    <w:name w:val="COE_List"/>
    <w:basedOn w:val="Normal"/>
    <w:pPr>
      <w:spacing w:after="60"/>
    </w:pPr>
  </w:style>
  <w:style w:type="paragraph" w:customStyle="1" w:styleId="COEMedium">
    <w:name w:val="COE_Medium"/>
    <w:pPr>
      <w:spacing w:before="120" w:after="60"/>
      <w:jc w:val="both"/>
    </w:pPr>
    <w:rPr>
      <w:rFonts w:ascii="Verdana" w:hAnsi="Verdana"/>
      <w:b/>
      <w:sz w:val="24"/>
      <w:szCs w:val="24"/>
      <w:lang w:bidi="fr-FR"/>
    </w:rPr>
  </w:style>
  <w:style w:type="paragraph" w:customStyle="1" w:styleId="COESource">
    <w:name w:val="COE_Source"/>
    <w:basedOn w:val="Normal"/>
    <w:link w:val="COESourceChar"/>
    <w:autoRedefine/>
    <w:rPr>
      <w:sz w:val="16"/>
      <w:szCs w:val="18"/>
    </w:rPr>
  </w:style>
  <w:style w:type="paragraph" w:customStyle="1" w:styleId="COESousTitre">
    <w:name w:val="COE_SousTitre"/>
    <w:next w:val="Normal"/>
    <w:link w:val="COESousTitreChar"/>
    <w:pPr>
      <w:spacing w:before="240" w:after="120"/>
    </w:pPr>
    <w:rPr>
      <w:rFonts w:ascii="Verdana" w:hAnsi="Verdana"/>
      <w:sz w:val="28"/>
      <w:szCs w:val="28"/>
      <w:lang w:bidi="fr-FR"/>
    </w:rPr>
  </w:style>
  <w:style w:type="character" w:customStyle="1" w:styleId="COETitreChar">
    <w:name w:val="COE_Titre Char"/>
    <w:link w:val="COETitre"/>
    <w:rPr>
      <w:rFonts w:ascii="Arial" w:hAnsi="Arial"/>
      <w:sz w:val="36"/>
      <w:szCs w:val="36"/>
      <w:lang w:val="fr-FR" w:eastAsia="fr-FR" w:bidi="fr-FR"/>
    </w:rPr>
  </w:style>
  <w:style w:type="character" w:customStyle="1" w:styleId="COESousTitreChar">
    <w:name w:val="COE_SousTitre Char"/>
    <w:link w:val="COESousTitre"/>
    <w:rPr>
      <w:rFonts w:ascii="Verdana" w:hAnsi="Verdana"/>
      <w:sz w:val="28"/>
      <w:szCs w:val="28"/>
      <w:lang w:val="fr-FR" w:eastAsia="fr-FR" w:bidi="fr-F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600"/>
    </w:pPr>
  </w:style>
  <w:style w:type="character" w:customStyle="1" w:styleId="CMTitleChar">
    <w:name w:val="CM_Title Char"/>
    <w:link w:val="CMTitle"/>
    <w:rPr>
      <w:rFonts w:ascii="Arial" w:hAnsi="Arial"/>
      <w:b/>
      <w:sz w:val="36"/>
      <w:szCs w:val="32"/>
      <w:lang w:val="fr-FR" w:eastAsia="fr-FR" w:bidi="fr-FR"/>
    </w:rPr>
  </w:style>
  <w:style w:type="paragraph" w:customStyle="1" w:styleId="Style1">
    <w:name w:val="Style1"/>
    <w:basedOn w:val="COEHeading1"/>
    <w:autoRedefine/>
    <w:rPr>
      <w:sz w:val="28"/>
    </w:rPr>
  </w:style>
  <w:style w:type="paragraph" w:customStyle="1" w:styleId="StyleCMAuthorGray-50">
    <w:name w:val="Style CM_Author + Gray-50%"/>
    <w:basedOn w:val="CMAuthor"/>
    <w:autoRedefine/>
    <w:rPr>
      <w:bCs/>
      <w:iCs/>
    </w:rPr>
  </w:style>
  <w:style w:type="paragraph" w:customStyle="1" w:styleId="CMNormal">
    <w:name w:val="CM_Normal"/>
    <w:basedOn w:val="Normal"/>
    <w:rPr>
      <w:rFonts w:cs="Arial"/>
      <w:color w:val="000000"/>
      <w:szCs w:val="20"/>
    </w:rPr>
  </w:style>
  <w:style w:type="paragraph" w:customStyle="1" w:styleId="CMRightAlign">
    <w:name w:val="CM_RightAlign"/>
    <w:basedOn w:val="Normal"/>
    <w:pPr>
      <w:jc w:val="right"/>
    </w:pPr>
    <w:rPr>
      <w:rFonts w:cs="Arial"/>
      <w:color w:val="000000"/>
      <w:szCs w:val="20"/>
    </w:rPr>
  </w:style>
  <w:style w:type="character" w:customStyle="1" w:styleId="COENoLignesChar">
    <w:name w:val="COE_NoLignes Char"/>
    <w:link w:val="COENoLignes"/>
    <w:rPr>
      <w:rFonts w:ascii="Arial" w:hAnsi="Arial"/>
      <w:lang w:val="fr-FR" w:eastAsia="fr-FR" w:bidi="fr-FR"/>
    </w:rPr>
  </w:style>
  <w:style w:type="character" w:customStyle="1" w:styleId="COESourceChar">
    <w:name w:val="COE_Source Char"/>
    <w:link w:val="COESource"/>
    <w:rPr>
      <w:rFonts w:ascii="Arial" w:hAnsi="Arial"/>
      <w:sz w:val="16"/>
      <w:szCs w:val="18"/>
      <w:lang w:val="fr-FR" w:eastAsia="fr-FR" w:bidi="fr-FR"/>
    </w:rPr>
  </w:style>
  <w:style w:type="paragraph" w:customStyle="1" w:styleId="COETitleSystem">
    <w:name w:val="COE_Title(System)"/>
    <w:basedOn w:val="Normal"/>
    <w:next w:val="Normal"/>
    <w:rPr>
      <w:rFonts w:ascii="Verdana" w:hAnsi="Verdana"/>
      <w:bCs/>
      <w:color w:val="808080"/>
      <w:sz w:val="26"/>
    </w:rPr>
  </w:style>
  <w:style w:type="paragraph" w:customStyle="1" w:styleId="COETitleBrowser">
    <w:name w:val="COE_Title(Browser)"/>
    <w:basedOn w:val="COETitleSystem"/>
    <w:next w:val="Normal"/>
    <w:rPr>
      <w:color w:val="C0C0C0"/>
      <w:sz w:val="16"/>
    </w:rPr>
  </w:style>
  <w:style w:type="paragraph" w:customStyle="1" w:styleId="COEWCDSearchParams">
    <w:name w:val="COE_WCD_SearchParams"/>
    <w:basedOn w:val="Normal"/>
    <w:autoRedefine/>
    <w:rPr>
      <w:rFonts w:ascii="Verdana" w:hAnsi="Verdana"/>
    </w:rPr>
  </w:style>
  <w:style w:type="character" w:styleId="LineNumber">
    <w:name w:val="line number"/>
    <w:basedOn w:val="DefaultParagraphFont"/>
  </w:style>
  <w:style w:type="paragraph" w:customStyle="1" w:styleId="Style2">
    <w:name w:val="Style2"/>
    <w:basedOn w:val="COEHeading2"/>
    <w:rPr>
      <w:rFonts w:ascii="Arial" w:hAnsi="Arial"/>
    </w:rPr>
  </w:style>
  <w:style w:type="paragraph" w:customStyle="1" w:styleId="ParagrapheAuto">
    <w:name w:val="=Paragraphe_Auto"/>
    <w:basedOn w:val="Normal"/>
    <w:next w:val="Normal"/>
    <w:link w:val="ParagrapheAutoChar"/>
    <w:pPr>
      <w:numPr>
        <w:numId w:val="4"/>
      </w:numPr>
      <w:jc w:val="both"/>
    </w:pPr>
    <w:rPr>
      <w:rFonts w:ascii="Times New Roman" w:hAnsi="Times New Roman"/>
      <w:sz w:val="24"/>
    </w:rPr>
  </w:style>
  <w:style w:type="character" w:customStyle="1" w:styleId="ParagrapheAutoChar">
    <w:name w:val="=Paragraphe_Auto Char"/>
    <w:link w:val="ParagrapheAuto"/>
    <w:rPr>
      <w:sz w:val="24"/>
      <w:szCs w:val="24"/>
      <w:lang w:val="fr-FR" w:eastAsia="fr-FR" w:bidi="fr-FR"/>
    </w:rPr>
  </w:style>
  <w:style w:type="paragraph" w:customStyle="1" w:styleId="Appendix">
    <w:name w:val="Appendix"/>
    <w:basedOn w:val="Heading1"/>
    <w:pPr>
      <w:keepNext w:val="0"/>
      <w:spacing w:before="0" w:after="0"/>
      <w:ind w:hanging="720"/>
      <w:jc w:val="center"/>
    </w:pPr>
    <w:rPr>
      <w:rFonts w:ascii="Times" w:hAnsi="Times" w:cs="Times New Roman"/>
      <w:b/>
      <w:bCs w:val="0"/>
      <w:smallCaps/>
      <w:spacing w:val="30"/>
      <w:kern w:val="0"/>
      <w:sz w:val="28"/>
      <w:szCs w:val="28"/>
    </w:rPr>
  </w:style>
  <w:style w:type="paragraph" w:customStyle="1" w:styleId="PR">
    <w:name w:val="PR"/>
    <w:pPr>
      <w:widowControl w:val="0"/>
      <w:tabs>
        <w:tab w:val="left" w:pos="0"/>
        <w:tab w:val="left" w:pos="708"/>
        <w:tab w:val="left" w:pos="991"/>
        <w:tab w:val="left" w:pos="1417"/>
      </w:tabs>
      <w:suppressAutoHyphens/>
      <w:jc w:val="both"/>
    </w:pPr>
    <w:rPr>
      <w:rFonts w:ascii="Courier" w:hAnsi="Courier"/>
      <w:snapToGrid w:val="0"/>
      <w:spacing w:val="-3"/>
      <w:sz w:val="24"/>
      <w:lang w:bidi="fr-FR"/>
    </w:rPr>
  </w:style>
  <w:style w:type="paragraph" w:customStyle="1" w:styleId="CarCharCar">
    <w:name w:val="Car Char Car"/>
    <w:basedOn w:val="Normal"/>
    <w:pPr>
      <w:spacing w:after="160" w:line="240" w:lineRule="exact"/>
    </w:pPr>
    <w:rPr>
      <w:rFonts w:cs="Arial"/>
      <w:szCs w:val="20"/>
    </w:rPr>
  </w:style>
  <w:style w:type="paragraph" w:customStyle="1" w:styleId="Participants">
    <w:name w:val="=Participants"/>
    <w:basedOn w:val="Normal"/>
    <w:link w:val="ParticipantsChar2"/>
    <w:pPr>
      <w:keepNext/>
      <w:keepLines/>
      <w:tabs>
        <w:tab w:val="left" w:pos="851"/>
        <w:tab w:val="left" w:pos="5103"/>
      </w:tabs>
      <w:jc w:val="both"/>
    </w:pPr>
    <w:rPr>
      <w:rFonts w:cs="Arial"/>
      <w:spacing w:val="-3"/>
      <w:szCs w:val="22"/>
    </w:rPr>
  </w:style>
  <w:style w:type="character" w:customStyle="1" w:styleId="ParticipantsChar2">
    <w:name w:val="=Participants Char2"/>
    <w:link w:val="Participants"/>
    <w:rPr>
      <w:rFonts w:ascii="Arial" w:hAnsi="Arial" w:cs="Arial"/>
      <w:spacing w:val="-3"/>
      <w:szCs w:val="22"/>
      <w:lang w:val="fr-FR" w:eastAsia="fr-FR" w:bidi="fr-FR"/>
    </w:rPr>
  </w:style>
  <w:style w:type="paragraph" w:customStyle="1" w:styleId="Country">
    <w:name w:val="=Country"/>
    <w:basedOn w:val="Normal"/>
    <w:next w:val="Normal"/>
    <w:pPr>
      <w:keepNext/>
      <w:keepLines/>
      <w:spacing w:after="120"/>
    </w:pPr>
    <w:rPr>
      <w:rFonts w:cs="Arial"/>
      <w:b/>
      <w:sz w:val="22"/>
      <w:szCs w:val="22"/>
      <w:u w:val="single"/>
    </w:rPr>
  </w:style>
  <w:style w:type="paragraph" w:styleId="E-mailSignature">
    <w:name w:val="E-mail Signature"/>
    <w:basedOn w:val="Normal"/>
    <w:rPr>
      <w:rFonts w:ascii="Times New Roman" w:hAnsi="Times New Roman"/>
      <w:sz w:val="24"/>
    </w:rPr>
  </w:style>
  <w:style w:type="character" w:customStyle="1" w:styleId="spelle">
    <w:name w:val="spelle"/>
    <w:basedOn w:val="DefaultParagraphFont"/>
  </w:style>
  <w:style w:type="paragraph" w:customStyle="1" w:styleId="2Article">
    <w:name w:val="2.Article"/>
    <w:basedOn w:val="Normal"/>
    <w:pPr>
      <w:keepNext/>
      <w:jc w:val="center"/>
      <w:outlineLvl w:val="1"/>
    </w:pPr>
    <w:rPr>
      <w:rFonts w:ascii="Times New Roman" w:hAnsi="Times New Roman"/>
      <w:b/>
      <w:sz w:val="24"/>
    </w:rPr>
  </w:style>
  <w:style w:type="paragraph" w:customStyle="1" w:styleId="1Section">
    <w:name w:val="1.Section"/>
    <w:basedOn w:val="Normal"/>
    <w:pPr>
      <w:keepNext/>
      <w:jc w:val="center"/>
      <w:outlineLvl w:val="0"/>
    </w:pPr>
    <w:rPr>
      <w:rFonts w:ascii="Times New Roman" w:hAnsi="Times New Roman"/>
      <w:b/>
      <w:sz w:val="28"/>
      <w:szCs w:val="28"/>
    </w:rPr>
  </w:style>
  <w:style w:type="paragraph" w:customStyle="1" w:styleId="3List">
    <w:name w:val="3.List"/>
    <w:basedOn w:val="Normal"/>
    <w:pPr>
      <w:ind w:left="851" w:hanging="567"/>
      <w:jc w:val="both"/>
    </w:pPr>
    <w:rPr>
      <w:rFonts w:ascii="Times New Roman" w:hAnsi="Times New Roman"/>
      <w:sz w:val="24"/>
    </w:rPr>
  </w:style>
  <w:style w:type="paragraph" w:customStyle="1" w:styleId="4Letters">
    <w:name w:val="4.Letters"/>
    <w:basedOn w:val="Normal"/>
    <w:pPr>
      <w:ind w:left="851" w:hanging="567"/>
      <w:jc w:val="both"/>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paragraph" w:customStyle="1" w:styleId="CharCharCharCarCharCharCarCar">
    <w:name w:val="Char Char Char Car Char Char Car Car"/>
    <w:basedOn w:val="Normal"/>
    <w:pPr>
      <w:autoSpaceDE w:val="0"/>
      <w:autoSpaceDN w:val="0"/>
      <w:spacing w:after="160" w:line="240" w:lineRule="exact"/>
    </w:pPr>
    <w:rPr>
      <w:rFonts w:cs="Arial"/>
      <w:szCs w:val="20"/>
    </w:rPr>
  </w:style>
  <w:style w:type="paragraph" w:styleId="BodyText2">
    <w:name w:val="Body Text 2"/>
    <w:basedOn w:val="Normal"/>
    <w:pPr>
      <w:suppressAutoHyphens/>
      <w:jc w:val="both"/>
    </w:pPr>
    <w:rPr>
      <w:rFonts w:ascii="Times New Roman" w:hAnsi="Times New Roman"/>
      <w:b/>
      <w:spacing w:val="-3"/>
      <w:sz w:val="24"/>
      <w:szCs w:val="20"/>
      <w:u w:val="single"/>
    </w:rPr>
  </w:style>
  <w:style w:type="character" w:customStyle="1" w:styleId="FooterChar">
    <w:name w:val="Footer Char"/>
    <w:link w:val="Footer"/>
    <w:uiPriority w:val="99"/>
    <w:rsid w:val="006F2D0D"/>
    <w:rPr>
      <w:rFonts w:ascii="Arial" w:hAnsi="Arial"/>
      <w:sz w:val="16"/>
      <w:szCs w:val="24"/>
    </w:rPr>
  </w:style>
  <w:style w:type="character" w:customStyle="1" w:styleId="Marker">
    <w:name w:val="Marker"/>
    <w:rsid w:val="00794A12"/>
    <w:rPr>
      <w:color w:val="0000FF"/>
      <w:shd w:val="clear" w:color="auto" w:fill="auto"/>
    </w:rPr>
  </w:style>
  <w:style w:type="paragraph" w:customStyle="1" w:styleId="Pagedecouverture">
    <w:name w:val="Page de couverture"/>
    <w:basedOn w:val="Normal"/>
    <w:next w:val="Normal"/>
    <w:rsid w:val="00794A12"/>
    <w:pPr>
      <w:jc w:val="both"/>
    </w:pPr>
    <w:rPr>
      <w:rFonts w:ascii="Times New Roman" w:eastAsia="Calibri" w:hAnsi="Times New Roman"/>
      <w:sz w:val="24"/>
      <w:szCs w:val="22"/>
      <w:lang w:eastAsia="en-US" w:bidi="ar-SA"/>
    </w:rPr>
  </w:style>
  <w:style w:type="paragraph" w:customStyle="1" w:styleId="FooterCoverPage">
    <w:name w:val="Footer Cover Page"/>
    <w:basedOn w:val="Normal"/>
    <w:link w:val="FooterCoverPageChar"/>
    <w:rsid w:val="00794A12"/>
    <w:pPr>
      <w:tabs>
        <w:tab w:val="center" w:pos="4535"/>
        <w:tab w:val="right" w:pos="9071"/>
        <w:tab w:val="right" w:pos="9921"/>
      </w:tabs>
      <w:spacing w:before="360"/>
      <w:ind w:left="-850" w:right="-850"/>
    </w:pPr>
    <w:rPr>
      <w:rFonts w:ascii="Times New Roman" w:hAnsi="Times New Roman"/>
      <w:spacing w:val="-3"/>
      <w:sz w:val="24"/>
    </w:rPr>
  </w:style>
  <w:style w:type="character" w:customStyle="1" w:styleId="FooterCoverPageChar">
    <w:name w:val="Footer Cover Page Char"/>
    <w:link w:val="FooterCoverPage"/>
    <w:rsid w:val="00794A12"/>
    <w:rPr>
      <w:spacing w:val="-3"/>
      <w:sz w:val="24"/>
      <w:szCs w:val="24"/>
      <w:lang w:bidi="fr-FR"/>
    </w:rPr>
  </w:style>
  <w:style w:type="paragraph" w:customStyle="1" w:styleId="HeaderCoverPage">
    <w:name w:val="Header Cover Page"/>
    <w:basedOn w:val="Normal"/>
    <w:link w:val="HeaderCoverPageChar"/>
    <w:rsid w:val="00794A12"/>
    <w:pPr>
      <w:tabs>
        <w:tab w:val="center" w:pos="4535"/>
        <w:tab w:val="right" w:pos="9071"/>
      </w:tabs>
      <w:spacing w:after="120"/>
      <w:jc w:val="both"/>
    </w:pPr>
    <w:rPr>
      <w:rFonts w:ascii="Times New Roman" w:hAnsi="Times New Roman"/>
      <w:spacing w:val="-3"/>
      <w:sz w:val="24"/>
    </w:rPr>
  </w:style>
  <w:style w:type="character" w:customStyle="1" w:styleId="HeaderCoverPageChar">
    <w:name w:val="Header Cover Page Char"/>
    <w:link w:val="HeaderCoverPage"/>
    <w:rsid w:val="00794A12"/>
    <w:rPr>
      <w:spacing w:val="-3"/>
      <w:sz w:val="24"/>
      <w:szCs w:val="24"/>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705A-3C35-4E2C-BDC5-F67AD6A1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12386</Words>
  <Characters>68501</Characters>
  <Application>Microsoft Office Word</Application>
  <DocSecurity>4</DocSecurity>
  <Lines>1630</Lines>
  <Paragraphs>478</Paragraphs>
  <ScaleCrop>false</ScaleCrop>
  <HeadingPairs>
    <vt:vector size="2" baseType="variant">
      <vt:variant>
        <vt:lpstr>Title</vt:lpstr>
      </vt:variant>
      <vt:variant>
        <vt:i4>1</vt:i4>
      </vt:variant>
    </vt:vector>
  </HeadingPairs>
  <TitlesOfParts>
    <vt:vector size="1" baseType="lpstr">
      <vt:lpstr>Council of Europe Convention on preventing and combating violence against women and domestic violence</vt:lpstr>
    </vt:vector>
  </TitlesOfParts>
  <Company>Council of Europe</Company>
  <LinksUpToDate>false</LinksUpToDate>
  <CharactersWithSpaces>80409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Europe Convention on preventing and combating violence against women and domestic violence</dc:title>
  <dc:creator>Council of Europe</dc:creator>
  <cp:lastModifiedBy>JANSEN Colette (SG)</cp:lastModifiedBy>
  <cp:revision>2</cp:revision>
  <cp:lastPrinted>2016-03-04T11:01:00Z</cp:lastPrinted>
  <dcterms:created xsi:type="dcterms:W3CDTF">2016-03-04T11:01:00Z</dcterms:created>
  <dcterms:modified xsi:type="dcterms:W3CDTF">2016-03-04T11:01:00Z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EN-GB</vt:lpwstr>
  </property>
  <property fmtid="{D5CDD505-2E9C-101B-9397-08002B2CF9AE}" pid="3" name="_NewReviewCycle">
    <vt:lpwstr/>
  </property>
  <property fmtid="{D5CDD505-2E9C-101B-9397-08002B2CF9AE}" pid="4" name="First annex">
    <vt:lpwstr>1</vt:lpwstr>
  </property>
  <property fmtid="{D5CDD505-2E9C-101B-9397-08002B2CF9AE}" pid="5" name="Last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lassification">
    <vt:lpwstr> </vt:lpwstr>
  </property>
</Properties>
</file>