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3AF8BF8F60A4EF89EF8F04053179361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Въз основа на съответните указания за водене на преговори Комисията проведе преговори с правителството на островите Кук с оглед на сключването на ново споразумение за партньорство в областта на устойчивото рибарство между Европейския съюз и островите Кук и протокол за прилагането му. В резултат на тези преговори на 21 октомври 2015 г. бяха парафирани ново споразумение и протокол. Те обхващат период съответно от осем и четири години, считано от датата на временното им прилагане, т.е. от датата на тяхното подписване, както е предвидено в член 16 от споразумението и член 12 от протокола.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Новото споразумение предоставя рамка, която взема предвид приоритетите на реформираната обща политика в областта на рибарството и на нейното външно измерение, с оглед на установяването на стратегическо партньорство между Европейския съюз и островите Кук.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Основната цел на новия протокол е да се предоставят възможности за риболов на кораби на Съюза в риболовната зона на островите Кук въз основа на най-добрите налични научни становища и съблюдавайки мерките за опазване и управление на Комисията за риболова в Западния и Централния Тихи океан (WCPFC) и, когато това е целесъобразно, в рамките на наличните допълнителни рибни ресурси. Позицията на Комисията се основава, наред с другото, на резултатите от извършената от външни експерти прогнозна оценка на възможността да се сключат ново споразумение и нов протокол. Целта е също така да се даде нов тласък на сътрудничеството между Европейския съюз и островите Кук за насърчаването на политика на устойчиво рибарство и отговорно използване на рибните ресурси в риболовната зона на островите Кук, в интерес и на двете страни.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Протоколът предвижда възможности за риболов за 4 кораба с мрежи гъргър за улов на риба тон.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Съответно Комисията предлага Съветът, с одобрението на Европейския парламент, да приеме с решение сключването на новото споразумение и новия протокол.</w:t>
      </w:r>
    </w:p>
    <w:p>
      <w:pPr>
        <w:rPr>
          <w:rFonts w:eastAsia="Times New Roman"/>
          <w:noProof/>
          <w:color w:val="000000"/>
          <w:szCs w:val="24"/>
        </w:rPr>
      </w:pPr>
    </w:p>
    <w:p>
      <w:pPr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noProof/>
        </w:rPr>
        <w:t>ПРАВНО ОСНОВАНИЕ, СУБСИДИАРНОСТ И ПРОПОРЦИОНАЛНОСТ</w:t>
      </w:r>
    </w:p>
    <w:p>
      <w:pPr>
        <w:rPr>
          <w:noProof/>
        </w:rPr>
      </w:pPr>
      <w:r>
        <w:rPr>
          <w:noProof/>
        </w:rPr>
        <w:t>Съгласно член 3, параграф 1, буква г) от Договора за функционирането на Европейския съюз (ДФЕС) опазването на морските биологични ресурси е от изключителната компетентност на Европейския съюз. Принципът на субсидиарност не се прилага, тъй като държавите членки нямат право да договарят споразумения в областта на рибарството с трети държави.</w:t>
      </w:r>
    </w:p>
    <w:p>
      <w:pPr>
        <w:rPr>
          <w:rFonts w:eastAsia="Arial Unicode MS"/>
          <w:noProof/>
        </w:rPr>
      </w:pPr>
      <w:r>
        <w:rPr>
          <w:noProof/>
        </w:rPr>
        <w:t>Правното основание за предложеното решение на Съвета относно сключването на новото споразумение и протокола за прилагането му е член 43, параграф 2 от ДФЕС във връзка с член 218, параграф 6, втора алинея, буква а), подточка v) и член 218, параграф 7 от него.</w:t>
      </w:r>
    </w:p>
    <w:p>
      <w:pPr>
        <w:rPr>
          <w:rFonts w:eastAsia="Arial Unicode MS"/>
          <w:noProof/>
        </w:rPr>
      </w:pPr>
      <w:r>
        <w:rPr>
          <w:noProof/>
        </w:rPr>
        <w:t>Настоящата процедура се провежда успоредно с процедурите във връзка с решението на Съвета за подписване и временно прилагане на посоченото споразумение за партньорство в областта на устойчивото рибарство между Европейския съюз и правителството на островите Кук и протокола за неговото прилагане, както и процедурите във връзка с регламента на Съвета за разпределяне на възможностите за риболов между държавите — членки на ЕС.</w:t>
      </w:r>
    </w:p>
    <w:p>
      <w:pPr>
        <w:rPr>
          <w:rFonts w:eastAsia="Arial Unicode MS"/>
          <w:noProof/>
        </w:rPr>
      </w:pPr>
    </w:p>
    <w:p>
      <w:pPr>
        <w:rPr>
          <w:b/>
          <w:noProof/>
        </w:rPr>
      </w:pPr>
      <w:r>
        <w:rPr>
          <w:b/>
          <w:noProof/>
        </w:rPr>
        <w:t>3.</w:t>
      </w:r>
      <w:r>
        <w:rPr>
          <w:noProof/>
        </w:rPr>
        <w:tab/>
      </w:r>
      <w:r>
        <w:rPr>
          <w:b/>
          <w:noProof/>
        </w:rPr>
        <w:t>РЕЗУЛТАТИ ОТ ПОСЛЕДВАЩИ ОЦЕНКИ, КОНСУЛТАЦИИ СЪС ЗАИНТЕРЕСОВАНИТЕ СТРАНИ И ОЦЕНКИ НА ВЪЗДЕЙСТВИЕТО</w:t>
      </w:r>
    </w:p>
    <w:p>
      <w:pPr>
        <w:rPr>
          <w:rFonts w:eastAsia="Times New Roman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Консултации със заинтересованите страни бяха проведени в рамките на предварителната оценка за възможно споразумение за партньорство в областта на устойчивото рибарство и протокол между Европейския съюз и островите Кук. Докладът за оценката е публикуван в неговата цялост на уебсайта „Еuropa“ на Европейската комисия. По време на техническите срещи бяха извършени консултации и с експерти от държавите членки и от сектора. Оценката и консултациите доведоха до заключението, че за ЕС и островите Кук би било от полза да сключат ново споразумение за партньорство в областта на устойчивото рибарство и протокол за прилагането му.</w:t>
      </w:r>
    </w:p>
    <w:p>
      <w:pPr>
        <w:rPr>
          <w:rFonts w:eastAsia="Times New Roman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В съответствие с реформираната обща политика в областта на рибарството споразумението съдържа разпоредба относно спазването на правата на човека, демократичните принципи и върховенството на закона (член 3, параграф 4). Споразумението и протоколът за прилагането му предвиждат и възможността за тяхното временно преустановяване (съответно членове 13 и 6) или прекратяване (съответно членове 14 и 7), ако някоя от страните наруши разпоредбата относно спазването на правата на човека. </w:t>
      </w:r>
    </w:p>
    <w:p>
      <w:pPr>
        <w:rPr>
          <w:rFonts w:eastAsia="Arial Unicode MS"/>
          <w:noProof/>
        </w:rPr>
      </w:pPr>
    </w:p>
    <w:p>
      <w:pPr>
        <w:rPr>
          <w:b/>
          <w:noProof/>
        </w:rPr>
      </w:pPr>
      <w:r>
        <w:rPr>
          <w:b/>
          <w:noProof/>
        </w:rPr>
        <w:t>4.</w:t>
      </w:r>
      <w:r>
        <w:rPr>
          <w:noProof/>
        </w:rPr>
        <w:tab/>
      </w:r>
      <w:r>
        <w:rPr>
          <w:b/>
          <w:noProof/>
        </w:rPr>
        <w:t>ОТРАЖЕНИЕ ВЪРХУ БЮДЖЕТА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bdr w:val="none" w:sz="0" w:space="0" w:color="auto" w:frame="1"/>
        </w:rPr>
        <w:t>Годишното финансово участие е 735 000 EUR за първата и втората година и 700 000 EUR за третата и четвъртата година, изчислени въз основа на: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bdr w:val="none" w:sz="0" w:space="0" w:color="auto" w:frame="1"/>
        </w:rPr>
        <w:t>а) референтен тонаж от 7000 тона, за който е определена сума, свързана с достъпа, в размер на 385 000 EUR за първата и втората година и 350 000 EUR за третата и четвъртата година; както и</w:t>
      </w:r>
    </w:p>
    <w:p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б) подкрепа за развитието на секторната политика на островите Кук в областта на рибарството в размер на 350 000 EUR за първата, втората, третата и четвъртата година. Тази подкрепа отговаря на целите на националната политика в областта на рибарството, и по-специално на нуждите на островите Кук по отношение на подкрепа за научните изследвания, сектора на непромишления риболов, както и за наблюдението, контрола и надзора на риболова и борбата срещу незаконния риболов.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2016/0077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2 във връзка с член 218, параграф 6, втора алинея, буква а), подточка v) и член 218, параграф 7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съюз и правителството на островите Кук договориха подлежащо на подновяване с мълчаливо съгласие Споразумение за партньорство в областта на устойчивото рибарство (наричано по-нататък „Споразумението“) за период от пет години и протокол за прилагането на същото споразумение, с които на корабите на Европейския съюз се предоставят възможности за риболов във водите, над които правителството на островите Кук упражнява своя суверенитет или юрисдикция в областта на рибарството.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Споразумението и протоколът бяха подписани на […] в съответствие с Решение 2015/.../ЕС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се прилагат временно от датата на подписването им.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и протоколът за прилагането му следва да бъдат одобрени.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 силата на член 6 от Споразумението се създава съвместен комитет, натоварен с контрола по прилагането на Споразумението. Освен това в съответствие с протокола съвместният комитет може да одобрява някои изменения в протокола. За да се улесни одобряването на такива изменения, е целесъобразно на Комисията да се дадат правомощия, при спазване на определени условия, да одобрява измененията по опростена процедура,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 настоящото се одобряват от името на Съюза Споразумението за партньорство в областта на устойчивото рибарство между Европейския съюз и правителството на островите Кук и протоколът за прилагането му.</w:t>
      </w:r>
    </w:p>
    <w:p>
      <w:pPr>
        <w:rPr>
          <w:noProof/>
        </w:rPr>
      </w:pPr>
      <w:r>
        <w:rPr>
          <w:noProof/>
        </w:rPr>
        <w:t>Текстът на Споразумението и на протокола са поместени в приложения I и II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 (или лицата), упълномощено да извърши от името на Съюза уведомяването, предвидено в член 17 от Споразумението и в член 13 от протокола, за да се изрази съгласието на Съюза да бъде обвързан със Споразумението и с протокола към него.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При спазване на разпоредбите и условията, посочени в приложение ІІІ към настоящото решение, Комисията е оправомощена да одобрява от името на Съюза измененията на протокола, които са приети от съвместния комитет, създаден по силата на член 6 от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keepLines/>
        <w:rPr>
          <w:noProof/>
        </w:rPr>
      </w:pPr>
      <w:r>
        <w:rPr>
          <w:noProof/>
        </w:rPr>
        <w:t xml:space="preserve">Настоящото решение влиза в сила на третия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t>ЗАКОНОДАТЕЛНА ФИНАНСОВА ОБОСНОВКА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РАМКА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1.1.</w:t>
      </w:r>
      <w:r>
        <w:rPr>
          <w:b w:val="0"/>
          <w:noProof/>
        </w:rPr>
        <w:tab/>
        <w:t>Наименование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1.2.</w:t>
      </w:r>
      <w:r>
        <w:rPr>
          <w:b w:val="0"/>
          <w:noProof/>
        </w:rPr>
        <w:tab/>
        <w:t>Съответни области на политиката в структурата на УД/БД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1.3.</w:t>
      </w:r>
      <w:r>
        <w:rPr>
          <w:b w:val="0"/>
          <w:noProof/>
        </w:rPr>
        <w:tab/>
        <w:t>Естество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1.4.</w:t>
      </w:r>
      <w:r>
        <w:rPr>
          <w:b w:val="0"/>
          <w:noProof/>
        </w:rPr>
        <w:tab/>
        <w:t>Цели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1.5.</w:t>
      </w:r>
      <w:r>
        <w:rPr>
          <w:b w:val="0"/>
          <w:noProof/>
        </w:rPr>
        <w:tab/>
        <w:t>Мотиви за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1.6.</w:t>
      </w:r>
      <w:r>
        <w:rPr>
          <w:b w:val="0"/>
          <w:noProof/>
        </w:rPr>
        <w:tab/>
        <w:t>Срок на действие и финансово отражение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1.7.</w:t>
      </w:r>
      <w:r>
        <w:rPr>
          <w:b w:val="0"/>
          <w:noProof/>
        </w:rPr>
        <w:tab/>
        <w:t xml:space="preserve">Предвидени методи на управление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2.1.</w:t>
      </w:r>
      <w:r>
        <w:rPr>
          <w:b w:val="0"/>
          <w:noProof/>
        </w:rPr>
        <w:tab/>
        <w:t>Правила за мониторинг и докладване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2.2.</w:t>
      </w:r>
      <w:r>
        <w:rPr>
          <w:b w:val="0"/>
          <w:noProof/>
        </w:rPr>
        <w:tab/>
        <w:t>Система за управление и контрол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2.3.</w:t>
      </w:r>
      <w:r>
        <w:rPr>
          <w:b w:val="0"/>
          <w:noProof/>
        </w:rPr>
        <w:tab/>
        <w:t>Мерки за предотвратяване на измами и нередности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ОЧАКВАНО ФИНАНСОВО ОТРАЖЕНИЕ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3.1.</w:t>
      </w:r>
      <w:r>
        <w:rPr>
          <w:b w:val="0"/>
          <w:noProof/>
        </w:rPr>
        <w:tab/>
        <w:t>Съответни функции от многогодишната финансова рамка и разходни бюджетни редове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3.2.</w:t>
      </w:r>
      <w:r>
        <w:rPr>
          <w:b w:val="0"/>
          <w:noProof/>
        </w:rPr>
        <w:tab/>
        <w:t>Очаквано отражение върху разходите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Очаквано отражение върху бюджетните кредити за оперативни разходи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отражение върху бюджетните кредити за административни разходи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ab/>
        <w:t>3.3.</w:t>
      </w:r>
      <w:r>
        <w:rPr>
          <w:b w:val="0"/>
          <w:noProof/>
        </w:rPr>
        <w:tab/>
        <w:t>Очаквано отражение върху приходите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Annexetitrefichefinancire"/>
        <w:rPr>
          <w:noProof/>
        </w:rPr>
      </w:pPr>
      <w:r>
        <w:rPr>
          <w:noProof/>
        </w:rPr>
        <w:t>ЗАКОНОДАТЕЛНА ФИНАНСОВА ОБОСНОВКА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РАМКА НА ПРЕДЛОЖЕНИЕТО/ИНИЦИАТИВАТА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Наименование на предложението/инициативата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Предложение за решение на Съвета за подписване от името на Европейския съюз и за временно прилагане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</w:t>
      </w:r>
    </w:p>
    <w:p>
      <w:pPr>
        <w:pStyle w:val="ManualHeading2"/>
        <w:rPr>
          <w:noProof/>
        </w:rPr>
      </w:pPr>
      <w:r>
        <w:t>1.2.</w:t>
      </w:r>
      <w:r>
        <w:tab/>
      </w: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11. — Морско дело и рибарство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11.03 — Задължителни вноски в регионалните организации за управление на рибарството (РОУР) и в други международни организации и споразумения за устойчиво рибарство (СУР)</w:t>
      </w:r>
    </w:p>
    <w:p>
      <w:pPr>
        <w:pStyle w:val="ManualHeading2"/>
        <w:rPr>
          <w:noProof/>
        </w:rPr>
      </w:pPr>
      <w:r>
        <w:t>1.3.</w:t>
      </w:r>
      <w:r>
        <w:tab/>
      </w:r>
      <w:r>
        <w:rPr>
          <w:noProof/>
        </w:rPr>
        <w:t xml:space="preserve">Естество на предложението/инициативата </w:t>
      </w:r>
    </w:p>
    <w:p>
      <w:pPr>
        <w:ind w:left="850"/>
        <w:rPr>
          <w:b/>
          <w:noProof/>
          <w:sz w:val="22"/>
        </w:rPr>
      </w:pPr>
      <w:r>
        <w:rPr>
          <w:noProof/>
        </w:rPr>
        <w:t xml:space="preserve">X Предложението/инициативата е във връзка с </w:t>
      </w:r>
      <w:r>
        <w:rPr>
          <w:b/>
          <w:noProof/>
        </w:rPr>
        <w:t>нова дейност</w:t>
      </w:r>
      <w:r>
        <w:rPr>
          <w:noProof/>
        </w:rPr>
        <w:t>.</w:t>
      </w:r>
      <w:r>
        <w:rPr>
          <w:b/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нова дейност след пилотен проект/подготвителна дейност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  <w:r>
        <w:rPr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продължаване на съществуваща дейност</w:t>
      </w:r>
      <w:r>
        <w:rPr>
          <w:noProof/>
        </w:rPr>
        <w:t>.</w:t>
      </w:r>
      <w:r>
        <w:rPr>
          <w:noProof/>
          <w:sz w:val="22"/>
        </w:rPr>
        <w:t xml:space="preserve"> </w:t>
      </w:r>
    </w:p>
    <w:p>
      <w:pPr>
        <w:ind w:left="850"/>
        <w:rPr>
          <w:noProof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. </w:t>
      </w:r>
    </w:p>
    <w:p>
      <w:pPr>
        <w:pStyle w:val="ManualHeading2"/>
        <w:rPr>
          <w:noProof/>
        </w:rPr>
      </w:pPr>
      <w:r>
        <w:t>1.4.</w:t>
      </w:r>
      <w:r>
        <w:tab/>
      </w:r>
      <w:r>
        <w:rPr>
          <w:noProof/>
        </w:rPr>
        <w:t>Цели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Договарянето и сключването на споразумения за партньорство в областта на устойчивото рибарство (СПОУР) с трети държави отговаря на общата цел за осигуряването на достъп на риболовните кораби на ЕС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ЕС.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СПОУР осигуряват също така съгласуваност между принципите, регулиращи общата политика в областта на рибарството, и залегналите в други европейски политики ангажименти (устойчиво използване на ресурсите на трети държави, борба с незаконния, недеклариран и нерегулиран риболов, интеграция на държавите партньори в глобалната икономика, както и по-добро политическо и финансово управление на рибарството).</w:t>
      </w:r>
    </w:p>
    <w:p>
      <w:pPr>
        <w:pStyle w:val="ManualHeading3"/>
        <w:rPr>
          <w:noProof/>
        </w:rPr>
      </w:pPr>
      <w:r>
        <w:t>1.4.2.</w:t>
      </w:r>
      <w:r>
        <w:tab/>
      </w:r>
      <w:r>
        <w:rPr>
          <w:noProof/>
        </w:rPr>
        <w:t xml:space="preserve">Конкретни цели и съответни дейности във връзка с УД/БД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u w:val="single"/>
        </w:rPr>
      </w:pPr>
      <w:r>
        <w:rPr>
          <w:noProof/>
          <w:u w:val="single"/>
        </w:rPr>
        <w:t xml:space="preserve">Конкретна цел: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Да се допринесе за устойчивия риболов извън водите на ЕС,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u w:val="single"/>
        </w:rPr>
      </w:pPr>
      <w:r>
        <w:rPr>
          <w:noProof/>
          <w:u w:val="single"/>
        </w:rPr>
        <w:t>Съответни дейности във връзка с УД/БД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Морско дело и рибарство, установяване на рамка за управление на риболовните дейности, извършвани от риболовни кораби на Европейския съюз във води на трети държави (СУР) (бюджетен ред 11.0301).</w:t>
      </w:r>
    </w:p>
    <w:p>
      <w:pPr>
        <w:pStyle w:val="ManualHeading3"/>
        <w:rPr>
          <w:noProof/>
        </w:rPr>
      </w:pPr>
      <w:r>
        <w:rPr>
          <w:noProof/>
        </w:rPr>
        <w:br w:type="page"/>
      </w:r>
      <w:r>
        <w:t>1.4.3.</w:t>
      </w:r>
      <w:r>
        <w:tab/>
      </w:r>
      <w:r>
        <w:rPr>
          <w:noProof/>
        </w:rPr>
        <w:t>Очаквани резултати и отражение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следва да окаже по отношение на бенефициерите / целевите групи.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Сключването на Споразумението позволява установяване на стратегическо партньорство в областта на рибарството между Европейския съюз и островите Кук. Сключването на протокола създава възможности за риболов за корабите на Съюза в риболовната зона на островите Кук.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Протоколът допринася също така за подобряване на управлението и опазването на рибните ресурси чрез финансова подкрепа (секторна подкрепа) за изпълнението на програмите, приети на национално равнище от държавата партньор, и по-конкретно по отношение на контрола и борбата срещу незаконния риболов.</w:t>
      </w:r>
    </w:p>
    <w:p>
      <w:pPr>
        <w:pStyle w:val="ManualHeading3"/>
        <w:rPr>
          <w:noProof/>
        </w:rPr>
      </w:pPr>
      <w:r>
        <w:t>1.4.4.</w:t>
      </w:r>
      <w:r>
        <w:tab/>
      </w:r>
      <w:r>
        <w:rPr>
          <w:noProof/>
        </w:rPr>
        <w:t xml:space="preserve">Показатели за резултатите и за отражението 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Процент на оползотворяване на възможностите за риболов (процентен дял на годишно използваните разрешения за риболов спрямо наличните възможности, предлагани в рамките на протокола);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събиране и анализиране на данните за улова и търговската стойност на Споразумението;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принос към заетостта и добавената стойност в ЕС и към стабилизиране на пазара на ЕС (заедно с други СПОУР);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брой на техническите срещи и на заседанията на съвместния комитет.</w:t>
      </w:r>
    </w:p>
    <w:p>
      <w:pPr>
        <w:pStyle w:val="ManualHeading2"/>
        <w:rPr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Мотиви за предложението/инициативата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Досега не е имало СПОУР или протокол между Европейския съюз и островите Кук. Въз основа на извършена от външни експерти прогнозна оценка се стигна до заключението, че ново СПОУР между ЕС и островите Кук и протокол към него ще бъдат от полза и за двете страни.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Предвижда се новото споразумение и протоколът да се прилагат временно от датата на тяхното подписване, за да не се забавя началото на риболовните операции.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Новият протокол ще осигури рамка за риболовните дейности на европейския флот в риболовната зона на островите Кук и ще позволи на европейските корабособственици да подават заявления за разрешения за риболов, даващи им възможност да извършват риболов в тази зона. Освен това новият протокол укрепва сътрудничеството между ЕС и островите Кук с цел насърчаване на устойчива политика в областта на рибарството. В него се предвижда по-специално наблюдение на корабите чрез VMS и съобщаване на данните за улова по електронен път. Подкрепата за сектора на рибарството в рамките на протокола ще подпомогне островите Кук по отношение на националната им стратегия в областта на рибарството, в т.ч. борбата срещу ННН риболов.</w:t>
      </w:r>
    </w:p>
    <w:p>
      <w:pPr>
        <w:pStyle w:val="ManualHeading3"/>
        <w:rPr>
          <w:noProof/>
        </w:rPr>
      </w:pPr>
      <w:r>
        <w:t>1.5.2.</w:t>
      </w:r>
      <w:r>
        <w:tab/>
      </w:r>
      <w:r>
        <w:rPr>
          <w:noProof/>
        </w:rPr>
        <w:t>Добавена стойност от намесата на ЕС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По отношение на тези нови споразумение и протокол ненамесата на ЕС би означавала сключване на частни споразумения, което няма да осигури устойчиво рибарство. Освен това ЕС се надява, че споразумението и протоколът ще засилят двустранното сътрудничество по отношение на борбата с незаконния риболов.</w:t>
      </w:r>
    </w:p>
    <w:p>
      <w:pPr>
        <w:pStyle w:val="ManualHeading3"/>
        <w:rPr>
          <w:noProof/>
        </w:rPr>
      </w:pPr>
      <w:r>
        <w:t>1.5.3.</w:t>
      </w:r>
      <w:r>
        <w:tab/>
      </w:r>
      <w:r>
        <w:rPr>
          <w:noProof/>
        </w:rPr>
        <w:t>Изводи от подобен опит в миналото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Въз основа на анализа на улова в рамките на подобни протоколи в региона, както и на наличните оценки и научни становища страните решиха да определят референтен тонаж за риба тон и тоноподобни в размер на 7000 тона годишно с възможности за риболов за 4 кораба с мрежи гъргър. Секторната подкрепа бе определена на подходящо ниво, за да се вземат предвид нуждите на риболовните органи на островите Кук при изграждане на капацитета, както и приоритетите на националната стратегия в областта на рибарството.</w:t>
      </w:r>
    </w:p>
    <w:p>
      <w:pPr>
        <w:pStyle w:val="ManualHeading3"/>
        <w:rPr>
          <w:noProof/>
        </w:rPr>
      </w:pPr>
      <w:r>
        <w:t>1.5.4.</w:t>
      </w:r>
      <w:r>
        <w:tab/>
      </w:r>
      <w:r>
        <w:rPr>
          <w:noProof/>
        </w:rPr>
        <w:t>Съвместимост и евентуална синергия с други актове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Средствата, изплащани в рамките на СПОУР, представляват приходи в бюджетите на третите държави партньори, които по принцип не са определени за конкретни цели. Насочването на част от тези средства към мерки за изпълнение в рамките на националната секторна политика обаче е условие за сключването и наблюдението на СПОУР. Тези финансови ресурси са съвместими с други източници на финансиране от други международни донори за осъществяването на проекти и/или програми, провеждани на национално равнище в сектора на рибарството.</w:t>
      </w:r>
    </w:p>
    <w:p>
      <w:pPr>
        <w:pStyle w:val="ManualHeading2"/>
        <w:rPr>
          <w:noProof/>
          <w:szCs w:val="24"/>
        </w:rPr>
      </w:pPr>
      <w:r>
        <w:rPr>
          <w:noProof/>
        </w:rPr>
        <w:br w:type="page"/>
      </w:r>
      <w:r>
        <w:t>1.6.</w:t>
      </w:r>
      <w:r>
        <w:tab/>
      </w:r>
      <w:r>
        <w:rPr>
          <w:noProof/>
        </w:rPr>
        <w:t xml:space="preserve">Срок на действие и финансово отражение </w:t>
      </w:r>
    </w:p>
    <w:p>
      <w:pPr>
        <w:ind w:left="850"/>
        <w:rPr>
          <w:noProof/>
        </w:rPr>
      </w:pPr>
      <w:r>
        <w:rPr>
          <w:noProof/>
        </w:rPr>
        <w:t xml:space="preserve">X Предложение/инициатива с </w:t>
      </w:r>
      <w:r>
        <w:rPr>
          <w:b/>
          <w:noProof/>
        </w:rPr>
        <w:t xml:space="preserve">ограничен срок на действие </w:t>
      </w:r>
    </w:p>
    <w:p>
      <w:pPr>
        <w:pStyle w:val="ListDash2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Предложение/инициатива в сила от 2016 г. до 2020 г.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Финансово отражение от 2016 г. до 2020 г.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Предложение/инициатива с </w:t>
      </w:r>
      <w:r>
        <w:rPr>
          <w:b/>
          <w:noProof/>
        </w:rPr>
        <w:t>неограничен срок на действие</w:t>
      </w:r>
    </w:p>
    <w:p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ГГГГ до ГГГГ,</w:t>
      </w:r>
    </w:p>
    <w:p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ManualHeading2"/>
        <w:rPr>
          <w:noProof/>
        </w:rPr>
      </w:pPr>
      <w:r>
        <w:t>1.7.</w:t>
      </w:r>
      <w:r>
        <w:tab/>
      </w:r>
      <w:r>
        <w:rPr>
          <w:noProof/>
        </w:rPr>
        <w:t>Предвидени методи на управление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</w:t>
      </w:r>
    </w:p>
    <w:p>
      <w:pPr>
        <w:ind w:left="850"/>
        <w:rPr>
          <w:noProof/>
        </w:rPr>
      </w:pPr>
      <w:r>
        <w:rPr>
          <w:noProof/>
        </w:rPr>
        <w:t xml:space="preserve">X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>
      <w:pPr>
        <w:pStyle w:val="ListDash2"/>
        <w:rPr>
          <w:noProof/>
        </w:rPr>
      </w:pPr>
      <w:r>
        <w:rPr>
          <w:noProof/>
        </w:rPr>
        <w:t xml:space="preserve">X от нейните служби, включително от нейния персонал в делегациите на Съюза;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делегиране на задачи по изпълнението на бюджета на: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 208 и 209 от Финансовия регламент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 V от ДЕС и които са посочени в съответния основен акт</w:t>
      </w:r>
    </w:p>
    <w:p>
      <w:pPr>
        <w:pStyle w:val="ListDash2"/>
        <w:rPr>
          <w:noProof/>
        </w:rPr>
      </w:pPr>
      <w:r>
        <w:rPr>
          <w:noProof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</w:rPr>
      </w:pPr>
      <w:r>
        <w:rPr>
          <w:noProof/>
        </w:rPr>
        <w:t xml:space="preserve">Забележки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noProof/>
          <w:szCs w:val="24"/>
        </w:rPr>
      </w:pPr>
      <w:r>
        <w:t>2.</w:t>
      </w:r>
      <w:r>
        <w:tab/>
      </w:r>
      <w:r>
        <w:rPr>
          <w:noProof/>
        </w:rPr>
        <w:t xml:space="preserve">МЕРКИ ЗА УПРАВЛЕНИЕ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Правила за мониторинг и докладване </w:t>
      </w:r>
    </w:p>
    <w:p>
      <w:pPr>
        <w:ind w:left="850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Комисията (ГД „Морско дело и рибарство“ в сътрудничество със своя аташе по риболова, установен в региона) осигурява редовното проследяване на изпълнението на протокола, по-специално по отношение на оползотворяването на възможностите за риболов от страна на операторите и по отношение на данните за улова.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Освен това СПОУР предвижда поне по едно ежегодно заседание на съвместния комитет, по време на което Комисията и островите Кук обсъждат изпълнението на Споразумението и протокола и внасят при необходимост корекции в програмното планиране и, според случая, във финансовото участие.</w:t>
      </w:r>
    </w:p>
    <w:p>
      <w:pPr>
        <w:pStyle w:val="ManualHeading2"/>
        <w:rPr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Система за управление и контрол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Установени рискове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Сключването на ново споразумение в областта на рибарството и на съответния протокол е свързано с известни рискове, по-специално по отношение на сумите, предназначени за финансиране на секторната политика в областта на рибарството (подпрограмиране).</w:t>
      </w:r>
    </w:p>
    <w:p>
      <w:pPr>
        <w:pStyle w:val="ManualHeading3"/>
        <w:rPr>
          <w:noProof/>
          <w:szCs w:val="24"/>
        </w:rPr>
      </w:pPr>
      <w:r>
        <w:t>2.2.2.</w:t>
      </w:r>
      <w:r>
        <w:tab/>
      </w:r>
      <w:r>
        <w:rPr>
          <w:noProof/>
        </w:rPr>
        <w:t>Информация за изградената система за вътрешен контрол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Предвижда се задълбочен диалог за програмното планиране и изпълнението на секторната политика съгласно Споразумението и протокола. Съвместният анализ на резултатите, посочен в член 3 от протокола, също представлява част от тези методи за контрол.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обстоятелства.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Оценка на разходите и ползите от проверките и на очаквания риск от грешка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pStyle w:val="ManualHeading2"/>
        <w:rPr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Мерки за предотвратяване на измами и нередности 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Комисията поема ангажимент да установи политически диалог и редовно съгласуване с островите Кук с цел подобряване на управлението на Споразумението и на протокола и увеличаване на приноса на ЕС за устойчивото управление на ресурсите. Във всички случаи плащанията, които Комисията извършва в рамките на СПОУР, са подчинени на нейните правила и обичайните ѝ бюджетни и финансови процедури. Това позволява, по-специално, да се идентифицират напълно банковите сметки на третите държави, по които се превеждат сумите за финансовото участие. Относно настоящия протокол в член 2, параграф 7 се посочва, че всички елементи на финансовото участие се плащат по банкова сметка на правителството и се записват в националното бюджетно законодателство.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noProof/>
          <w:szCs w:val="24"/>
        </w:rPr>
      </w:pPr>
      <w:r>
        <w:t>3.</w:t>
      </w:r>
      <w:r>
        <w:tab/>
      </w:r>
      <w:r>
        <w:rPr>
          <w:noProof/>
        </w:rPr>
        <w:t xml:space="preserve">ОЧАКВАНО ФИНАНСОВО ОТРАЖЕНИЕ НА ПРЕДЛОЖЕНИЕТО/ИНИЦИАТИВАТА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ListBullet1"/>
        <w:rPr>
          <w:noProof/>
        </w:rPr>
      </w:pPr>
      <w:r>
        <w:rPr>
          <w:noProof/>
        </w:rPr>
        <w:t xml:space="preserve">Съществуващи бюджетни редове </w:t>
      </w:r>
    </w:p>
    <w:p>
      <w:pPr>
        <w:ind w:left="850"/>
        <w:rPr>
          <w:noProof/>
        </w:rPr>
      </w:pPr>
      <w:r>
        <w:rPr>
          <w:noProof/>
          <w:u w:val="single"/>
        </w:rPr>
        <w:t>По реда</w:t>
      </w:r>
      <w:r>
        <w:rPr>
          <w:noProof/>
        </w:rPr>
        <w:t xml:space="preserve"> на функциите от многогодишната финансова рамка и на бюджетните редове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color w:val="0000FF"/>
                <w:sz w:val="22"/>
              </w:rPr>
              <w:t>[…]</w:t>
            </w:r>
            <w:r>
              <w:rPr>
                <w:noProof/>
                <w:sz w:val="20"/>
              </w:rPr>
              <w:t>[Наименование………………………...………]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от ЕАСТ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</w:rPr>
              <w:footnoteReference w:id="8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11.03.01</w:t>
            </w:r>
          </w:p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Установяване на рамка за управление на риболовните дейности, извършвани от риболовните кораби на Европейския съюз във водите на трети държави (СУР)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  <w:t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11.010401</w:t>
            </w:r>
          </w:p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Съпътстващи разходи за морско дело и рибарство — неоперативна административна и техническа помощ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Едногод.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>
      <w:pPr>
        <w:pStyle w:val="ListBullet1"/>
        <w:rPr>
          <w:noProof/>
        </w:rPr>
      </w:pPr>
      <w:r>
        <w:rPr>
          <w:noProof/>
        </w:rPr>
        <w:t>Поискани нови бюджетни редове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color w:val="0000FF"/>
                <w:sz w:val="22"/>
              </w:rPr>
              <w:t>[…]</w:t>
            </w:r>
            <w:r>
              <w:rPr>
                <w:noProof/>
                <w:sz w:val="20"/>
              </w:rPr>
              <w:t>[Наименование………………………………………]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от ЕАСТ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кандидатки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  <w:color w:val="0000FF"/>
                <w:sz w:val="22"/>
              </w:rPr>
              <w:t>[…]</w:t>
            </w:r>
            <w:r>
              <w:rPr>
                <w:noProof/>
                <w:sz w:val="22"/>
              </w:rPr>
              <w:t>[XX.YY.YY.YY]</w:t>
            </w:r>
          </w:p>
          <w:p>
            <w:pPr>
              <w:spacing w:after="60"/>
              <w:rPr>
                <w:noProof/>
                <w:color w:val="0000FF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color w:val="0000FF"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ДА/НЕ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noProof/>
        </w:rPr>
      </w:pPr>
      <w:r>
        <w:t>3.2.</w:t>
      </w:r>
      <w:r>
        <w:tab/>
      </w:r>
      <w:r>
        <w:rPr>
          <w:noProof/>
        </w:rPr>
        <w:t xml:space="preserve">Очаквано отражение върху разходите </w:t>
      </w:r>
    </w:p>
    <w:p>
      <w:pPr>
        <w:pStyle w:val="ManualHeading3"/>
        <w:rPr>
          <w:noProof/>
          <w:u w:val="single"/>
        </w:rPr>
      </w:pPr>
      <w:r>
        <w:t>3.2.1.</w:t>
      </w:r>
      <w:r>
        <w:tab/>
      </w:r>
      <w:r>
        <w:rPr>
          <w:noProof/>
        </w:rPr>
        <w:t xml:space="preserve">Обобщение на очакваното отражение върху разходите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Номер 2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Устойчив растеж: природни ресурси</w:t>
            </w:r>
          </w:p>
        </w:tc>
      </w:tr>
    </w:tbl>
    <w:p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ГД: &lt;…….&gt;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noProof/>
              </w:rPr>
              <w:footnoteReference w:id="9"/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213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sz w:val="21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Бюджетни кредити за оперативни разходи</w:t>
            </w: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 11.0301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</w:rPr>
              <w:footnoteReference w:id="10"/>
            </w:r>
            <w:r>
              <w:rPr>
                <w:noProof/>
                <w:sz w:val="21"/>
              </w:rPr>
              <w:t xml:space="preserve"> </w:t>
            </w:r>
          </w:p>
          <w:p>
            <w:pPr>
              <w:spacing w:before="0" w:after="0"/>
              <w:rPr>
                <w:noProof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319"/>
        </w:trPr>
        <w:tc>
          <w:tcPr>
            <w:tcW w:w="3960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 11.010401</w:t>
            </w:r>
          </w:p>
        </w:tc>
        <w:tc>
          <w:tcPr>
            <w:tcW w:w="1440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0,148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за ГД </w:t>
            </w:r>
            <w:r>
              <w:rPr>
                <w:noProof/>
                <w:sz w:val="22"/>
              </w:rPr>
              <w:t>&lt;…….&gt;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=1+1а 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  <w:tr>
        <w:tc>
          <w:tcPr>
            <w:tcW w:w="3960" w:type="dxa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=2+2а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</w:tbl>
    <w:p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0,148</w:t>
            </w:r>
          </w:p>
        </w:tc>
      </w:tr>
      <w:tr>
        <w:tc>
          <w:tcPr>
            <w:tcW w:w="3960" w:type="dxa"/>
            <w:vMerge w:val="restart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2&gt;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</w:tbl>
    <w:p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 1—4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gridAfter w:val="8"/>
          <w:wAfter w:w="8211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ГД: „Морско дело и рибарство“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</w:rPr>
              <w:t xml:space="preserve"> Човешки ресурси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0,452</w:t>
            </w: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</w:rPr>
              <w:t xml:space="preserve"> Други административни разходи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0,036</w:t>
            </w: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ГД</w:t>
            </w:r>
            <w:r>
              <w:rPr>
                <w:noProof/>
              </w:rPr>
              <w:t xml:space="preserve"> „Морско дело и рибарство“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 xml:space="preserve">Бюджетни кредити 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0,488</w:t>
            </w:r>
          </w:p>
        </w:tc>
      </w:tr>
    </w:tbl>
    <w:p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 w:val="18"/>
              </w:rPr>
              <w:t>(Общо поети задължения = oбщо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0,488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noProof/>
              </w:rPr>
              <w:footnoteReference w:id="11"/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 1—5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3,506</w:t>
            </w:r>
          </w:p>
        </w:tc>
      </w:tr>
      <w:tr>
        <w:tc>
          <w:tcPr>
            <w:tcW w:w="3960" w:type="dxa"/>
            <w:vMerge/>
            <w:shd w:val="clear" w:color="auto" w:fill="C0C0C0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3,506</w:t>
            </w:r>
          </w:p>
        </w:tc>
      </w:tr>
    </w:tbl>
    <w:p>
      <w:pPr>
        <w:rPr>
          <w:noProof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Очаквано отражение върху бюджетните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оперативни разходи.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евро (до третия знак след десетичната запетая)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720"/>
        <w:gridCol w:w="540"/>
        <w:gridCol w:w="720"/>
        <w:gridCol w:w="720"/>
        <w:gridCol w:w="720"/>
        <w:gridCol w:w="900"/>
        <w:gridCol w:w="51"/>
        <w:gridCol w:w="669"/>
        <w:gridCol w:w="540"/>
        <w:gridCol w:w="648"/>
        <w:gridCol w:w="12"/>
        <w:gridCol w:w="420"/>
        <w:gridCol w:w="720"/>
        <w:gridCol w:w="60"/>
        <w:gridCol w:w="480"/>
        <w:gridCol w:w="720"/>
        <w:gridCol w:w="720"/>
        <w:gridCol w:w="900"/>
      </w:tblGrid>
      <w:tr>
        <w:trPr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2016 г.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2018 г.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2019 г.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>
        <w:trPr>
          <w:jc w:val="center"/>
        </w:trPr>
        <w:tc>
          <w:tcPr>
            <w:tcW w:w="1423" w:type="dxa"/>
            <w:vMerge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21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>
        <w:trPr>
          <w:cantSplit/>
          <w:trHeight w:val="1134"/>
          <w:jc w:val="center"/>
        </w:trPr>
        <w:tc>
          <w:tcPr>
            <w:tcW w:w="1423" w:type="dxa"/>
            <w:vMerge/>
            <w:vAlign w:val="center"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 резултат</w:t>
            </w:r>
            <w:r>
              <w:rPr>
                <w:rStyle w:val="FootnoteReference"/>
                <w:noProof/>
              </w:rPr>
              <w:footnoteReference w:id="12"/>
            </w:r>
          </w:p>
          <w:p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Среден разход за резултата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 на резултатите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1</w:t>
            </w:r>
            <w:r>
              <w:rPr>
                <w:rStyle w:val="FootnoteReference"/>
                <w:noProof/>
              </w:rPr>
              <w:footnoteReference w:id="13"/>
            </w:r>
            <w:r>
              <w:rPr>
                <w:noProof/>
                <w:sz w:val="18"/>
              </w:rPr>
              <w:t>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разрешения за кораби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t/година</w:t>
            </w: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rStyle w:val="FootnoteReference"/>
                <w:noProof/>
              </w:rPr>
              <w:footnoteReference w:id="14"/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0,385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0,385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1,470</w:t>
            </w: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секторна подкрепа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годишно</w:t>
            </w: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0,325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1,400</w:t>
            </w: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 1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2,870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2 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 2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РАЗХОДИ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2,870</w:t>
            </w:r>
          </w:p>
        </w:tc>
      </w:tr>
    </w:tbl>
    <w:p>
      <w:pPr>
        <w:rPr>
          <w:noProof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ManualHeading3"/>
        <w:rPr>
          <w:noProof/>
          <w:szCs w:val="24"/>
        </w:rPr>
      </w:pPr>
      <w:r>
        <w:t>3.2.3.</w:t>
      </w:r>
      <w:r>
        <w:tab/>
      </w:r>
      <w:r>
        <w:rPr>
          <w:noProof/>
        </w:rPr>
        <w:t>Очаквано отражение върху бюджетните кредити за административни разходи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Обобщение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N </w:t>
            </w:r>
            <w:r>
              <w:rPr>
                <w:rStyle w:val="FootnoteReference"/>
                <w:noProof/>
              </w:rPr>
              <w:footnoteReference w:id="15"/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2016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2017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N+2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2018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N+3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2019 г.</w:t>
            </w: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0,452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0,036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0,488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rStyle w:val="FootnoteReference"/>
                <w:noProof/>
              </w:rPr>
              <w:footnoteReference w:id="16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0,124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разходи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0,024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0,148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0,636</w:t>
            </w:r>
          </w:p>
        </w:tc>
      </w:tr>
    </w:tbl>
    <w:p>
      <w:pPr>
        <w:rPr>
          <w:noProof/>
          <w:sz w:val="18"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управлението на дейността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pStyle w:val="ManualHeading4"/>
        <w:rPr>
          <w:noProof/>
          <w:szCs w:val="24"/>
        </w:rPr>
      </w:pPr>
      <w:r>
        <w:t>3.2.3.2.</w:t>
      </w:r>
      <w:r>
        <w:tab/>
      </w: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5544" w:type="pct"/>
        <w:jc w:val="center"/>
        <w:tblInd w:w="-2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953"/>
        <w:gridCol w:w="1954"/>
        <w:gridCol w:w="655"/>
        <w:gridCol w:w="655"/>
        <w:gridCol w:w="632"/>
        <w:gridCol w:w="710"/>
        <w:gridCol w:w="710"/>
        <w:gridCol w:w="1699"/>
        <w:gridCol w:w="1318"/>
      </w:tblGrid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>
            <w:pPr>
              <w:spacing w:before="40" w:after="4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2016 г.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2017 г.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 N+2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2018 г.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 N+3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2019 г.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2840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Длъжности в щатното разписание (длъжностни лица и временно наети лица)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1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01 01 (Централа и представителства на Комисията)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0,396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01 02 (Делегации)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05 01 (Непреки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01 (Преки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After w:val="4"/>
          <w:wAfter w:w="2155" w:type="pct"/>
          <w:trHeight w:val="248"/>
          <w:jc w:val="center"/>
        </w:trPr>
        <w:tc>
          <w:tcPr>
            <w:tcW w:w="2845" w:type="pct"/>
            <w:gridSpan w:val="6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Външен персонал (в еквивалент на пълно работно време — ЕПРВ)</w:t>
            </w:r>
            <w:r>
              <w:rPr>
                <w:rStyle w:val="FootnoteReference"/>
                <w:noProof/>
              </w:rPr>
              <w:footnoteReference w:id="17"/>
            </w:r>
          </w:p>
          <w:p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КНЕ, ПНА от общия финансов пакет)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0,056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11 01 04 01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noProof/>
              </w:rPr>
              <w:footnoteReference w:id="18"/>
            </w:r>
          </w:p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– в делегациите 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0,124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05 02 (ДНП, КНЕ, ПНА — 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 (ДНП, ПНА, КНЕ — 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0,576</w:t>
            </w:r>
          </w:p>
        </w:tc>
      </w:tr>
    </w:tbl>
    <w:p>
      <w:pPr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</w:rPr>
        <w:t>XX</w:t>
      </w:r>
      <w:r>
        <w:rPr>
          <w:noProof/>
          <w:sz w:val="18"/>
        </w:rPr>
        <w:t xml:space="preserve"> е съответната област на политиката или бюджетен дял.</w:t>
      </w:r>
    </w:p>
    <w:p>
      <w:pPr>
        <w:ind w:left="850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временно наети лица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Управление и наблюдение на процеса на (пре)договарянето на СПОУР и одобряване на резултатите от преговорите от страна на институциите; управление на настоящото СПОУР, включително постоянен финансов контрол и наблюдение на работата; непрекъснат мониторинг на осъществяването на секторната подкрепа, управление на разрешенията.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Отговорен служител от ГД „Морско дело и рибарство“ + началник на отдел/заместник-началник на отдел + управител на разрешенията + секретариат: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0,75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132 000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0,75 ЕПРВ x 132 000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99 000 EUR =&gt; 0,099 млн. евро</w:t>
            </w: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1) финансов асистент ГД „Морско дело и рибарство“: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0,2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70 000 EUR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0,2 ЕПРВ x 70 000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14 000 EUR =&gt; 0,014 млн. евро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2) договорно наето лице в делегацията на ЕС: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0,25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125 000 EUR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0,25 ЕПРВ x 125 000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31 250 EUR =&gt; 0,031 млн. евро</w:t>
            </w:r>
          </w:p>
        </w:tc>
      </w:tr>
    </w:tbl>
    <w:p>
      <w:pPr>
        <w:rPr>
          <w:noProof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sz w:val="20"/>
        </w:rPr>
      </w:pPr>
      <w:r>
        <w:rPr>
          <w:noProof/>
          <w:sz w:val="20"/>
        </w:rPr>
        <w:t>Обяснете какво препрограмиране е необходимо, като посочите съответните бюджетни редове и суми.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pStyle w:val="ManualHeading3"/>
        <w:rPr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</w:rPr>
      </w:pPr>
      <w:r>
        <w:rPr>
          <w:noProof/>
        </w:rPr>
        <w:t xml:space="preserve">Предложението/инициативата не предвижда съфинансиране от трети страни. </w:t>
      </w:r>
    </w:p>
    <w:p>
      <w:pPr>
        <w:pStyle w:val="ListDash1"/>
        <w:rPr>
          <w:noProof/>
        </w:rPr>
      </w:pPr>
      <w:r>
        <w:rPr>
          <w:noProof/>
        </w:rPr>
        <w:t>Предложението/инициативата предвижда съфинансиране съгласно следните прогнози: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в млн. евро (до третия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/>
      </w:r>
    </w:p>
    <w:p>
      <w:pPr>
        <w:pStyle w:val="ManualHeading2"/>
        <w:rPr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Очаквано отражение върху приходите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отражение: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разните приходи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 евро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бюджетна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</w:rPr>
              <w:footnoteReference w:id="19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........….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ind w:left="850"/>
        <w:rPr>
          <w:noProof/>
          <w:sz w:val="20"/>
        </w:rPr>
      </w:pPr>
      <w:r>
        <w:rPr>
          <w:noProof/>
          <w:sz w:val="20"/>
        </w:rPr>
        <w:t>За разните целеви приходи да се посочат съответните разходни бюджетни редове.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  <w:color w:val="0000FF"/>
        </w:rPr>
        <w:t>[...]</w:t>
      </w:r>
    </w:p>
    <w:p>
      <w:pPr>
        <w:ind w:left="850"/>
        <w:rPr>
          <w:noProof/>
          <w:sz w:val="20"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  <w:color w:val="0000FF"/>
        </w:rPr>
        <w:t>[...]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C ,  г., стр. 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[…], […] г., стр. […].</w:t>
      </w:r>
    </w:p>
  </w:footnote>
  <w:footnote w:id="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УД: управление по дейности; БД: бюджетиране по дейности.</w:t>
      </w:r>
    </w:p>
  </w:footnote>
  <w:footnote w:id="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Подробности във връзка с методите на управление и позоваванията на Финансовия регламент могат да бъдат намерени на уебсайта BudgWeb: </w:t>
      </w:r>
      <w:hyperlink r:id="rId1">
        <w:r>
          <w:rPr>
            <w:rStyle w:val="Hyperlink"/>
            <w:sz w:val="18"/>
          </w:rPr>
          <w:t>http://www.cc.cec/budg/man/budgmanag/budgmanag_en.html</w:t>
        </w:r>
      </w:hyperlink>
    </w:p>
  </w:footnote>
  <w:footnote w:id="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Многогод. = многогодишни бюджетни кредити / едногод. = едногодишни бюджетни кредити.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ЕАСТ: Европейска асоциация за свободна търговия. </w:t>
      </w:r>
    </w:p>
  </w:footnote>
  <w:footnote w:id="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Държави кандидатки и, ако е приложимо, държави потенциални кандидатки от Западните Балкани.</w:t>
      </w:r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„BA“), непреки научни изследвания, преки научни изследвания.</w:t>
      </w:r>
    </w:p>
  </w:footnote>
  <w:footnote w:id="1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Резултатите са продуктите и услугите, които ще бъдат доставени (напр. брой финансирани обмени на учащи се, дължина на построените пътища в километри и т.н.).</w:t>
      </w:r>
    </w:p>
  </w:footnote>
  <w:footnote w:id="1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Съгласно описанието в част 1.4.2. „Конкретни цели…“. 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Цена за тон, базирана на референтен тонаж от 7000 тона/година: 55 EUR през първата и втората година (общо 385 000 EUR) и 50 EUR през третата и четвъртата година (общо 350 000 EUR на година).</w:t>
      </w:r>
    </w:p>
  </w:footnote>
  <w:footnote w:id="1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„BA“), непреки научни изследвания, преки научни изследвания.</w:t>
      </w:r>
    </w:p>
  </w:footnote>
  <w:footnote w:id="1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1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разходи (предишни редове „BA“).</w:t>
      </w:r>
    </w:p>
  </w:footnote>
  <w:footnote w:id="1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054DF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21E09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0E4AD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1E652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C0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42D7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9E65D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C80C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4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1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22"/>
  </w:num>
  <w:num w:numId="21">
    <w:abstractNumId w:val="9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 w:numId="26">
    <w:abstractNumId w:val="18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8 12:09:5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3AF8BF8F60A4EF89EF8F04053179361"/>
    <w:docVar w:name="LW_CROSSREFERENCE" w:val="&lt;UNUSED&gt;"/>
    <w:docVar w:name="LW_DocType" w:val="COM"/>
    <w:docVar w:name="LW_EMISSION" w:val="22.3.2016"/>
    <w:docVar w:name="LW_EMISSION_ISODATE" w:val="2016-03-2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77"/>
    <w:docVar w:name="LW_REF.II.NEW.CP_YEAR" w:val="2016"/>
    <w:docVar w:name="LW_REF.INST.NEW" w:val="COM"/>
    <w:docVar w:name="LW_REF.INST.NEW_ADOPTED" w:val="final"/>
    <w:docVar w:name="LW_REF.INST.NEW_TEXT" w:val="(2016) 146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 \u1080? \u1087?\u1088?\u1086?\u1090?\u1086?\u1082?\u1086?\u1083?\u1072? \u1079?\u1072? \u1087?\u1088?\u1080?\u1083?\u1072?\u1075?\u1072?\u1085?\u1077? \u1082?\u1098?\u1084? \u1085?\u1077?\u1075?\u1086?"/>
    <w:docVar w:name="LW_TYPE.DOC.CP" w:val="\u1056?\u1045?\u1064?\u1045?\u1053?\u1048?\u1045? \u1053?\u1040? \u1057?\u1066?\u1042?\u1045?\u1058?\u1040?"/>
    <w:docVar w:name="Stamp" w:val="\\dossiers.dgt.cec.eu.int\dossiers\MARE\MARE-2015-00416\MARE-2015-00416-00-00-EN-REV-00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stBullet1">
    <w:name w:val="List Bullet 1"/>
    <w:basedOn w:val="Normal"/>
    <w:pPr>
      <w:numPr>
        <w:numId w:val="10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1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2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818C-8207-4BFC-BBAD-8DBD4AAE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27</Pages>
  <Words>4482</Words>
  <Characters>26178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2015-11-10T13:27:00Z</cp:lastPrinted>
  <dcterms:created xsi:type="dcterms:W3CDTF">2016-03-11T09:04:00Z</dcterms:created>
  <dcterms:modified xsi:type="dcterms:W3CDTF">2016-03-18T11:09:00Z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