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D2971C234AD4792AFDEAE4F13FA7190" style="width:450.45pt;height:365.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keepNext/>
        <w:tabs>
          <w:tab w:val="left" w:pos="850"/>
        </w:tabs>
        <w:spacing w:before="360"/>
        <w:outlineLvl w:val="0"/>
        <w:rPr>
          <w:b/>
          <w:smallCaps/>
          <w:noProof/>
        </w:rPr>
      </w:pPr>
      <w:r>
        <w:rPr>
          <w:b/>
          <w:smallCaps/>
          <w:noProof/>
        </w:rPr>
        <w:t>1.</w:t>
      </w:r>
      <w:r>
        <w:rPr>
          <w:noProof/>
        </w:rPr>
        <w:tab/>
      </w:r>
      <w:r>
        <w:rPr>
          <w:b/>
          <w:smallCaps/>
          <w:noProof/>
        </w:rPr>
        <w:t>CONTEXTE DE LA PROPOSITION</w:t>
      </w:r>
    </w:p>
    <w:p>
      <w:pPr>
        <w:rPr>
          <w:rFonts w:eastAsia="Arial Unicode MS"/>
          <w:noProof/>
        </w:rPr>
      </w:pPr>
      <w:r>
        <w:rPr>
          <w:noProof/>
        </w:rPr>
        <w:t>Sur la base des directives de négociation pertinentes</w:t>
      </w:r>
      <w:r>
        <w:rPr>
          <w:rStyle w:val="FootnoteReference"/>
          <w:noProof/>
        </w:rPr>
        <w:footnoteReference w:id="1"/>
      </w:r>
      <w:r>
        <w:rPr>
          <w:noProof/>
        </w:rPr>
        <w:t>, la Commission a mené des négociations avec le gouvernement des Îles Cook en vue de la conclusion d’un nouvel accord de partenariat dans le domaine de la pêche durable et de son protocole de mise en œuvre entre l’Union européenne et les Îles Cook. A l'issue de ces négociations, un nouvel accord et un nouveau protocole ont été paraphés le 21 octobre 2015. Ils couvrent respectivement une période de huit ans et une période de quatre ans à compter de la date de leur mise en application provisoire, c’est-à-dire à partir de la date de leur signature, conformément à l'article 16 de l’accord et à l’article 12 du protocole.</w:t>
      </w:r>
    </w:p>
    <w:p>
      <w:pPr>
        <w:rPr>
          <w:noProof/>
        </w:rPr>
      </w:pPr>
      <w:r>
        <w:rPr>
          <w:noProof/>
        </w:rPr>
        <w:t>Le nouvel accord fournira un cadre tenant compte des priorités de la politique commune de la pêche réformée et de sa dimension externe, en vue d'un partenariat stratégique entre l'Union européenne et les Îles Cook.</w:t>
      </w:r>
    </w:p>
    <w:p>
      <w:pPr>
        <w:rPr>
          <w:noProof/>
        </w:rPr>
      </w:pPr>
      <w:r>
        <w:rPr>
          <w:noProof/>
        </w:rPr>
        <w:t>L'objectif principal du nouveau protocole est d'offrir des possibilités de pêche pour les navires de l'Union dans la zone de pêche des Îles Cook, sur la base des meilleurs avis scientifiques disponibles et dans le respect des mesures de conservation et de gestion de la Commission des pêches pour le Pacifique occidental et central (WCPFC) le cas échéant, dans les limites du surplus disponible. La Commission a fondé sa position, entre autres, sur les résultats d'une évaluation prospective, réalisée par des experts extérieurs, de l'opportunité de conclure un nouvel accord et un nouveau protocole. L'objectif est également de renforcer la coopération entre l'Union européenne et les Îles Cook pour favoriser une politique de pêche durable et l'exploitation responsable des ressources halieutiques dans la zone de pêche des Îles Cook, dans l'intérêt des deux parties.</w:t>
      </w:r>
    </w:p>
    <w:p>
      <w:pPr>
        <w:rPr>
          <w:rFonts w:eastAsia="Arial Unicode MS"/>
          <w:noProof/>
        </w:rPr>
      </w:pPr>
      <w:r>
        <w:rPr>
          <w:noProof/>
        </w:rPr>
        <w:t>Le protocole prévoit des possibilités de pêche pour 4 thoniers senneurs.</w:t>
      </w:r>
    </w:p>
    <w:p>
      <w:pPr>
        <w:pBdr>
          <w:top w:val="nil"/>
          <w:left w:val="nil"/>
          <w:bottom w:val="nil"/>
          <w:right w:val="nil"/>
          <w:between w:val="nil"/>
          <w:bar w:val="nil"/>
        </w:pBdr>
        <w:spacing w:before="0" w:after="240"/>
        <w:rPr>
          <w:rFonts w:eastAsia="Arial Unicode MS"/>
          <w:noProof/>
        </w:rPr>
      </w:pPr>
      <w:r>
        <w:rPr>
          <w:noProof/>
        </w:rPr>
        <w:t>La Commission propose en conséquence que le Conseil autorise la signature et l’application provisoire de ce nouvel accord ainsi que de son protocole de mise en œuvre.</w:t>
      </w:r>
    </w:p>
    <w:p>
      <w:pPr>
        <w:rPr>
          <w:rFonts w:eastAsia="Times New Roman"/>
          <w:noProof/>
          <w:color w:val="000000"/>
          <w:szCs w:val="24"/>
        </w:rPr>
      </w:pPr>
    </w:p>
    <w:p>
      <w:pPr>
        <w:rPr>
          <w:b/>
          <w:noProof/>
        </w:rPr>
      </w:pPr>
      <w:r>
        <w:rPr>
          <w:b/>
          <w:noProof/>
        </w:rPr>
        <w:t>2.</w:t>
      </w:r>
      <w:r>
        <w:rPr>
          <w:noProof/>
        </w:rPr>
        <w:tab/>
      </w:r>
      <w:r>
        <w:rPr>
          <w:b/>
          <w:noProof/>
        </w:rPr>
        <w:t>BASE JURIDIQUE, SUBSIDIARITÉ ET PROPORTIONNALITÉ</w:t>
      </w:r>
    </w:p>
    <w:p>
      <w:pPr>
        <w:rPr>
          <w:noProof/>
        </w:rPr>
      </w:pPr>
      <w:r>
        <w:rPr>
          <w:noProof/>
        </w:rPr>
        <w:t>Conformément à l’article 3 paragraphe 1, point d), du traité sur le fonctionnement de l’Union européenne (TFUE), la conservation des ressources biologiques de la mer relève de la compétence exclusive de l’Union européenne. Le principe de subsidiarité ne s’applique pas, étant donné que les États membres ne sont pas habilités à négocier des accords de pêche avec les pays tiers.</w:t>
      </w:r>
    </w:p>
    <w:p>
      <w:pPr>
        <w:rPr>
          <w:rFonts w:eastAsia="Arial Unicode MS"/>
          <w:noProof/>
        </w:rPr>
      </w:pPr>
      <w:r>
        <w:rPr>
          <w:noProof/>
        </w:rPr>
        <w:t>La base juridique pour la proposition de décision du Conseil  relative à la signature et à l’application provisoire du nouvel accord et de son protocole de mise en œuvre est l'article 43, paragraphe 2, du TFUE en liaison avec l'article 218, paragraphe 5.</w:t>
      </w:r>
    </w:p>
    <w:p>
      <w:pPr>
        <w:rPr>
          <w:rFonts w:eastAsia="Arial Unicode MS"/>
          <w:noProof/>
        </w:rPr>
      </w:pPr>
      <w:r>
        <w:rPr>
          <w:noProof/>
        </w:rPr>
        <w:t>La présente procédure est menée en parallèle aux procédures relatives à la décision du Conseil relative à la conclusion, avec l’approbation du Parlement européen, de l'accord de partenariat dans le domaine de la pêche durable entre l’Union européenne et le gouvernement des Îles Cook et de son protocole de mise en œuvre, ainsi qu’au règlement du Conseil relatif à la répartition des possibilités de pêche entre les États membres de l’Union.</w:t>
      </w:r>
    </w:p>
    <w:p>
      <w:pPr>
        <w:rPr>
          <w:rFonts w:eastAsia="Arial Unicode MS"/>
          <w:noProof/>
        </w:rPr>
      </w:pPr>
    </w:p>
    <w:p>
      <w:pPr>
        <w:rPr>
          <w:rFonts w:eastAsia="Arial Unicode MS"/>
          <w:noProof/>
        </w:rPr>
      </w:pPr>
    </w:p>
    <w:p>
      <w:pPr>
        <w:rPr>
          <w:b/>
          <w:noProof/>
        </w:rPr>
      </w:pPr>
      <w:r>
        <w:rPr>
          <w:b/>
          <w:noProof/>
        </w:rPr>
        <w:t>3.</w:t>
      </w:r>
      <w:r>
        <w:rPr>
          <w:noProof/>
        </w:rPr>
        <w:tab/>
      </w:r>
      <w:r>
        <w:rPr>
          <w:b/>
          <w:noProof/>
        </w:rPr>
        <w:t>RÉSULTATS DES ÉVALUATIONS EX POST, DES CONSULTATIONS DES PARTIES INTÉRESSÉES ET DES ANALYSES D’IMPACT</w:t>
      </w:r>
    </w:p>
    <w:p>
      <w:pPr>
        <w:rPr>
          <w:rFonts w:eastAsia="Times New Roman"/>
          <w:noProof/>
          <w:color w:val="000000"/>
          <w:szCs w:val="24"/>
          <w:bdr w:val="none" w:sz="0" w:space="0" w:color="auto" w:frame="1"/>
        </w:rPr>
      </w:pPr>
      <w:r>
        <w:rPr>
          <w:noProof/>
          <w:color w:val="000000"/>
          <w:bdr w:val="none" w:sz="0" w:space="0" w:color="auto" w:frame="1"/>
        </w:rPr>
        <w:t>Les parties intéressées ont été consultées dans le cadre de l’évaluation ex ante d’un éventuel accord de partenariat dans le domaine de la pêche durable entre l’Union européenne et le gouvernement des Îles Cook et de son protocole. Le rapport d’évaluation a été publié dans son intégralité sur le site web Europa de la Commission européenne. Les experts des États membres et du secteur ont aussi été consultés lors de réunions techniques. L'évaluation et les consultations ont mené à la conclusion qu'il est dans l’intérêt de l’Union et des Îles Cook de conclure un nouvel accord de partenariat dans le domaine de la pêche durable et son protocole de mise en œuvre.</w:t>
      </w:r>
    </w:p>
    <w:p>
      <w:pPr>
        <w:rPr>
          <w:rFonts w:eastAsia="Times New Roman"/>
          <w:noProof/>
          <w:color w:val="000000"/>
          <w:szCs w:val="24"/>
          <w:bdr w:val="none" w:sz="0" w:space="0" w:color="auto" w:frame="1"/>
        </w:rPr>
      </w:pPr>
      <w:r>
        <w:rPr>
          <w:noProof/>
          <w:color w:val="000000"/>
          <w:bdr w:val="none" w:sz="0" w:space="0" w:color="auto" w:frame="1"/>
        </w:rPr>
        <w:t xml:space="preserve">Conformément à la politique commune de la pêche réformée, l’accord comprend une disposition concernant le respect des droits de l’homme, des principes démocratiques et de l’État de droit (article 3, paragraphe 4). L’accord et son protocole de mise en œuvre prévoient également la possibilité de suspendre (respectivement articles 13 et 6) ou de dénoncer leur application (respectivement articles 14 et 7) en cas de violation par l’une ou l’autre des parties du respect des droits de l’homme. </w:t>
      </w:r>
    </w:p>
    <w:p>
      <w:pPr>
        <w:rPr>
          <w:rFonts w:eastAsia="Arial Unicode MS"/>
          <w:noProof/>
        </w:rPr>
      </w:pPr>
    </w:p>
    <w:p>
      <w:pPr>
        <w:rPr>
          <w:b/>
          <w:noProof/>
        </w:rPr>
      </w:pPr>
      <w:r>
        <w:rPr>
          <w:b/>
          <w:noProof/>
        </w:rPr>
        <w:t>4.</w:t>
      </w:r>
      <w:r>
        <w:rPr>
          <w:noProof/>
        </w:rPr>
        <w:tab/>
      </w:r>
      <w:r>
        <w:rPr>
          <w:b/>
          <w:noProof/>
        </w:rPr>
        <w:t>INCIDENCE BUDGÉTAIRE</w:t>
      </w:r>
    </w:p>
    <w:p>
      <w:pPr>
        <w:rPr>
          <w:rFonts w:eastAsia="Times New Roman"/>
          <w:noProof/>
          <w:color w:val="000000"/>
          <w:szCs w:val="24"/>
        </w:rPr>
      </w:pPr>
      <w:r>
        <w:rPr>
          <w:noProof/>
          <w:color w:val="000000"/>
          <w:bdr w:val="none" w:sz="0" w:space="0" w:color="auto" w:frame="1"/>
        </w:rPr>
        <w:t>La contrepartie financière annuelle est de 735 000 EUR pour la première et la deuxième année et de 700 000 EUR pour la troisième et la quatrième année, sur la base:</w:t>
      </w:r>
    </w:p>
    <w:p>
      <w:pPr>
        <w:rPr>
          <w:rFonts w:eastAsia="Times New Roman"/>
          <w:noProof/>
          <w:color w:val="000000"/>
          <w:szCs w:val="24"/>
        </w:rPr>
      </w:pPr>
      <w:r>
        <w:rPr>
          <w:noProof/>
          <w:color w:val="000000"/>
          <w:bdr w:val="none" w:sz="0" w:space="0" w:color="auto" w:frame="1"/>
        </w:rPr>
        <w:t>a) d'un tonnage de référence de 7 000 tonnes, pour un montant lié à l’accès de 385 000 EUR pour la première et la deuxième année et de 350 000 EUR pour la troisième et la quatrième année; et</w:t>
      </w:r>
    </w:p>
    <w:p>
      <w:pPr>
        <w:rPr>
          <w:noProof/>
          <w:color w:val="000000"/>
          <w:bdr w:val="none" w:sz="0" w:space="0" w:color="auto" w:frame="1"/>
        </w:rPr>
      </w:pPr>
      <w:r>
        <w:rPr>
          <w:noProof/>
          <w:color w:val="000000"/>
          <w:bdr w:val="none" w:sz="0" w:space="0" w:color="auto" w:frame="1"/>
        </w:rPr>
        <w:t>b) d'un appui au développement de la politique sectorielle de la pêche des Îles Cook, s'élevant à 350 000 EUR pour la première, la deuxième, la troisième et la quatrième année. Cet appui répond aux objectifs de la politique nationale en matière de pêche et notamment aux besoins des Îles Cook liés à la recherche scientifique, à la pêche artisanale et aux activités de suivi, de contrôle et de surveillance, ainsi que de lutte contre la pêche illicite.</w:t>
      </w:r>
    </w:p>
    <w:p>
      <w:pPr>
        <w:pBdr>
          <w:top w:val="nil"/>
          <w:left w:val="nil"/>
          <w:bottom w:val="nil"/>
          <w:right w:val="nil"/>
          <w:between w:val="nil"/>
          <w:bar w:val="nil"/>
        </w:pBdr>
        <w:spacing w:before="0" w:after="24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2016/0079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au nom de l’Union européenne, et à l’application provisoire de l’accord de partenariat dans le domaine de la pêche durable entre l’Union européenne et le gouvernement des Îles Cook et de son protocole de mise en œuvre</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2, en liaison avec l’article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 xml:space="preserve">L'Union européenne et les Îles Cook ont négocié un accord de partenariat dans le domaine de la pêche durable (ci-après dénommé l'«accord») et un protocole de mise en œuvre de cet accord, accordant aux navires de l'Union des possibilités de pêche dans les eaux sur lesquelles les Îles Cook exercent leur souveraineté ou leur juridiction en matière de pêche. </w:t>
      </w:r>
    </w:p>
    <w:p>
      <w:pPr>
        <w:pStyle w:val="ManualConsidrant"/>
        <w:rPr>
          <w:noProof/>
        </w:rPr>
      </w:pPr>
      <w:r>
        <w:t>(2)</w:t>
      </w:r>
      <w:r>
        <w:tab/>
      </w:r>
      <w:r>
        <w:rPr>
          <w:noProof/>
        </w:rPr>
        <w:t>À l’issue des négociations, l’accord et son protocole de mise en œuvre ont été paraphés le 21 octobre 2015.</w:t>
      </w:r>
    </w:p>
    <w:p>
      <w:pPr>
        <w:pStyle w:val="ManualConsidrant"/>
        <w:rPr>
          <w:noProof/>
        </w:rPr>
      </w:pPr>
      <w:r>
        <w:t>(3)</w:t>
      </w:r>
      <w:r>
        <w:tab/>
      </w:r>
      <w:r>
        <w:rPr>
          <w:noProof/>
        </w:rPr>
        <w:t>L’article 16 de l’accord et l’article 12 du protocole de mise en œuvre, respectivement, prévoient leur application provisoire à partir de la date de leur signature.</w:t>
      </w:r>
    </w:p>
    <w:p>
      <w:pPr>
        <w:pStyle w:val="ManualConsidrant"/>
        <w:rPr>
          <w:noProof/>
        </w:rPr>
      </w:pPr>
      <w:r>
        <w:t>(4)</w:t>
      </w:r>
      <w:r>
        <w:tab/>
      </w:r>
      <w:r>
        <w:rPr>
          <w:noProof/>
        </w:rPr>
        <w:t>Par conséquent, il y a lieu de signer l’accord et son protocole de mise en œuvre, sous réserve de leur conclusion.</w:t>
      </w:r>
    </w:p>
    <w:p>
      <w:pPr>
        <w:pStyle w:val="ManualConsidrant"/>
        <w:rPr>
          <w:noProof/>
        </w:rPr>
      </w:pPr>
      <w:r>
        <w:t>(5)</w:t>
      </w:r>
      <w:r>
        <w:tab/>
      </w:r>
      <w:r>
        <w:rPr>
          <w:noProof/>
        </w:rPr>
        <w:t>Afin d’assurer le début rapide des activités de pêche des navires de l’Union, il y a lieu d’appliquer à titre provisoire l’accord et son protocole de mise en œuvre, dans l’attente de l’achèvement des procédures nécessaires à leur entrée en vigueur.</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signature, au nom de l’Union, de l’accord de partenariat dans le domaine de la pêche durable entre l’Union européenne et le gouvernement des Îles Cook et de son protocole de mise en œuvre est autorisée, sous réserve de leur conclusion.</w:t>
      </w:r>
    </w:p>
    <w:p>
      <w:pPr>
        <w:rPr>
          <w:noProof/>
        </w:rPr>
      </w:pPr>
      <w:r>
        <w:rPr>
          <w:noProof/>
        </w:rPr>
        <w:t>Les textes de l'accord et du protocole sont joints à la présente décision en tant qu'annexes I et II.</w:t>
      </w:r>
    </w:p>
    <w:p>
      <w:pPr>
        <w:pStyle w:val="Titrearticle"/>
        <w:rPr>
          <w:noProof/>
        </w:rPr>
      </w:pPr>
      <w:r>
        <w:rPr>
          <w:noProof/>
        </w:rPr>
        <w:t>Article 2</w:t>
      </w:r>
    </w:p>
    <w:p>
      <w:pPr>
        <w:rPr>
          <w:noProof/>
        </w:rPr>
      </w:pPr>
      <w:r>
        <w:rPr>
          <w:noProof/>
        </w:rPr>
        <w:t>Le Secrétariat Général du Conseil établit les instruments de plein pouvoir autorisant la ou les personnes indiquées par le négociateur de l’accord et du protocole à signer l’accord et le protocole de mise en œuvre, sous réserve de leur conclusion.</w:t>
      </w:r>
    </w:p>
    <w:p>
      <w:pPr>
        <w:pStyle w:val="Titrearticle"/>
        <w:keepNext w:val="0"/>
        <w:rPr>
          <w:noProof/>
        </w:rPr>
      </w:pPr>
      <w:r>
        <w:rPr>
          <w:noProof/>
        </w:rPr>
        <w:t>Article 3</w:t>
      </w:r>
    </w:p>
    <w:p>
      <w:pPr>
        <w:rPr>
          <w:noProof/>
        </w:rPr>
      </w:pPr>
      <w:r>
        <w:rPr>
          <w:noProof/>
        </w:rPr>
        <w:t>L’accord est appliqué à titre provisoire conformément à son article 16, à partir de la date de sa signature, en attendant l’achèvement des procédures nécessaires à son entrée en vigueur.</w:t>
      </w:r>
    </w:p>
    <w:p>
      <w:pPr>
        <w:pStyle w:val="Titrearticle"/>
        <w:keepNext w:val="0"/>
        <w:rPr>
          <w:noProof/>
        </w:rPr>
      </w:pPr>
      <w:r>
        <w:rPr>
          <w:noProof/>
        </w:rPr>
        <w:t>Article 4</w:t>
      </w:r>
    </w:p>
    <w:p>
      <w:pPr>
        <w:rPr>
          <w:noProof/>
        </w:rPr>
      </w:pPr>
      <w:r>
        <w:rPr>
          <w:noProof/>
        </w:rPr>
        <w:t>Le protocole de mise en œuvre est appliqué à titre provisoire conformément à son article 12, à partir de la date de sa signature, en attendant l’achèvement des procédures nécessaires à son entrée en vigueur.</w:t>
      </w:r>
    </w:p>
    <w:p>
      <w:pPr>
        <w:pStyle w:val="Titrearticle"/>
        <w:rPr>
          <w:noProof/>
        </w:rPr>
      </w:pPr>
      <w:r>
        <w:rPr>
          <w:noProof/>
        </w:rPr>
        <w:t>Article 5</w:t>
      </w:r>
    </w:p>
    <w:p>
      <w:pPr>
        <w:rPr>
          <w:noProof/>
        </w:rPr>
      </w:pPr>
      <w:r>
        <w:rPr>
          <w:noProof/>
        </w:rPr>
        <w:t xml:space="preserve">La présente décision entre en vigueur le troisième jour suivant celui de sa publication au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p>
      <w:pPr>
        <w:shd w:val="clear" w:color="auto" w:fill="BFBFBF"/>
        <w:rPr>
          <w:noProof/>
        </w:rPr>
        <w:sectPr>
          <w:pgSz w:w="11907" w:h="16839"/>
          <w:pgMar w:top="1134" w:right="1417" w:bottom="1134" w:left="1417" w:header="709" w:footer="709" w:gutter="0"/>
          <w:cols w:space="708"/>
          <w:docGrid w:linePitch="360"/>
        </w:sectPr>
      </w:pPr>
    </w:p>
    <w:p>
      <w:pPr>
        <w:pStyle w:val="Fichefinanciretitre"/>
        <w:rPr>
          <w:noProof/>
        </w:rPr>
      </w:pPr>
      <w:r>
        <w:rPr>
          <w:noProof/>
        </w:rPr>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rPr>
          <w:b w:val="0"/>
          <w:noProof/>
        </w:rPr>
      </w:pPr>
      <w:r>
        <w:rPr>
          <w:noProof/>
        </w:rPr>
        <w:tab/>
      </w:r>
      <w:r>
        <w:rPr>
          <w:b w:val="0"/>
          <w:noProof/>
        </w:rPr>
        <w:t>3.3.</w:t>
      </w:r>
      <w:r>
        <w:rPr>
          <w:noProof/>
        </w:rPr>
        <w:tab/>
      </w:r>
      <w:r>
        <w:rPr>
          <w:b w:val="0"/>
          <w:noProof/>
        </w:rPr>
        <w:t>Incidence estimée sur les recettes</w:t>
      </w:r>
    </w:p>
    <w:p>
      <w:pPr>
        <w:rPr>
          <w:noProof/>
        </w:rPr>
        <w:sectPr>
          <w:pgSz w:w="11907" w:h="16840" w:code="9"/>
          <w:pgMar w:top="1134" w:right="1418" w:bottom="1134" w:left="1418" w:header="709" w:footer="709" w:gutter="0"/>
          <w:cols w:space="708"/>
          <w:docGrid w:linePitch="360"/>
        </w:sectPr>
      </w:pPr>
    </w:p>
    <w:p>
      <w:pPr>
        <w:pStyle w:val="Annexetitrefichefinancire"/>
        <w:rPr>
          <w:noProof/>
        </w:rPr>
      </w:pPr>
      <w:r>
        <w:rPr>
          <w:noProof/>
        </w:rPr>
        <w:t>FICHE FINANCIÈRE LÉGISLATIVE</w:t>
      </w:r>
    </w:p>
    <w:p>
      <w:pPr>
        <w:pStyle w:val="ManualHeading1"/>
        <w:rPr>
          <w:noProof/>
        </w:rPr>
      </w:pPr>
      <w:r>
        <w:t>1.</w:t>
      </w:r>
      <w:r>
        <w:tab/>
      </w:r>
      <w:r>
        <w:rPr>
          <w:noProof/>
        </w:rPr>
        <w:t xml:space="preserve">CADRE DE LA PROPOSITION/DE L'INITIATIVE </w:t>
      </w:r>
    </w:p>
    <w:p>
      <w:pPr>
        <w:pStyle w:val="ManualHeading2"/>
        <w:rPr>
          <w:noProof/>
        </w:rPr>
      </w:pPr>
      <w:r>
        <w:t>1.1.</w:t>
      </w:r>
      <w:r>
        <w:tab/>
      </w:r>
      <w:r>
        <w:rPr>
          <w:noProof/>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Proposition de décision du Conseil relative à la signature, au nom de l’Union européenne, et à l’application provisoire de l’accord de partenariat dans le domaine de la pêche durable entre l’Union européenne et le gouvernement des Îles Cook et de son protocole de mise en œuvre</w:t>
      </w:r>
    </w:p>
    <w:p>
      <w:pPr>
        <w:pStyle w:val="ManualHeading2"/>
        <w:rPr>
          <w:noProof/>
          <w:szCs w:val="24"/>
        </w:rPr>
      </w:pPr>
      <w:r>
        <w:t>1.2.</w:t>
      </w:r>
      <w:r>
        <w:tab/>
      </w:r>
      <w:r>
        <w:rPr>
          <w:noProof/>
        </w:rPr>
        <w:t>Domaine(s) politique(s) concerné(s) dans la structure ABM/ABB</w:t>
      </w:r>
      <w:r>
        <w:rPr>
          <w:rStyle w:val="FootnoteReference"/>
          <w:noProof/>
        </w:rPr>
        <w:footnoteReference w:id="2"/>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11. – Affaires maritimes et pêche</w:t>
      </w:r>
    </w:p>
    <w:p>
      <w:pPr>
        <w:pStyle w:val="Text1"/>
        <w:pBdr>
          <w:top w:val="single" w:sz="4" w:space="1" w:color="auto"/>
          <w:left w:val="single" w:sz="4" w:space="4" w:color="auto"/>
          <w:bottom w:val="single" w:sz="4" w:space="1" w:color="auto"/>
          <w:right w:val="single" w:sz="4" w:space="4" w:color="auto"/>
        </w:pBdr>
        <w:rPr>
          <w:noProof/>
        </w:rPr>
      </w:pPr>
      <w:r>
        <w:rPr>
          <w:noProof/>
        </w:rPr>
        <w:t>11.03 – Contributions obligatoires aux organisations régionales de gestion des pêches (ORGP) et autres organisations internationales et accords de pêche durable (APD).</w:t>
      </w:r>
    </w:p>
    <w:p>
      <w:pPr>
        <w:pStyle w:val="ManualHeading2"/>
        <w:rPr>
          <w:bCs/>
          <w:noProof/>
          <w:szCs w:val="24"/>
        </w:rPr>
      </w:pPr>
      <w:r>
        <w:t>1.3.</w:t>
      </w:r>
      <w:r>
        <w:tab/>
      </w:r>
      <w:r>
        <w:rPr>
          <w:noProof/>
        </w:rPr>
        <w:t xml:space="preserve">Nature de la proposition/de l'initiative </w:t>
      </w:r>
    </w:p>
    <w:p>
      <w:pPr>
        <w:pStyle w:val="Text1"/>
        <w:rPr>
          <w:b/>
          <w:noProof/>
          <w:sz w:val="22"/>
        </w:rPr>
      </w:pPr>
      <w:r>
        <w:rPr>
          <w:noProof/>
          <w:sz w:val="22"/>
        </w:rPr>
        <w:t>X</w:t>
      </w:r>
      <w:r>
        <w:rPr>
          <w:b/>
          <w:i/>
          <w:noProof/>
          <w:sz w:val="22"/>
        </w:rPr>
        <w:t xml:space="preserve"> </w:t>
      </w:r>
      <w:r>
        <w:rPr>
          <w:noProof/>
        </w:rPr>
        <w:t xml:space="preserve"> La proposition/l’initiative porte sur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3"/>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pPr>
        <w:pStyle w:val="ManualHeading2"/>
        <w:rPr>
          <w:bCs/>
          <w:noProof/>
          <w:szCs w:val="24"/>
        </w:rPr>
      </w:pPr>
      <w:r>
        <w:t>1.4.</w:t>
      </w:r>
      <w:r>
        <w:tab/>
      </w:r>
      <w:r>
        <w:rPr>
          <w:noProof/>
        </w:rPr>
        <w:t>Objectif(s)</w:t>
      </w:r>
    </w:p>
    <w:p>
      <w:pPr>
        <w:pStyle w:val="ManualHeading3"/>
        <w:rPr>
          <w:noProof/>
        </w:rPr>
      </w:pPr>
      <w:r>
        <w:t>1.4.1.</w:t>
      </w:r>
      <w:r>
        <w:tab/>
      </w:r>
      <w:r>
        <w:rPr>
          <w:noProof/>
        </w:rPr>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La négociation et la conclusion d’accords de partenariat dans le domaine de la pêche durable (APPD) avec des pays tiers répondent à l’objectif général de permettre l’accès des navires de pêche de l’Union européenne à des zones de pêche de pays tiers et de développer avec ces pays un partenariat en vue de renforcer l’exploitation durable des ressources halieutiques en dehors des eaux de l’Union.</w:t>
      </w:r>
    </w:p>
    <w:p>
      <w:pPr>
        <w:pStyle w:val="Text1"/>
        <w:pBdr>
          <w:top w:val="single" w:sz="4" w:space="1" w:color="auto"/>
          <w:left w:val="single" w:sz="4" w:space="4" w:color="auto"/>
          <w:bottom w:val="single" w:sz="4" w:space="1" w:color="auto"/>
          <w:right w:val="single" w:sz="4" w:space="4" w:color="auto"/>
        </w:pBdr>
        <w:rPr>
          <w:noProof/>
        </w:rPr>
      </w:pPr>
      <w:r>
        <w:rPr>
          <w:noProof/>
        </w:rPr>
        <w:t>Les APPD assurent également la cohérence entre les principes régissant la politique commune de la pêche et les engagements inscrits dans d’autres politiques européennes [exploitation durable des ressources des pays tiers, lutte contre la pêche illicite, non déclarée et non réglementée (INN), intégration des pays partenaires dans l’économie globale, ainsi qu’une meilleure gouvernance des pêcheries au niveau politique et financier].</w:t>
      </w:r>
    </w:p>
    <w:p>
      <w:pPr>
        <w:pStyle w:val="ManualHeading3"/>
        <w:rPr>
          <w:bCs/>
          <w:noProof/>
          <w:szCs w:val="24"/>
        </w:rPr>
      </w:pPr>
      <w:r>
        <w:t>1.4.2.</w:t>
      </w:r>
      <w:r>
        <w:tab/>
      </w:r>
      <w:r>
        <w:rPr>
          <w:noProof/>
        </w:rPr>
        <w:t xml:space="preserve">Objectif(s) spécifique(s) et activité(s) ABM/ABB concernée(s)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Objectif spécifique: </w:t>
      </w:r>
    </w:p>
    <w:p>
      <w:pPr>
        <w:pStyle w:val="Text1"/>
        <w:pBdr>
          <w:top w:val="single" w:sz="4" w:space="1" w:color="auto"/>
          <w:left w:val="single" w:sz="4" w:space="4" w:color="auto"/>
          <w:bottom w:val="single" w:sz="4" w:space="1" w:color="auto"/>
          <w:right w:val="single" w:sz="4" w:space="4" w:color="auto"/>
        </w:pBdr>
        <w:rPr>
          <w:noProof/>
        </w:rPr>
      </w:pPr>
      <w:r>
        <w:rPr>
          <w:noProof/>
        </w:rPr>
        <w:t>Contribuer à la pêche durable dans les eaux en dehors de l’Union, maintenir la présence européenne dans les pêcheries lointaines et protéger les intérêts du secteur européen de la pêche et des consommateurs, à travers la négociation et la conclusion d’APPD avec des États côtiers, en cohérence avec d’autres politiques européennes.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Affaires maritimes et pêche, pour établir un cadre de gouvernance pour les activités de pêche menées par les navires de pêche de l’Union européenne dans les eaux des pays tiers (APD) (ligne budgétaire 11.0301).</w:t>
      </w:r>
    </w:p>
    <w:p>
      <w:pPr>
        <w:pStyle w:val="ManualHeading3"/>
        <w:rPr>
          <w:bCs/>
          <w:noProof/>
          <w:szCs w:val="24"/>
        </w:rPr>
      </w:pPr>
      <w:r>
        <w:rPr>
          <w:noProof/>
        </w:rPr>
        <w:br w:type="page"/>
      </w:r>
      <w:r>
        <w:t>1.4.3.</w:t>
      </w:r>
      <w:r>
        <w:tab/>
      </w:r>
      <w:r>
        <w:rPr>
          <w:noProof/>
        </w:rPr>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La conclusion de l’accord permet d’établir un cadre de partenariat stratégique dans le domaine de la pêche entre l’Union européenne et les Îles Cook. La conclusion du protocole crée des possibilités de pêche pour les navires de l'Union dans la zone de pêche des Îles Cook.</w:t>
      </w:r>
    </w:p>
    <w:p>
      <w:pPr>
        <w:pStyle w:val="Text1"/>
        <w:pBdr>
          <w:top w:val="single" w:sz="4" w:space="1" w:color="auto"/>
          <w:left w:val="single" w:sz="4" w:space="4" w:color="auto"/>
          <w:bottom w:val="single" w:sz="4" w:space="1" w:color="auto"/>
          <w:right w:val="single" w:sz="4" w:space="4" w:color="auto"/>
        </w:pBdr>
        <w:rPr>
          <w:noProof/>
        </w:rPr>
      </w:pPr>
      <w:r>
        <w:rPr>
          <w:noProof/>
        </w:rPr>
        <w:t>Le protocole contribue également à la meilleure gestion et conservation des ressources halieutiques, à travers le support financier (appui sectoriel) à la mise en œuvre des programmes adoptés au niveau national par le pays partenaire, notamment en matière de contrôle et de lutte contre la pêche illégale.</w:t>
      </w:r>
    </w:p>
    <w:p>
      <w:pPr>
        <w:pStyle w:val="ManualHeading3"/>
        <w:rPr>
          <w:bCs/>
          <w:noProof/>
          <w:szCs w:val="24"/>
        </w:rPr>
      </w:pPr>
      <w:r>
        <w:t>1.4.4.</w:t>
      </w:r>
      <w:r>
        <w:tab/>
      </w:r>
      <w:r>
        <w:rPr>
          <w:noProof/>
        </w:rPr>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Taux d’utilisation des possibilités de pêche (pourcentage annuel des autorisations de pêche utilisées par rapport à la disponibilité offerte par le protocole);</w:t>
      </w:r>
    </w:p>
    <w:p>
      <w:pPr>
        <w:pStyle w:val="Text1"/>
        <w:pBdr>
          <w:top w:val="single" w:sz="4" w:space="1" w:color="auto"/>
          <w:left w:val="single" w:sz="4" w:space="4" w:color="auto"/>
          <w:bottom w:val="single" w:sz="4" w:space="1" w:color="auto"/>
          <w:right w:val="single" w:sz="4" w:space="4" w:color="auto"/>
        </w:pBdr>
        <w:rPr>
          <w:noProof/>
        </w:rPr>
      </w:pPr>
      <w:r>
        <w:rPr>
          <w:noProof/>
        </w:rPr>
        <w:t>Collecte et analyse des données des captures et de la valeur commerciale de l’accord;</w:t>
      </w:r>
    </w:p>
    <w:p>
      <w:pPr>
        <w:pStyle w:val="Text1"/>
        <w:pBdr>
          <w:top w:val="single" w:sz="4" w:space="1" w:color="auto"/>
          <w:left w:val="single" w:sz="4" w:space="4" w:color="auto"/>
          <w:bottom w:val="single" w:sz="4" w:space="1" w:color="auto"/>
          <w:right w:val="single" w:sz="4" w:space="4" w:color="auto"/>
        </w:pBdr>
        <w:rPr>
          <w:noProof/>
        </w:rPr>
      </w:pPr>
      <w:r>
        <w:rPr>
          <w:noProof/>
        </w:rPr>
        <w:t>Contribution à l’emploi et à la valeur ajoutée dans l’Union et à la stabilisation du marché de l’Union (au niveau agrégé avec d’autres APPD);</w:t>
      </w:r>
    </w:p>
    <w:p>
      <w:pPr>
        <w:pStyle w:val="Text1"/>
        <w:pBdr>
          <w:top w:val="single" w:sz="4" w:space="1" w:color="auto"/>
          <w:left w:val="single" w:sz="4" w:space="4" w:color="auto"/>
          <w:bottom w:val="single" w:sz="4" w:space="1" w:color="auto"/>
          <w:right w:val="single" w:sz="4" w:space="4" w:color="auto"/>
        </w:pBdr>
        <w:rPr>
          <w:noProof/>
        </w:rPr>
      </w:pPr>
      <w:r>
        <w:rPr>
          <w:noProof/>
        </w:rPr>
        <w:t>Nombre de réunions techniques et de réunions de la commission mixte.</w:t>
      </w:r>
    </w:p>
    <w:p>
      <w:pPr>
        <w:pStyle w:val="ManualHeading2"/>
        <w:rPr>
          <w:bCs/>
          <w:noProof/>
          <w:szCs w:val="24"/>
        </w:rPr>
      </w:pPr>
      <w:r>
        <w:t>1.5.</w:t>
      </w:r>
      <w:r>
        <w:tab/>
      </w:r>
      <w:r>
        <w:rPr>
          <w:noProof/>
        </w:rPr>
        <w:t xml:space="preserve">Justification(s) de la proposition/de l'initiative </w:t>
      </w:r>
    </w:p>
    <w:p>
      <w:pPr>
        <w:pStyle w:val="ManualHeading3"/>
        <w:rPr>
          <w:noProof/>
        </w:rPr>
      </w:pPr>
      <w:r>
        <w:t>1.5.1.</w:t>
      </w:r>
      <w:r>
        <w:tab/>
      </w:r>
      <w:r>
        <w:rPr>
          <w:noProof/>
        </w:rPr>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Aucun APPD ou protocole n’a jamais été conclu entre l’Union européenne et les Îles Cook. Une évaluation prospective, menée par des experts externes, a conclu qu’un nouvel APPD et un nouveau protocole entre l’Union et les Îles Cook seraient profitables pour les deux parties.</w:t>
      </w:r>
    </w:p>
    <w:p>
      <w:pPr>
        <w:pStyle w:val="Text1"/>
        <w:pBdr>
          <w:top w:val="single" w:sz="4" w:space="1" w:color="auto"/>
          <w:left w:val="single" w:sz="4" w:space="4" w:color="auto"/>
          <w:bottom w:val="single" w:sz="4" w:space="1" w:color="auto"/>
          <w:right w:val="single" w:sz="4" w:space="4" w:color="auto"/>
        </w:pBdr>
        <w:rPr>
          <w:noProof/>
        </w:rPr>
      </w:pPr>
      <w:r>
        <w:rPr>
          <w:noProof/>
        </w:rPr>
        <w:t>Il est prévu que le nouvel accord et le nouveau protocole s’appliquent de manière provisoire à partir de la date de leur signature afin de ne pas retarder le début des opérations de pêche.</w:t>
      </w:r>
    </w:p>
    <w:p>
      <w:pPr>
        <w:pStyle w:val="Text1"/>
        <w:pBdr>
          <w:top w:val="single" w:sz="4" w:space="1" w:color="auto"/>
          <w:left w:val="single" w:sz="4" w:space="4" w:color="auto"/>
          <w:bottom w:val="single" w:sz="4" w:space="1" w:color="auto"/>
          <w:right w:val="single" w:sz="4" w:space="4" w:color="auto"/>
        </w:pBdr>
        <w:rPr>
          <w:noProof/>
        </w:rPr>
      </w:pPr>
      <w:r>
        <w:rPr>
          <w:noProof/>
        </w:rPr>
        <w:t>Le nouveau protocole permettra d’encadrer l’activité de pêche de la flotte européenne dans la zone de pêche des Îles Cook, et autorisera les armateurs européens à demander des licences de pêche leur permettant de pêcher dans cette zone. En outre, le nouveau protocole renforce la coopération entre l'Union et les Îles Cook en vue de promouvoir le développement d'une politique de pêche durable. Il prévoit notamment le suivi des navires par VMS et la communication des données de captures par voie électronique. L’appui sectoriel disponible en vertu du protocole aidera les Îles Cook dans le cadre de sa stratégie nationale en matière de pêche, y compris la lutte contre la pêche INN.</w:t>
      </w:r>
    </w:p>
    <w:p>
      <w:pPr>
        <w:pStyle w:val="ManualHeading3"/>
        <w:rPr>
          <w:bCs/>
          <w:noProof/>
          <w:szCs w:val="24"/>
        </w:rPr>
      </w:pPr>
      <w:r>
        <w:t>1.5.2.</w:t>
      </w:r>
      <w:r>
        <w:tab/>
      </w:r>
      <w:r>
        <w:rPr>
          <w:noProof/>
        </w:rPr>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En ce qui concerne ce nouvel accord et ce nouveau protocole, la non-intervention de l’Union permettrait l'apparition d'accords privés, qui ne garantiraient pas une pêche durable. L’Union espère également que cet accord et le protocole permettront de renforcer la coopération bilatérale en matière de lutte contre la pêche illicite.</w:t>
      </w:r>
    </w:p>
    <w:p>
      <w:pPr>
        <w:pStyle w:val="ManualHeading3"/>
        <w:rPr>
          <w:bCs/>
          <w:noProof/>
          <w:szCs w:val="24"/>
        </w:rPr>
      </w:pPr>
      <w:r>
        <w:t>1.5.3.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L’analyse des captures dans le cadre de protocoles similaires dans la région, ainsi que les évaluations et avis scientifiques disponibles, ont conduit les parties à fixer le tonnage de référence pour les thonidés et espèces apparentées à 7 000 tonnes par an avec des possibilités de pêche pour 4 senneurs à senne coulissante. L’appui sectoriel a été établi à un niveau adéquat afin de tenir compte des exigences en termes de renforcement des capacités de l’administration des pêches des Îles Cook et des priorités de la stratégie nationale en matière de pêche.</w:t>
      </w:r>
    </w:p>
    <w:p>
      <w:pPr>
        <w:pStyle w:val="ManualHeading3"/>
        <w:rPr>
          <w:bCs/>
          <w:noProof/>
          <w:szCs w:val="24"/>
        </w:rPr>
      </w:pPr>
      <w:r>
        <w:t>1.5.4.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Les fonds versés au titre des APPD constituent des recettes fongibles dans les budgets des pays tiers partenaires. Toutefois la destination d’une partie de ces fonds à la mise en œuvre d’actions dans le cadre de la politique sectorielle du pays est une condition pour la conclusion et le suivi des APPD. Ces ressources financières sont compatibles avec d’autres sources de financement en provenance d’autres bailleurs de fonds internationaux pour la réalisation de projets et/ou des programmes réalisés au niveau national dans le secteur de la pêche.</w:t>
      </w:r>
    </w:p>
    <w:p>
      <w:pPr>
        <w:pStyle w:val="ManualHeading2"/>
        <w:rPr>
          <w:bCs/>
          <w:noProof/>
          <w:szCs w:val="24"/>
        </w:rPr>
      </w:pPr>
      <w:r>
        <w:rPr>
          <w:noProof/>
        </w:rPr>
        <w:br w:type="page"/>
      </w:r>
      <w:r>
        <w:t>1.6.</w:t>
      </w:r>
      <w:r>
        <w:tab/>
      </w:r>
      <w:r>
        <w:rPr>
          <w:noProof/>
        </w:rPr>
        <w:t xml:space="preserve">Durée et incidence financière </w:t>
      </w:r>
    </w:p>
    <w:p>
      <w:pPr>
        <w:pStyle w:val="Text1"/>
        <w:rPr>
          <w:noProof/>
        </w:rPr>
      </w:pPr>
      <w:r>
        <w:rPr>
          <w:noProof/>
        </w:rPr>
        <w:t>X</w:t>
      </w:r>
      <w:r>
        <w:rPr>
          <w:b/>
          <w:i/>
          <w:noProof/>
        </w:rPr>
        <w:t xml:space="preserve"> </w:t>
      </w:r>
      <w:r>
        <w:rPr>
          <w:noProof/>
        </w:rPr>
        <w:t xml:space="preserve"> Proposition/initiative à </w:t>
      </w:r>
      <w:r>
        <w:rPr>
          <w:b/>
          <w:noProof/>
        </w:rPr>
        <w:t xml:space="preserve">durée limitée </w:t>
      </w:r>
    </w:p>
    <w:p>
      <w:pPr>
        <w:pStyle w:val="ListDash2"/>
        <w:rPr>
          <w:noProof/>
        </w:rPr>
      </w:pPr>
      <w:r>
        <w:rPr>
          <w:noProof/>
        </w:rPr>
        <w:t>X</w:t>
      </w:r>
      <w:r>
        <w:rPr>
          <w:noProof/>
        </w:rPr>
        <w:tab/>
        <w:t>Proposition/initiative en vigueur à partir de 2016 jusqu’en 2020</w:t>
      </w:r>
    </w:p>
    <w:p>
      <w:pPr>
        <w:pStyle w:val="ListDash2"/>
        <w:rPr>
          <w:noProof/>
        </w:rPr>
      </w:pPr>
      <w:r>
        <w:rPr>
          <w:noProof/>
        </w:rPr>
        <w:sym w:font="Wingdings" w:char="F0A8"/>
      </w:r>
      <w:r>
        <w:rPr>
          <w:noProof/>
        </w:rPr>
        <w:tab/>
        <w:t>Incidence financière de 2016 à 2020</w:t>
      </w:r>
    </w:p>
    <w:p>
      <w:pPr>
        <w:pStyle w:val="Text1"/>
        <w:rPr>
          <w:noProof/>
        </w:rPr>
      </w:pPr>
      <w:r>
        <w:rPr>
          <w:noProof/>
        </w:rPr>
        <w:sym w:font="Wingdings" w:char="F0A8"/>
      </w:r>
      <w:r>
        <w:rPr>
          <w:b/>
          <w:i/>
          <w:noProof/>
        </w:rPr>
        <w:t xml:space="preserve"> </w:t>
      </w:r>
      <w:r>
        <w:rPr>
          <w:noProof/>
        </w:rPr>
        <w:t xml:space="preserve">Proposition/initiative à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r>
        <w:t>1.7.</w:t>
      </w:r>
      <w:r>
        <w:tab/>
      </w:r>
      <w:r>
        <w:rPr>
          <w:noProof/>
        </w:rPr>
        <w:t>Mode(s) de gestion prévu(s)</w:t>
      </w:r>
      <w:r>
        <w:rPr>
          <w:rStyle w:val="FootnoteReference"/>
          <w:noProof/>
        </w:rPr>
        <w:footnoteReference w:id="4"/>
      </w:r>
      <w:r>
        <w:rPr>
          <w:rStyle w:val="FootnoteReference"/>
          <w:noProof/>
        </w:rPr>
        <w:t xml:space="preserve"> </w:t>
      </w:r>
    </w:p>
    <w:p>
      <w:pPr>
        <w:pStyle w:val="Text1"/>
        <w:rPr>
          <w:noProof/>
        </w:rPr>
      </w:pPr>
      <w:r>
        <w:rPr>
          <w:noProof/>
        </w:rPr>
        <w:t>X</w:t>
      </w:r>
      <w:r>
        <w:rPr>
          <w:i/>
          <w:noProof/>
        </w:rPr>
        <w:t xml:space="preserve"> </w:t>
      </w:r>
      <w:r>
        <w:rPr>
          <w:b/>
          <w:noProof/>
        </w:rPr>
        <w:t>Gestion directe</w:t>
      </w:r>
      <w:r>
        <w:rPr>
          <w:noProof/>
        </w:rPr>
        <w:t xml:space="preserve"> par la Commission</w:t>
      </w:r>
    </w:p>
    <w:p>
      <w:pPr>
        <w:pStyle w:val="ListDash2"/>
        <w:rPr>
          <w:rFonts w:cs="EUAlbertina"/>
          <w:noProof/>
        </w:rPr>
      </w:pPr>
      <w:r>
        <w:rPr>
          <w:noProof/>
        </w:rPr>
        <w:t xml:space="preserve">X par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Commission (DG MARE, en collaboration avec son attaché pêche basé dans la région) assurera un suivi régulier de la mise en œuvre du protocole, notamment en termes d’utilisation par les opérateurs des possibilités de pêche et en termes de données de captures. </w:t>
      </w:r>
    </w:p>
    <w:p>
      <w:pPr>
        <w:pStyle w:val="Text1"/>
        <w:pBdr>
          <w:top w:val="single" w:sz="4" w:space="1" w:color="auto"/>
          <w:left w:val="single" w:sz="4" w:space="4" w:color="auto"/>
          <w:bottom w:val="single" w:sz="4" w:space="1" w:color="auto"/>
          <w:right w:val="single" w:sz="4" w:space="4" w:color="auto"/>
        </w:pBdr>
        <w:rPr>
          <w:noProof/>
        </w:rPr>
      </w:pPr>
      <w:r>
        <w:rPr>
          <w:noProof/>
        </w:rPr>
        <w:t>En outre, l’APPD prévoit au moins une réunion annuelle de la commission mixte pendant laquelle la Commission et les Îles Cook font le point sur la mise en œuvre de l’accord et de son protocole et apportent, si nécessaire, des ajustements à la programmation et, le cas échéant, à la contrepartie financière.</w:t>
      </w:r>
    </w:p>
    <w:p>
      <w:pPr>
        <w:pStyle w:val="ManualHeading2"/>
        <w:rPr>
          <w:bCs/>
          <w:noProof/>
          <w:szCs w:val="24"/>
        </w:rPr>
      </w:pPr>
      <w:r>
        <w:t>2.2.</w:t>
      </w:r>
      <w:r>
        <w:tab/>
      </w:r>
      <w:r>
        <w:rPr>
          <w:noProof/>
        </w:rPr>
        <w:t xml:space="preserve">Système de gestion et de contrôle </w:t>
      </w:r>
    </w:p>
    <w:p>
      <w:pPr>
        <w:pStyle w:val="ManualHeading3"/>
        <w:rPr>
          <w:noProof/>
        </w:rPr>
      </w:pPr>
      <w:r>
        <w:t>2.2.1.</w:t>
      </w:r>
      <w:r>
        <w:tab/>
      </w:r>
      <w:r>
        <w:rPr>
          <w:noProof/>
        </w:rPr>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La mise en place d’un nouvel accord et d'un nouveau protocole de pêche s’accompagne d’un certain nombre de risques, notamment concernant les montants destinés au financement de la politique sectorielle de la pêche (sous-programmation).</w:t>
      </w:r>
    </w:p>
    <w:p>
      <w:pPr>
        <w:pStyle w:val="ManualHeading3"/>
        <w:rPr>
          <w:bCs/>
          <w:noProof/>
          <w:szCs w:val="24"/>
        </w:rPr>
      </w:pPr>
      <w:r>
        <w:t>2.2.2.</w:t>
      </w:r>
      <w:r>
        <w:tab/>
      </w:r>
      <w:r>
        <w:rPr>
          <w:noProof/>
        </w:rPr>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Il est prévu un dialogue soutenu sur la programmation et la mise en œuvre de la politique sectorielle prévue par l’accord et le protocole. L’analyse conjointe des résultats indiquée à l’article 3 du protocole fait également partie de ces moyens de contrôle.</w:t>
      </w:r>
    </w:p>
    <w:p>
      <w:pPr>
        <w:pStyle w:val="Text1"/>
        <w:pBdr>
          <w:top w:val="single" w:sz="4" w:space="1" w:color="auto"/>
          <w:left w:val="single" w:sz="4" w:space="4" w:color="auto"/>
          <w:bottom w:val="single" w:sz="4" w:space="1" w:color="auto"/>
          <w:right w:val="single" w:sz="4" w:space="4" w:color="auto"/>
        </w:pBdr>
        <w:rPr>
          <w:noProof/>
        </w:rPr>
      </w:pPr>
      <w:r>
        <w:rPr>
          <w:noProof/>
        </w:rPr>
        <w:t>Par ailleurs l’accord et le protocole prévoient des clauses spécifiques pour leur suspension, à certaines conditions et dans des circonstances déterminées.</w:t>
      </w:r>
    </w:p>
    <w:p>
      <w:pPr>
        <w:pStyle w:val="ManualHeading3"/>
        <w:rPr>
          <w:noProof/>
        </w:rPr>
      </w:pPr>
      <w:r>
        <w:t>2.2.3.</w:t>
      </w:r>
      <w:r>
        <w:tab/>
      </w:r>
      <w:r>
        <w:rPr>
          <w:noProof/>
        </w:rPr>
        <w:t xml:space="preserve">Estimation du coût et des avantages des contrôles et évaluation du niveau attendu de risque d’erreur </w:t>
      </w:r>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2.3.</w:t>
      </w:r>
      <w:r>
        <w:tab/>
      </w:r>
      <w:r>
        <w:rPr>
          <w:noProof/>
        </w:rPr>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La Commission s’engage à établir un dialogue politique et une concertation régulière avec les Îles Cook afin de pouvoir améliorer la gestion de l’accord et du protocole et de renforcer la contribution de l’Union à la gestion durable des ressources. Dans tous les cas, tout paiement effectué par la Commission dans le cadre d’un APPD est soumis aux règles et aux procédures budgétaires et financières normales de la Commission. Ceci permet, notamment, d’identifier de manière complète les comptes bancaires des pays tiers sur lesquels sont versés les montants de la contrepartie financière. Dans le cas spécifique du protocole en objet, l’article 2, paragraphe 7, établit que tous les éléments de la contrepartie financière doivent être payés sur un compte gouvernemental et inscrits dans la loi budgétaire nationale.</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INCIDENCE FINANCIÈRE ESTIMÉE DE LA PROPOSITION/DE L’INITIATIVE </w:t>
      </w:r>
    </w:p>
    <w:p>
      <w:pPr>
        <w:pStyle w:val="ManualHeading2"/>
        <w:rPr>
          <w:noProof/>
        </w:rPr>
      </w:pPr>
      <w:r>
        <w:t>3.1.</w:t>
      </w:r>
      <w:r>
        <w:tab/>
      </w:r>
      <w:r>
        <w:rPr>
          <w:noProof/>
        </w:rPr>
        <w:t xml:space="preserve">Rubrique(s) du cadre financier pluriannuel et ligne(s) budgétaire(s) de dépenses concernée(s) </w:t>
      </w:r>
    </w:p>
    <w:p>
      <w:pPr>
        <w:pStyle w:val="ListBullet1"/>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w:t>
            </w:r>
            <w:r>
              <w:rPr>
                <w:noProof/>
                <w:sz w:val="22"/>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rPr>
              <w:t>Numéro[Libellé………………………...………]</w:t>
            </w:r>
          </w:p>
        </w:tc>
        <w:tc>
          <w:tcPr>
            <w:tcW w:w="1080" w:type="dxa"/>
            <w:vAlign w:val="center"/>
          </w:tcPr>
          <w:p>
            <w:pPr>
              <w:jc w:val="center"/>
              <w:rPr>
                <w:noProof/>
              </w:rPr>
            </w:pPr>
            <w:r>
              <w:rPr>
                <w:noProof/>
              </w:rPr>
              <w:t>CD/CND</w:t>
            </w:r>
            <w:r>
              <w:rPr>
                <w:rStyle w:val="FootnoteReference"/>
                <w:noProof/>
              </w:rPr>
              <w:footnoteReference w:id="5"/>
            </w:r>
          </w:p>
        </w:tc>
        <w:tc>
          <w:tcPr>
            <w:tcW w:w="956" w:type="dxa"/>
            <w:vAlign w:val="center"/>
          </w:tcPr>
          <w:p>
            <w:pPr>
              <w:jc w:val="center"/>
              <w:rPr>
                <w:noProof/>
              </w:rPr>
            </w:pPr>
            <w:r>
              <w:rPr>
                <w:noProof/>
                <w:sz w:val="18"/>
              </w:rPr>
              <w:t>de pays AELE</w:t>
            </w:r>
            <w:r>
              <w:rPr>
                <w:rStyle w:val="FootnoteReference"/>
                <w:noProof/>
                <w:sz w:val="18"/>
              </w:rPr>
              <w:footnoteReference w:id="6"/>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sz w:val="18"/>
              </w:rPr>
              <w:footnoteReference w:id="7"/>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rPr>
            </w:pPr>
            <w:r>
              <w:rPr>
                <w:noProof/>
                <w:sz w:val="22"/>
              </w:rPr>
              <w:t>2</w:t>
            </w:r>
          </w:p>
        </w:tc>
        <w:tc>
          <w:tcPr>
            <w:tcW w:w="3960" w:type="dxa"/>
            <w:vAlign w:val="center"/>
          </w:tcPr>
          <w:p>
            <w:pPr>
              <w:spacing w:before="60"/>
              <w:rPr>
                <w:noProof/>
              </w:rPr>
            </w:pPr>
            <w:r>
              <w:rPr>
                <w:noProof/>
              </w:rPr>
              <w:t>11.03.01</w:t>
            </w:r>
          </w:p>
          <w:p>
            <w:pPr>
              <w:spacing w:before="60"/>
              <w:rPr>
                <w:noProof/>
              </w:rPr>
            </w:pPr>
            <w:r>
              <w:rPr>
                <w:noProof/>
              </w:rPr>
              <w:t>Établir un cadre de gouvernance pour les activités de pêche menées par les navires de pêche de l’Union européennes dans les eaux des pays tiers (APD)</w:t>
            </w:r>
          </w:p>
        </w:tc>
        <w:tc>
          <w:tcPr>
            <w:tcW w:w="1080" w:type="dxa"/>
            <w:vAlign w:val="center"/>
          </w:tcPr>
          <w:p>
            <w:pPr>
              <w:jc w:val="center"/>
              <w:rPr>
                <w:noProof/>
                <w:color w:val="0000FF"/>
              </w:rPr>
            </w:pPr>
            <w:r>
              <w:rPr>
                <w:noProof/>
                <w:sz w:val="22"/>
              </w:rPr>
              <w:t>CD</w:t>
            </w:r>
          </w:p>
        </w:tc>
        <w:tc>
          <w:tcPr>
            <w:tcW w:w="956" w:type="dxa"/>
            <w:vAlign w:val="center"/>
          </w:tcPr>
          <w:p>
            <w:pPr>
              <w:jc w:val="center"/>
              <w:rPr>
                <w:noProof/>
              </w:rPr>
            </w:pPr>
            <w:r>
              <w:rPr>
                <w:noProof/>
                <w:sz w:val="22"/>
              </w:rPr>
              <w:t>NON</w:t>
            </w:r>
          </w:p>
        </w:tc>
        <w:tc>
          <w:tcPr>
            <w:tcW w:w="1080" w:type="dxa"/>
            <w:vAlign w:val="center"/>
          </w:tcPr>
          <w:p>
            <w:pPr>
              <w:jc w:val="center"/>
              <w:rPr>
                <w:noProof/>
              </w:rPr>
            </w:pPr>
            <w:r>
              <w:rPr>
                <w:noProof/>
                <w:sz w:val="22"/>
              </w:rPr>
              <w:t>NON</w:t>
            </w:r>
          </w:p>
        </w:tc>
        <w:tc>
          <w:tcPr>
            <w:tcW w:w="956" w:type="dxa"/>
            <w:vAlign w:val="center"/>
          </w:tcPr>
          <w:p>
            <w:pPr>
              <w:jc w:val="center"/>
              <w:rPr>
                <w:noProof/>
              </w:rPr>
            </w:pPr>
            <w:r>
              <w:rPr>
                <w:noProof/>
                <w:sz w:val="22"/>
              </w:rPr>
              <w:t>NON</w:t>
            </w:r>
          </w:p>
        </w:tc>
        <w:tc>
          <w:tcPr>
            <w:tcW w:w="1448" w:type="dxa"/>
            <w:vAlign w:val="center"/>
          </w:tcPr>
          <w:p>
            <w:pPr>
              <w:jc w:val="center"/>
              <w:rPr>
                <w:noProof/>
              </w:rPr>
            </w:pPr>
            <w:r>
              <w:rPr>
                <w:noProof/>
                <w:sz w:val="22"/>
              </w:rPr>
              <w:t>NON</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22"/>
              </w:rPr>
              <w:t>2</w:t>
            </w: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rPr>
                <w:noProof/>
              </w:rPr>
            </w:pPr>
            <w:r>
              <w:rPr>
                <w:noProof/>
              </w:rPr>
              <w:t>11.010401</w:t>
            </w:r>
          </w:p>
          <w:p>
            <w:pPr>
              <w:spacing w:before="60"/>
              <w:rPr>
                <w:noProof/>
              </w:rPr>
            </w:pPr>
            <w:r>
              <w:rPr>
                <w:noProof/>
              </w:rPr>
              <w:t>Dépenses d’appui pour les affaires maritimes et la pêche — Assistance technique et administrative non opérationnelle</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22"/>
              </w:rPr>
              <w:t>NON</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22"/>
              </w:rPr>
              <w:t>NON</w:t>
            </w:r>
          </w:p>
        </w:tc>
      </w:tr>
    </w:tbl>
    <w:p>
      <w:pPr>
        <w:pStyle w:val="ListBullet1"/>
        <w:rPr>
          <w:noProof/>
        </w:rPr>
      </w:pPr>
      <w:r>
        <w:rPr>
          <w:noProof/>
        </w:rPr>
        <w:t>Nouvelles lignes budgétaires, dont la création est demandée</w:t>
      </w:r>
    </w:p>
    <w:p>
      <w:pPr>
        <w:pStyle w:val="Text1"/>
        <w:rPr>
          <w:i/>
          <w:noProof/>
          <w:sz w:val="20"/>
        </w:rPr>
      </w:pPr>
      <w:r>
        <w:rPr>
          <w:i/>
          <w:noProof/>
          <w:u w:val="single"/>
        </w:rPr>
        <w:t>Dans l’ordre</w:t>
      </w:r>
      <w:r>
        <w:rPr>
          <w:noProof/>
        </w:rPr>
        <w:t xml:space="preserve"> </w:t>
      </w:r>
      <w:r>
        <w:rPr>
          <w:i/>
          <w:noProof/>
        </w:rPr>
        <w:t>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Rubrique du cadre financier pluriannuel</w:t>
            </w:r>
          </w:p>
        </w:tc>
        <w:tc>
          <w:tcPr>
            <w:tcW w:w="396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Nature de</w:t>
            </w:r>
            <w:r>
              <w:rPr>
                <w:noProof/>
                <w:sz w:val="22"/>
              </w:rPr>
              <w:br/>
            </w:r>
            <w:r>
              <w:rPr>
                <w:noProof/>
                <w:sz w:val="18"/>
              </w:rPr>
              <w:t>la dépense</w:t>
            </w:r>
          </w:p>
        </w:tc>
        <w:tc>
          <w:tcPr>
            <w:tcW w:w="444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960" w:type="dxa"/>
            <w:vAlign w:val="center"/>
          </w:tcPr>
          <w:p>
            <w:pPr>
              <w:rPr>
                <w:noProof/>
              </w:rPr>
            </w:pPr>
            <w:r>
              <w:rPr>
                <w:noProof/>
              </w:rPr>
              <w:t>Numéro</w:t>
            </w:r>
            <w:r>
              <w:rPr>
                <w:noProof/>
              </w:rPr>
              <w:br/>
              <w:t>[Libellé………………………...………]</w:t>
            </w:r>
          </w:p>
        </w:tc>
        <w:tc>
          <w:tcPr>
            <w:tcW w:w="1080" w:type="dxa"/>
            <w:vAlign w:val="center"/>
          </w:tcPr>
          <w:p>
            <w:pPr>
              <w:jc w:val="center"/>
              <w:rPr>
                <w:noProof/>
              </w:rPr>
            </w:pPr>
            <w:r>
              <w:rPr>
                <w:noProof/>
                <w:sz w:val="18"/>
              </w:rPr>
              <w:t>CD/CND</w:t>
            </w:r>
          </w:p>
        </w:tc>
        <w:tc>
          <w:tcPr>
            <w:tcW w:w="95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956" w:type="dxa"/>
            <w:vAlign w:val="center"/>
          </w:tcPr>
          <w:p>
            <w:pPr>
              <w:jc w:val="center"/>
              <w:rPr>
                <w:noProof/>
                <w:sz w:val="18"/>
              </w:rPr>
            </w:pPr>
            <w:r>
              <w:rPr>
                <w:noProof/>
                <w:sz w:val="18"/>
              </w:rPr>
              <w:t>de pays tiers</w:t>
            </w:r>
          </w:p>
        </w:tc>
        <w:tc>
          <w:tcPr>
            <w:tcW w:w="1448"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p>
        </w:tc>
        <w:tc>
          <w:tcPr>
            <w:tcW w:w="3960" w:type="dxa"/>
            <w:vAlign w:val="center"/>
          </w:tcPr>
          <w:p>
            <w:pPr>
              <w:spacing w:before="60"/>
              <w:rPr>
                <w:noProof/>
              </w:rPr>
            </w:pPr>
            <w:r>
              <w:rPr>
                <w:noProof/>
              </w:rPr>
              <w:t>[XX.YY.YY.YY]</w:t>
            </w:r>
          </w:p>
          <w:p>
            <w:pPr>
              <w:spacing w:after="60"/>
              <w:rPr>
                <w:noProof/>
                <w:color w:val="0000FF"/>
              </w:rPr>
            </w:pPr>
          </w:p>
        </w:tc>
        <w:tc>
          <w:tcPr>
            <w:tcW w:w="1080" w:type="dxa"/>
            <w:vAlign w:val="center"/>
          </w:tcPr>
          <w:p>
            <w:pPr>
              <w:jc w:val="center"/>
              <w:rPr>
                <w:noProof/>
                <w:color w:val="0000FF"/>
              </w:rPr>
            </w:pPr>
          </w:p>
        </w:tc>
        <w:tc>
          <w:tcPr>
            <w:tcW w:w="956" w:type="dxa"/>
            <w:vAlign w:val="center"/>
          </w:tcPr>
          <w:p>
            <w:pPr>
              <w:jc w:val="center"/>
              <w:rPr>
                <w:noProof/>
              </w:rPr>
            </w:pPr>
            <w:r>
              <w:rPr>
                <w:noProof/>
                <w:sz w:val="22"/>
              </w:rPr>
              <w:t>OUI/NON</w:t>
            </w:r>
          </w:p>
        </w:tc>
        <w:tc>
          <w:tcPr>
            <w:tcW w:w="1080" w:type="dxa"/>
            <w:vAlign w:val="center"/>
          </w:tcPr>
          <w:p>
            <w:pPr>
              <w:jc w:val="center"/>
              <w:rPr>
                <w:noProof/>
                <w:color w:val="0000FF"/>
                <w:sz w:val="18"/>
              </w:rPr>
            </w:pPr>
            <w:r>
              <w:rPr>
                <w:noProof/>
                <w:sz w:val="22"/>
              </w:rPr>
              <w:t>OUI/NON</w:t>
            </w:r>
          </w:p>
        </w:tc>
        <w:tc>
          <w:tcPr>
            <w:tcW w:w="956" w:type="dxa"/>
            <w:vAlign w:val="center"/>
          </w:tcPr>
          <w:p>
            <w:pPr>
              <w:jc w:val="center"/>
              <w:rPr>
                <w:noProof/>
                <w:color w:val="0000FF"/>
                <w:sz w:val="18"/>
              </w:rPr>
            </w:pPr>
            <w:r>
              <w:rPr>
                <w:noProof/>
                <w:sz w:val="22"/>
              </w:rPr>
              <w:t>OUI/NON</w:t>
            </w:r>
          </w:p>
        </w:tc>
        <w:tc>
          <w:tcPr>
            <w:tcW w:w="1448" w:type="dxa"/>
            <w:vAlign w:val="center"/>
          </w:tcPr>
          <w:p>
            <w:pPr>
              <w:jc w:val="center"/>
              <w:rPr>
                <w:noProof/>
              </w:rPr>
            </w:pPr>
            <w:r>
              <w:rPr>
                <w:noProof/>
                <w:sz w:val="22"/>
              </w:rPr>
              <w:t>OUI/NON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Incidence estimée sur les dépenses </w:t>
      </w:r>
    </w:p>
    <w:p>
      <w:pPr>
        <w:pStyle w:val="ManualHeading3"/>
        <w:rPr>
          <w:noProof/>
          <w:u w:val="single"/>
        </w:rPr>
      </w:pPr>
      <w:r>
        <w:t>3.2.1.</w:t>
      </w:r>
      <w:r>
        <w:tab/>
      </w:r>
      <w:r>
        <w:rPr>
          <w:noProof/>
        </w:rPr>
        <w:t xml:space="preserve">Synthèse de l'incidence estimée sur les dépenses </w:t>
      </w:r>
    </w:p>
    <w:p>
      <w:pPr>
        <w:jc w:val="right"/>
        <w:rPr>
          <w:noProof/>
          <w:sz w:val="20"/>
        </w:rPr>
      </w:pPr>
      <w:r>
        <w:rPr>
          <w:noProof/>
          <w:sz w:val="20"/>
        </w:rPr>
        <w:t>En Mio EUR (à la 3</w:t>
      </w:r>
      <w:r>
        <w:rPr>
          <w:noProof/>
          <w:sz w:val="20"/>
          <w:vertAlign w:val="superscript"/>
        </w:rPr>
        <w:t>e</w:t>
      </w:r>
      <w:r>
        <w:rPr>
          <w:noProof/>
          <w:sz w:val="20"/>
        </w:rPr>
        <w:t xml:space="preserve">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Rubrique du cadre financier</w:t>
            </w:r>
            <w:r>
              <w:rPr>
                <w:noProof/>
                <w:sz w:val="22"/>
              </w:rPr>
              <w:br/>
            </w:r>
            <w:r>
              <w:rPr>
                <w:b/>
                <w:noProof/>
                <w:sz w:val="22"/>
              </w:rPr>
              <w:t xml:space="preserve">pluriannuel </w:t>
            </w:r>
          </w:p>
        </w:tc>
        <w:tc>
          <w:tcPr>
            <w:tcW w:w="1080" w:type="dxa"/>
            <w:vAlign w:val="center"/>
          </w:tcPr>
          <w:p>
            <w:pPr>
              <w:spacing w:before="60" w:after="60"/>
              <w:jc w:val="center"/>
              <w:rPr>
                <w:noProof/>
              </w:rPr>
            </w:pPr>
            <w:r>
              <w:rPr>
                <w:noProof/>
                <w:sz w:val="22"/>
              </w:rPr>
              <w:t>Numéro 2</w:t>
            </w:r>
          </w:p>
        </w:tc>
        <w:tc>
          <w:tcPr>
            <w:tcW w:w="7817" w:type="dxa"/>
            <w:vAlign w:val="center"/>
          </w:tcPr>
          <w:p>
            <w:pPr>
              <w:spacing w:before="60" w:after="60"/>
              <w:rPr>
                <w:noProof/>
              </w:rPr>
            </w:pPr>
            <w:r>
              <w:rPr>
                <w:noProof/>
              </w:rPr>
              <w:t>Croissance durable: ressources naturelles</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1777"/>
      </w:tblGrid>
      <w:tr>
        <w:tc>
          <w:tcPr>
            <w:tcW w:w="3960" w:type="dxa"/>
            <w:vAlign w:val="center"/>
          </w:tcPr>
          <w:p>
            <w:pPr>
              <w:jc w:val="center"/>
              <w:rPr>
                <w:noProof/>
              </w:rPr>
            </w:pPr>
            <w:r>
              <w:rPr>
                <w:noProof/>
                <w:sz w:val="22"/>
              </w:rPr>
              <w:t>DG: &lt;…….&gt;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b/>
                <w:noProof/>
                <w:sz w:val="20"/>
              </w:rPr>
            </w:pPr>
            <w:r>
              <w:rPr>
                <w:noProof/>
                <w:sz w:val="20"/>
              </w:rPr>
              <w:t>Année</w:t>
            </w:r>
            <w:r>
              <w:rPr>
                <w:noProof/>
                <w:sz w:val="22"/>
              </w:rPr>
              <w:br/>
            </w:r>
            <w:r>
              <w:rPr>
                <w:b/>
                <w:noProof/>
                <w:sz w:val="20"/>
              </w:rPr>
              <w:t>N</w:t>
            </w:r>
            <w:r>
              <w:rPr>
                <w:rStyle w:val="FootnoteReference"/>
                <w:b/>
                <w:noProof/>
                <w:sz w:val="20"/>
              </w:rPr>
              <w:footnoteReference w:id="8"/>
            </w:r>
          </w:p>
          <w:p>
            <w:pPr>
              <w:jc w:val="center"/>
              <w:rPr>
                <w:noProof/>
                <w:sz w:val="20"/>
              </w:rPr>
            </w:pPr>
            <w:r>
              <w:rPr>
                <w:b/>
                <w:noProof/>
                <w:sz w:val="20"/>
              </w:rPr>
              <w:t>2016</w:t>
            </w:r>
          </w:p>
        </w:tc>
        <w:tc>
          <w:tcPr>
            <w:tcW w:w="868" w:type="dxa"/>
            <w:vAlign w:val="center"/>
          </w:tcPr>
          <w:p>
            <w:pPr>
              <w:jc w:val="center"/>
              <w:rPr>
                <w:b/>
                <w:noProof/>
                <w:sz w:val="20"/>
              </w:rPr>
            </w:pPr>
            <w:r>
              <w:rPr>
                <w:noProof/>
                <w:sz w:val="20"/>
              </w:rPr>
              <w:t>Année</w:t>
            </w:r>
            <w:r>
              <w:rPr>
                <w:noProof/>
                <w:sz w:val="22"/>
              </w:rPr>
              <w:br/>
            </w:r>
            <w:r>
              <w:rPr>
                <w:b/>
                <w:noProof/>
                <w:sz w:val="20"/>
              </w:rPr>
              <w:t>N+1</w:t>
            </w:r>
          </w:p>
          <w:p>
            <w:pPr>
              <w:jc w:val="center"/>
              <w:rPr>
                <w:noProof/>
                <w:sz w:val="20"/>
              </w:rPr>
            </w:pPr>
            <w:r>
              <w:rPr>
                <w:b/>
                <w:noProof/>
                <w:sz w:val="20"/>
              </w:rPr>
              <w:t>2017</w:t>
            </w:r>
          </w:p>
        </w:tc>
        <w:tc>
          <w:tcPr>
            <w:tcW w:w="868" w:type="dxa"/>
            <w:vAlign w:val="center"/>
          </w:tcPr>
          <w:p>
            <w:pPr>
              <w:jc w:val="center"/>
              <w:rPr>
                <w:b/>
                <w:noProof/>
                <w:sz w:val="20"/>
              </w:rPr>
            </w:pPr>
            <w:r>
              <w:rPr>
                <w:noProof/>
                <w:sz w:val="20"/>
              </w:rPr>
              <w:t>Année</w:t>
            </w:r>
            <w:r>
              <w:rPr>
                <w:noProof/>
                <w:sz w:val="22"/>
              </w:rPr>
              <w:br/>
            </w:r>
            <w:r>
              <w:rPr>
                <w:b/>
                <w:noProof/>
                <w:sz w:val="20"/>
              </w:rPr>
              <w:t>N+2</w:t>
            </w:r>
          </w:p>
          <w:p>
            <w:pPr>
              <w:jc w:val="center"/>
              <w:rPr>
                <w:noProof/>
                <w:sz w:val="20"/>
              </w:rPr>
            </w:pPr>
            <w:r>
              <w:rPr>
                <w:b/>
                <w:noProof/>
                <w:sz w:val="20"/>
              </w:rPr>
              <w:t>2018</w:t>
            </w:r>
          </w:p>
        </w:tc>
        <w:tc>
          <w:tcPr>
            <w:tcW w:w="868" w:type="dxa"/>
            <w:vAlign w:val="center"/>
          </w:tcPr>
          <w:p>
            <w:pPr>
              <w:jc w:val="center"/>
              <w:rPr>
                <w:b/>
                <w:noProof/>
                <w:sz w:val="20"/>
              </w:rPr>
            </w:pPr>
            <w:r>
              <w:rPr>
                <w:noProof/>
                <w:sz w:val="20"/>
              </w:rPr>
              <w:t>Année</w:t>
            </w:r>
            <w:r>
              <w:rPr>
                <w:noProof/>
                <w:sz w:val="22"/>
              </w:rPr>
              <w:br/>
            </w:r>
            <w:r>
              <w:rPr>
                <w:b/>
                <w:noProof/>
                <w:sz w:val="20"/>
              </w:rPr>
              <w:t>N+3</w:t>
            </w:r>
          </w:p>
          <w:p>
            <w:pPr>
              <w:jc w:val="center"/>
              <w:rPr>
                <w:noProof/>
                <w:sz w:val="20"/>
              </w:rPr>
            </w:pPr>
            <w:r>
              <w:rPr>
                <w:b/>
                <w:noProof/>
                <w:sz w:val="20"/>
              </w:rPr>
              <w:t>2019</w:t>
            </w:r>
          </w:p>
        </w:tc>
        <w:tc>
          <w:tcPr>
            <w:tcW w:w="177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rPr>
              <w:t xml:space="preserve"> Crédits opérationnels</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rPr>
            </w:pPr>
            <w:r>
              <w:rPr>
                <w:noProof/>
                <w:sz w:val="20"/>
              </w:rPr>
              <w:t>Numéro de ligne budgétaire 11.0301</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0,735</w:t>
            </w:r>
          </w:p>
        </w:tc>
        <w:tc>
          <w:tcPr>
            <w:tcW w:w="868" w:type="dxa"/>
            <w:vAlign w:val="center"/>
          </w:tcPr>
          <w:p>
            <w:pPr>
              <w:spacing w:before="20" w:after="20"/>
              <w:jc w:val="right"/>
              <w:rPr>
                <w:noProof/>
                <w:sz w:val="20"/>
              </w:rPr>
            </w:pPr>
            <w:r>
              <w:rPr>
                <w:noProof/>
                <w:sz w:val="20"/>
              </w:rPr>
              <w:t>0,735</w:t>
            </w:r>
          </w:p>
        </w:tc>
        <w:tc>
          <w:tcPr>
            <w:tcW w:w="868" w:type="dxa"/>
            <w:vAlign w:val="center"/>
          </w:tcPr>
          <w:p>
            <w:pPr>
              <w:spacing w:before="20" w:after="20"/>
              <w:jc w:val="right"/>
              <w:rPr>
                <w:noProof/>
                <w:sz w:val="20"/>
              </w:rPr>
            </w:pPr>
            <w:r>
              <w:rPr>
                <w:noProof/>
                <w:sz w:val="20"/>
              </w:rPr>
              <w:t>0,700</w:t>
            </w:r>
          </w:p>
        </w:tc>
        <w:tc>
          <w:tcPr>
            <w:tcW w:w="868" w:type="dxa"/>
            <w:vAlign w:val="center"/>
          </w:tcPr>
          <w:p>
            <w:pPr>
              <w:spacing w:before="20" w:after="20"/>
              <w:jc w:val="right"/>
              <w:rPr>
                <w:noProof/>
                <w:sz w:val="20"/>
              </w:rPr>
            </w:pPr>
            <w:r>
              <w:rPr>
                <w:noProof/>
                <w:sz w:val="20"/>
              </w:rPr>
              <w:t>0,700</w:t>
            </w:r>
          </w:p>
        </w:tc>
        <w:tc>
          <w:tcPr>
            <w:tcW w:w="1777" w:type="dxa"/>
            <w:vAlign w:val="center"/>
          </w:tcPr>
          <w:p>
            <w:pPr>
              <w:spacing w:before="20" w:after="20"/>
              <w:jc w:val="right"/>
              <w:rPr>
                <w:b/>
                <w:noProof/>
                <w:sz w:val="20"/>
              </w:rPr>
            </w:pPr>
            <w:r>
              <w:rPr>
                <w:b/>
                <w:noProof/>
                <w:sz w:val="20"/>
              </w:rPr>
              <w:t>2,870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0,735</w:t>
            </w:r>
          </w:p>
        </w:tc>
        <w:tc>
          <w:tcPr>
            <w:tcW w:w="868" w:type="dxa"/>
            <w:vAlign w:val="center"/>
          </w:tcPr>
          <w:p>
            <w:pPr>
              <w:spacing w:before="20" w:after="20"/>
              <w:jc w:val="right"/>
              <w:rPr>
                <w:noProof/>
                <w:sz w:val="20"/>
              </w:rPr>
            </w:pPr>
            <w:r>
              <w:rPr>
                <w:noProof/>
                <w:sz w:val="20"/>
              </w:rPr>
              <w:t>0,735</w:t>
            </w:r>
          </w:p>
        </w:tc>
        <w:tc>
          <w:tcPr>
            <w:tcW w:w="868" w:type="dxa"/>
            <w:vAlign w:val="center"/>
          </w:tcPr>
          <w:p>
            <w:pPr>
              <w:spacing w:before="20" w:after="20"/>
              <w:jc w:val="right"/>
              <w:rPr>
                <w:noProof/>
                <w:sz w:val="20"/>
              </w:rPr>
            </w:pPr>
            <w:r>
              <w:rPr>
                <w:noProof/>
                <w:sz w:val="20"/>
              </w:rPr>
              <w:t>0,700</w:t>
            </w:r>
          </w:p>
        </w:tc>
        <w:tc>
          <w:tcPr>
            <w:tcW w:w="868" w:type="dxa"/>
            <w:vAlign w:val="center"/>
          </w:tcPr>
          <w:p>
            <w:pPr>
              <w:spacing w:before="20" w:after="20"/>
              <w:jc w:val="right"/>
              <w:rPr>
                <w:noProof/>
                <w:sz w:val="20"/>
              </w:rPr>
            </w:pPr>
            <w:r>
              <w:rPr>
                <w:noProof/>
                <w:sz w:val="20"/>
              </w:rPr>
              <w:t>0,700</w:t>
            </w:r>
          </w:p>
        </w:tc>
        <w:tc>
          <w:tcPr>
            <w:tcW w:w="1777" w:type="dxa"/>
            <w:vAlign w:val="center"/>
          </w:tcPr>
          <w:p>
            <w:pPr>
              <w:spacing w:before="20" w:after="20"/>
              <w:jc w:val="right"/>
              <w:rPr>
                <w:b/>
                <w:noProof/>
                <w:sz w:val="20"/>
              </w:rPr>
            </w:pPr>
            <w:r>
              <w:rPr>
                <w:b/>
                <w:noProof/>
                <w:sz w:val="20"/>
              </w:rPr>
              <w:t>2,870</w:t>
            </w:r>
          </w:p>
        </w:tc>
      </w:tr>
      <w:tr>
        <w:tc>
          <w:tcPr>
            <w:tcW w:w="3960" w:type="dxa"/>
            <w:vMerge w:val="restart"/>
            <w:vAlign w:val="center"/>
          </w:tcPr>
          <w:p>
            <w:pPr>
              <w:rPr>
                <w:noProof/>
              </w:rPr>
            </w:pPr>
            <w:r>
              <w:rPr>
                <w:noProof/>
                <w:sz w:val="20"/>
              </w:rPr>
              <w:t>Numéro de 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rPr>
            </w:pPr>
            <w:r>
              <w:rPr>
                <w:noProof/>
                <w:sz w:val="21"/>
              </w:rPr>
              <w:t>Crédits de nature administrative financés par l’enveloppe de certains programmes spécifiques</w:t>
            </w:r>
            <w:r>
              <w:rPr>
                <w:rStyle w:val="FootnoteReference"/>
                <w:noProof/>
                <w:sz w:val="21"/>
              </w:rPr>
              <w:footnoteReference w:id="9"/>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rPr>
            </w:pPr>
            <w:r>
              <w:rPr>
                <w:noProof/>
                <w:sz w:val="20"/>
              </w:rPr>
              <w:t>Numéro de ligne budgétaire 11.010401</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noProof/>
                <w:sz w:val="20"/>
              </w:rPr>
            </w:pPr>
            <w:r>
              <w:rPr>
                <w:noProof/>
                <w:sz w:val="20"/>
              </w:rPr>
              <w:t>0,037</w:t>
            </w:r>
          </w:p>
        </w:tc>
        <w:tc>
          <w:tcPr>
            <w:tcW w:w="868" w:type="dxa"/>
            <w:vAlign w:val="center"/>
          </w:tcPr>
          <w:p>
            <w:pPr>
              <w:spacing w:before="40" w:after="40"/>
              <w:jc w:val="right"/>
              <w:rPr>
                <w:noProof/>
                <w:sz w:val="20"/>
              </w:rPr>
            </w:pPr>
            <w:r>
              <w:rPr>
                <w:noProof/>
                <w:sz w:val="20"/>
              </w:rPr>
              <w:t>0,037</w:t>
            </w:r>
          </w:p>
        </w:tc>
        <w:tc>
          <w:tcPr>
            <w:tcW w:w="868" w:type="dxa"/>
            <w:vAlign w:val="center"/>
          </w:tcPr>
          <w:p>
            <w:pPr>
              <w:spacing w:before="40" w:after="40"/>
              <w:jc w:val="right"/>
              <w:rPr>
                <w:noProof/>
                <w:sz w:val="20"/>
              </w:rPr>
            </w:pPr>
            <w:r>
              <w:rPr>
                <w:noProof/>
                <w:sz w:val="20"/>
              </w:rPr>
              <w:t>0,037</w:t>
            </w:r>
          </w:p>
        </w:tc>
        <w:tc>
          <w:tcPr>
            <w:tcW w:w="868" w:type="dxa"/>
            <w:vAlign w:val="center"/>
          </w:tcPr>
          <w:p>
            <w:pPr>
              <w:spacing w:before="40" w:after="40"/>
              <w:jc w:val="right"/>
              <w:rPr>
                <w:noProof/>
                <w:sz w:val="20"/>
              </w:rPr>
            </w:pPr>
            <w:r>
              <w:rPr>
                <w:noProof/>
                <w:sz w:val="20"/>
              </w:rPr>
              <w:t>0,037</w:t>
            </w:r>
          </w:p>
        </w:tc>
        <w:tc>
          <w:tcPr>
            <w:tcW w:w="1777" w:type="dxa"/>
            <w:vAlign w:val="center"/>
          </w:tcPr>
          <w:p>
            <w:pPr>
              <w:spacing w:before="40" w:after="40"/>
              <w:jc w:val="right"/>
              <w:rPr>
                <w:b/>
                <w:noProof/>
                <w:sz w:val="20"/>
              </w:rPr>
            </w:pPr>
            <w:r>
              <w:rPr>
                <w:b/>
                <w:noProof/>
                <w:sz w:val="20"/>
              </w:rPr>
              <w:t>0,148</w:t>
            </w:r>
          </w:p>
        </w:tc>
      </w:tr>
      <w:tr>
        <w:tc>
          <w:tcPr>
            <w:tcW w:w="3960" w:type="dxa"/>
            <w:vMerge w:val="restart"/>
            <w:vAlign w:val="center"/>
          </w:tcPr>
          <w:p>
            <w:pPr>
              <w:jc w:val="center"/>
              <w:rPr>
                <w:b/>
                <w:noProof/>
              </w:rPr>
            </w:pPr>
            <w:r>
              <w:rPr>
                <w:b/>
                <w:noProof/>
                <w:sz w:val="22"/>
              </w:rPr>
              <w:t>TOTAL des crédits</w:t>
            </w:r>
            <w:r>
              <w:rPr>
                <w:noProof/>
                <w:sz w:val="22"/>
              </w:rPr>
              <w:br/>
            </w:r>
            <w:r>
              <w:rPr>
                <w:b/>
                <w:noProof/>
                <w:sz w:val="22"/>
              </w:rPr>
              <w:t xml:space="preserve">pour la DG </w:t>
            </w:r>
            <w:r>
              <w:rPr>
                <w:noProof/>
                <w:sz w:val="22"/>
              </w:rPr>
              <w:t>&lt;…….&gt;</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=1+1a +3</w:t>
            </w:r>
          </w:p>
        </w:tc>
        <w:tc>
          <w:tcPr>
            <w:tcW w:w="868" w:type="dxa"/>
            <w:vAlign w:val="center"/>
          </w:tcPr>
          <w:p>
            <w:pPr>
              <w:spacing w:before="20" w:after="20"/>
              <w:jc w:val="right"/>
              <w:rPr>
                <w:noProof/>
                <w:sz w:val="20"/>
              </w:rPr>
            </w:pPr>
            <w:r>
              <w:rPr>
                <w:noProof/>
                <w:sz w:val="20"/>
              </w:rPr>
              <w:t>0,772</w:t>
            </w:r>
          </w:p>
        </w:tc>
        <w:tc>
          <w:tcPr>
            <w:tcW w:w="868" w:type="dxa"/>
            <w:vAlign w:val="center"/>
          </w:tcPr>
          <w:p>
            <w:pPr>
              <w:spacing w:before="20" w:after="20"/>
              <w:jc w:val="right"/>
              <w:rPr>
                <w:noProof/>
                <w:sz w:val="20"/>
              </w:rPr>
            </w:pPr>
            <w:r>
              <w:rPr>
                <w:noProof/>
                <w:sz w:val="20"/>
              </w:rPr>
              <w:t>0,772</w:t>
            </w:r>
          </w:p>
        </w:tc>
        <w:tc>
          <w:tcPr>
            <w:tcW w:w="868" w:type="dxa"/>
            <w:vAlign w:val="center"/>
          </w:tcPr>
          <w:p>
            <w:pPr>
              <w:spacing w:before="20" w:after="20"/>
              <w:jc w:val="right"/>
              <w:rPr>
                <w:noProof/>
                <w:sz w:val="20"/>
              </w:rPr>
            </w:pPr>
            <w:r>
              <w:rPr>
                <w:noProof/>
                <w:sz w:val="20"/>
              </w:rPr>
              <w:t>0,737</w:t>
            </w:r>
          </w:p>
        </w:tc>
        <w:tc>
          <w:tcPr>
            <w:tcW w:w="868" w:type="dxa"/>
            <w:vAlign w:val="center"/>
          </w:tcPr>
          <w:p>
            <w:pPr>
              <w:spacing w:before="20" w:after="20"/>
              <w:jc w:val="right"/>
              <w:rPr>
                <w:noProof/>
                <w:sz w:val="20"/>
              </w:rPr>
            </w:pPr>
            <w:r>
              <w:rPr>
                <w:noProof/>
                <w:sz w:val="20"/>
              </w:rPr>
              <w:t>0,737</w:t>
            </w:r>
          </w:p>
        </w:tc>
        <w:tc>
          <w:tcPr>
            <w:tcW w:w="1777" w:type="dxa"/>
            <w:vAlign w:val="center"/>
          </w:tcPr>
          <w:p>
            <w:pPr>
              <w:spacing w:before="20" w:after="20"/>
              <w:jc w:val="right"/>
              <w:rPr>
                <w:b/>
                <w:noProof/>
                <w:sz w:val="20"/>
              </w:rPr>
            </w:pPr>
            <w:r>
              <w:rPr>
                <w:b/>
                <w:noProof/>
                <w:sz w:val="20"/>
              </w:rPr>
              <w:t>3,018</w:t>
            </w: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0,772</w:t>
            </w:r>
          </w:p>
        </w:tc>
        <w:tc>
          <w:tcPr>
            <w:tcW w:w="868" w:type="dxa"/>
            <w:vAlign w:val="center"/>
          </w:tcPr>
          <w:p>
            <w:pPr>
              <w:spacing w:before="20" w:after="20"/>
              <w:jc w:val="right"/>
              <w:rPr>
                <w:noProof/>
                <w:sz w:val="20"/>
              </w:rPr>
            </w:pPr>
            <w:r>
              <w:rPr>
                <w:noProof/>
                <w:sz w:val="20"/>
              </w:rPr>
              <w:t>0,772</w:t>
            </w:r>
          </w:p>
        </w:tc>
        <w:tc>
          <w:tcPr>
            <w:tcW w:w="868" w:type="dxa"/>
            <w:vAlign w:val="center"/>
          </w:tcPr>
          <w:p>
            <w:pPr>
              <w:spacing w:before="20" w:after="20"/>
              <w:jc w:val="right"/>
              <w:rPr>
                <w:noProof/>
                <w:sz w:val="20"/>
              </w:rPr>
            </w:pPr>
            <w:r>
              <w:rPr>
                <w:noProof/>
                <w:sz w:val="20"/>
              </w:rPr>
              <w:t>0,737</w:t>
            </w:r>
          </w:p>
        </w:tc>
        <w:tc>
          <w:tcPr>
            <w:tcW w:w="868" w:type="dxa"/>
            <w:vAlign w:val="center"/>
          </w:tcPr>
          <w:p>
            <w:pPr>
              <w:spacing w:before="20" w:after="20"/>
              <w:jc w:val="right"/>
              <w:rPr>
                <w:noProof/>
                <w:sz w:val="20"/>
              </w:rPr>
            </w:pPr>
            <w:r>
              <w:rPr>
                <w:noProof/>
                <w:sz w:val="20"/>
              </w:rPr>
              <w:t>0,737</w:t>
            </w:r>
          </w:p>
        </w:tc>
        <w:tc>
          <w:tcPr>
            <w:tcW w:w="1777" w:type="dxa"/>
            <w:vAlign w:val="center"/>
          </w:tcPr>
          <w:p>
            <w:pPr>
              <w:spacing w:before="20" w:after="20"/>
              <w:jc w:val="right"/>
              <w:rPr>
                <w:b/>
                <w:noProof/>
                <w:sz w:val="20"/>
              </w:rPr>
            </w:pPr>
            <w:r>
              <w:rPr>
                <w:b/>
                <w:noProof/>
                <w:sz w:val="20"/>
              </w:rPr>
              <w:t>3,018</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1777"/>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rPr>
              <w:t xml:space="preserve"> TOTAL des crédits opérationnels</w:t>
            </w:r>
          </w:p>
        </w:tc>
        <w:tc>
          <w:tcPr>
            <w:tcW w:w="1440" w:type="dxa"/>
            <w:vAlign w:val="center"/>
          </w:tcPr>
          <w:p>
            <w:pPr>
              <w:spacing w:beforeLines="20" w:before="48" w:afterLines="20" w:after="48"/>
              <w:rPr>
                <w:noProof/>
                <w:sz w:val="18"/>
              </w:rPr>
            </w:pPr>
            <w:r>
              <w:rPr>
                <w:noProof/>
                <w:sz w:val="18"/>
              </w:rPr>
              <w:t>Engagements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0,735</w:t>
            </w:r>
          </w:p>
        </w:tc>
        <w:tc>
          <w:tcPr>
            <w:tcW w:w="868" w:type="dxa"/>
            <w:vAlign w:val="center"/>
          </w:tcPr>
          <w:p>
            <w:pPr>
              <w:spacing w:before="20" w:after="20"/>
              <w:jc w:val="right"/>
              <w:rPr>
                <w:noProof/>
                <w:sz w:val="20"/>
              </w:rPr>
            </w:pPr>
            <w:r>
              <w:rPr>
                <w:noProof/>
                <w:sz w:val="20"/>
              </w:rPr>
              <w:t>0,735</w:t>
            </w:r>
          </w:p>
        </w:tc>
        <w:tc>
          <w:tcPr>
            <w:tcW w:w="868" w:type="dxa"/>
            <w:vAlign w:val="center"/>
          </w:tcPr>
          <w:p>
            <w:pPr>
              <w:spacing w:before="20" w:after="20"/>
              <w:jc w:val="right"/>
              <w:rPr>
                <w:noProof/>
                <w:sz w:val="20"/>
              </w:rPr>
            </w:pPr>
            <w:r>
              <w:rPr>
                <w:noProof/>
                <w:sz w:val="20"/>
              </w:rPr>
              <w:t>0,700</w:t>
            </w:r>
          </w:p>
        </w:tc>
        <w:tc>
          <w:tcPr>
            <w:tcW w:w="868" w:type="dxa"/>
            <w:vAlign w:val="center"/>
          </w:tcPr>
          <w:p>
            <w:pPr>
              <w:spacing w:before="20" w:after="20"/>
              <w:jc w:val="right"/>
              <w:rPr>
                <w:noProof/>
                <w:sz w:val="20"/>
              </w:rPr>
            </w:pPr>
            <w:r>
              <w:rPr>
                <w:noProof/>
                <w:sz w:val="20"/>
              </w:rPr>
              <w:t>0,700</w:t>
            </w:r>
          </w:p>
        </w:tc>
        <w:tc>
          <w:tcPr>
            <w:tcW w:w="1777" w:type="dxa"/>
            <w:vAlign w:val="center"/>
          </w:tcPr>
          <w:p>
            <w:pPr>
              <w:spacing w:before="20" w:after="20"/>
              <w:jc w:val="right"/>
              <w:rPr>
                <w:b/>
                <w:noProof/>
                <w:sz w:val="20"/>
              </w:rPr>
            </w:pPr>
            <w:r>
              <w:rPr>
                <w:b/>
                <w:noProof/>
                <w:sz w:val="20"/>
              </w:rPr>
              <w:t>2,870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0,735</w:t>
            </w:r>
          </w:p>
        </w:tc>
        <w:tc>
          <w:tcPr>
            <w:tcW w:w="868" w:type="dxa"/>
            <w:vAlign w:val="center"/>
          </w:tcPr>
          <w:p>
            <w:pPr>
              <w:spacing w:before="20" w:after="20"/>
              <w:jc w:val="right"/>
              <w:rPr>
                <w:noProof/>
                <w:sz w:val="20"/>
              </w:rPr>
            </w:pPr>
            <w:r>
              <w:rPr>
                <w:noProof/>
                <w:sz w:val="20"/>
              </w:rPr>
              <w:t>0,635</w:t>
            </w:r>
          </w:p>
        </w:tc>
        <w:tc>
          <w:tcPr>
            <w:tcW w:w="868" w:type="dxa"/>
            <w:vAlign w:val="center"/>
          </w:tcPr>
          <w:p>
            <w:pPr>
              <w:spacing w:before="20" w:after="20"/>
              <w:jc w:val="right"/>
              <w:rPr>
                <w:noProof/>
                <w:sz w:val="20"/>
              </w:rPr>
            </w:pPr>
            <w:r>
              <w:rPr>
                <w:noProof/>
                <w:sz w:val="20"/>
              </w:rPr>
              <w:t>0,700</w:t>
            </w:r>
          </w:p>
        </w:tc>
        <w:tc>
          <w:tcPr>
            <w:tcW w:w="868" w:type="dxa"/>
            <w:vAlign w:val="center"/>
          </w:tcPr>
          <w:p>
            <w:pPr>
              <w:spacing w:before="20" w:after="20"/>
              <w:jc w:val="right"/>
              <w:rPr>
                <w:noProof/>
                <w:sz w:val="20"/>
              </w:rPr>
            </w:pPr>
            <w:r>
              <w:rPr>
                <w:noProof/>
                <w:sz w:val="20"/>
              </w:rPr>
              <w:t>0,700</w:t>
            </w:r>
          </w:p>
        </w:tc>
        <w:tc>
          <w:tcPr>
            <w:tcW w:w="1777" w:type="dxa"/>
            <w:vAlign w:val="center"/>
          </w:tcPr>
          <w:p>
            <w:pPr>
              <w:spacing w:before="20" w:after="20"/>
              <w:jc w:val="right"/>
              <w:rPr>
                <w:b/>
                <w:noProof/>
                <w:sz w:val="20"/>
              </w:rPr>
            </w:pPr>
            <w:r>
              <w:rPr>
                <w:b/>
                <w:noProof/>
                <w:sz w:val="20"/>
              </w:rPr>
              <w:t>2,870</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rPr>
              <w:t xml:space="preserve"> 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noProof/>
                <w:sz w:val="20"/>
              </w:rPr>
            </w:pPr>
            <w:r>
              <w:rPr>
                <w:noProof/>
                <w:sz w:val="20"/>
              </w:rPr>
              <w:t>0,037</w:t>
            </w:r>
          </w:p>
        </w:tc>
        <w:tc>
          <w:tcPr>
            <w:tcW w:w="868" w:type="dxa"/>
            <w:vAlign w:val="center"/>
          </w:tcPr>
          <w:p>
            <w:pPr>
              <w:spacing w:before="40" w:after="40"/>
              <w:jc w:val="right"/>
              <w:rPr>
                <w:noProof/>
                <w:sz w:val="20"/>
              </w:rPr>
            </w:pPr>
            <w:r>
              <w:rPr>
                <w:noProof/>
                <w:sz w:val="20"/>
              </w:rPr>
              <w:t>0,037</w:t>
            </w:r>
          </w:p>
        </w:tc>
        <w:tc>
          <w:tcPr>
            <w:tcW w:w="868" w:type="dxa"/>
            <w:vAlign w:val="center"/>
          </w:tcPr>
          <w:p>
            <w:pPr>
              <w:spacing w:before="40" w:after="40"/>
              <w:jc w:val="right"/>
              <w:rPr>
                <w:noProof/>
                <w:sz w:val="20"/>
              </w:rPr>
            </w:pPr>
            <w:r>
              <w:rPr>
                <w:noProof/>
                <w:sz w:val="20"/>
              </w:rPr>
              <w:t>0,037</w:t>
            </w:r>
          </w:p>
        </w:tc>
        <w:tc>
          <w:tcPr>
            <w:tcW w:w="868" w:type="dxa"/>
            <w:vAlign w:val="center"/>
          </w:tcPr>
          <w:p>
            <w:pPr>
              <w:spacing w:before="40" w:after="40"/>
              <w:jc w:val="right"/>
              <w:rPr>
                <w:noProof/>
                <w:sz w:val="20"/>
              </w:rPr>
            </w:pPr>
            <w:r>
              <w:rPr>
                <w:noProof/>
                <w:sz w:val="20"/>
              </w:rPr>
              <w:t>0,037</w:t>
            </w:r>
          </w:p>
        </w:tc>
        <w:tc>
          <w:tcPr>
            <w:tcW w:w="1777" w:type="dxa"/>
            <w:vAlign w:val="center"/>
          </w:tcPr>
          <w:p>
            <w:pPr>
              <w:spacing w:before="40" w:after="40"/>
              <w:jc w:val="right"/>
              <w:rPr>
                <w:b/>
                <w:noProof/>
                <w:sz w:val="20"/>
              </w:rPr>
            </w:pPr>
            <w:r>
              <w:rPr>
                <w:b/>
                <w:noProof/>
                <w:sz w:val="20"/>
              </w:rPr>
              <w:t>0,148</w:t>
            </w:r>
          </w:p>
        </w:tc>
      </w:tr>
      <w:tr>
        <w:tc>
          <w:tcPr>
            <w:tcW w:w="3960" w:type="dxa"/>
            <w:vMerge w:val="restart"/>
            <w:shd w:val="thinDiagStripe" w:color="C0C0C0" w:fill="auto"/>
            <w:vAlign w:val="center"/>
          </w:tcPr>
          <w:p>
            <w:pPr>
              <w:jc w:val="center"/>
              <w:rPr>
                <w:b/>
                <w:noProof/>
              </w:rPr>
            </w:pPr>
            <w:r>
              <w:rPr>
                <w:b/>
                <w:noProof/>
                <w:sz w:val="22"/>
              </w:rPr>
              <w:t>TOTAL des crédits</w:t>
            </w:r>
            <w:r>
              <w:rPr>
                <w:noProof/>
                <w:sz w:val="22"/>
              </w:rPr>
              <w:br/>
            </w:r>
            <w:r>
              <w:rPr>
                <w:b/>
                <w:noProof/>
                <w:sz w:val="22"/>
              </w:rPr>
              <w:t>pour la RUBRIQUE 2&gt;</w:t>
            </w:r>
            <w:r>
              <w:rPr>
                <w:noProof/>
                <w:sz w:val="22"/>
              </w:rPr>
              <w:br/>
              <w:t>du cadre financier pluriannuel</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0,772</w:t>
            </w:r>
          </w:p>
        </w:tc>
        <w:tc>
          <w:tcPr>
            <w:tcW w:w="868" w:type="dxa"/>
            <w:vAlign w:val="center"/>
          </w:tcPr>
          <w:p>
            <w:pPr>
              <w:spacing w:before="20" w:after="20"/>
              <w:jc w:val="right"/>
              <w:rPr>
                <w:noProof/>
                <w:sz w:val="20"/>
              </w:rPr>
            </w:pPr>
            <w:r>
              <w:rPr>
                <w:noProof/>
                <w:sz w:val="20"/>
              </w:rPr>
              <w:t>0,772</w:t>
            </w:r>
          </w:p>
        </w:tc>
        <w:tc>
          <w:tcPr>
            <w:tcW w:w="868" w:type="dxa"/>
            <w:vAlign w:val="center"/>
          </w:tcPr>
          <w:p>
            <w:pPr>
              <w:spacing w:before="20" w:after="20"/>
              <w:jc w:val="right"/>
              <w:rPr>
                <w:noProof/>
                <w:sz w:val="20"/>
              </w:rPr>
            </w:pPr>
            <w:r>
              <w:rPr>
                <w:noProof/>
                <w:sz w:val="20"/>
              </w:rPr>
              <w:t>0,737</w:t>
            </w:r>
          </w:p>
        </w:tc>
        <w:tc>
          <w:tcPr>
            <w:tcW w:w="868" w:type="dxa"/>
            <w:vAlign w:val="center"/>
          </w:tcPr>
          <w:p>
            <w:pPr>
              <w:spacing w:before="20" w:after="20"/>
              <w:jc w:val="right"/>
              <w:rPr>
                <w:noProof/>
                <w:sz w:val="20"/>
              </w:rPr>
            </w:pPr>
            <w:r>
              <w:rPr>
                <w:noProof/>
                <w:sz w:val="20"/>
              </w:rPr>
              <w:t>0,737</w:t>
            </w:r>
          </w:p>
        </w:tc>
        <w:tc>
          <w:tcPr>
            <w:tcW w:w="1777" w:type="dxa"/>
            <w:vAlign w:val="center"/>
          </w:tcPr>
          <w:p>
            <w:pPr>
              <w:spacing w:before="20" w:after="20"/>
              <w:jc w:val="right"/>
              <w:rPr>
                <w:b/>
                <w:noProof/>
                <w:sz w:val="20"/>
              </w:rPr>
            </w:pPr>
            <w:r>
              <w:rPr>
                <w:b/>
                <w:noProof/>
                <w:sz w:val="20"/>
              </w:rPr>
              <w:t>3,018</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0,772</w:t>
            </w:r>
          </w:p>
        </w:tc>
        <w:tc>
          <w:tcPr>
            <w:tcW w:w="868" w:type="dxa"/>
            <w:vAlign w:val="center"/>
          </w:tcPr>
          <w:p>
            <w:pPr>
              <w:spacing w:before="20" w:after="20"/>
              <w:jc w:val="right"/>
              <w:rPr>
                <w:noProof/>
                <w:sz w:val="20"/>
              </w:rPr>
            </w:pPr>
            <w:r>
              <w:rPr>
                <w:noProof/>
                <w:sz w:val="20"/>
              </w:rPr>
              <w:t>0,772</w:t>
            </w:r>
          </w:p>
        </w:tc>
        <w:tc>
          <w:tcPr>
            <w:tcW w:w="868" w:type="dxa"/>
            <w:vAlign w:val="center"/>
          </w:tcPr>
          <w:p>
            <w:pPr>
              <w:spacing w:before="20" w:after="20"/>
              <w:jc w:val="right"/>
              <w:rPr>
                <w:noProof/>
                <w:sz w:val="20"/>
              </w:rPr>
            </w:pPr>
            <w:r>
              <w:rPr>
                <w:noProof/>
                <w:sz w:val="20"/>
              </w:rPr>
              <w:t>0,737</w:t>
            </w:r>
          </w:p>
        </w:tc>
        <w:tc>
          <w:tcPr>
            <w:tcW w:w="868" w:type="dxa"/>
            <w:vAlign w:val="center"/>
          </w:tcPr>
          <w:p>
            <w:pPr>
              <w:spacing w:before="20" w:after="20"/>
              <w:jc w:val="right"/>
              <w:rPr>
                <w:noProof/>
                <w:sz w:val="20"/>
              </w:rPr>
            </w:pPr>
            <w:r>
              <w:rPr>
                <w:noProof/>
                <w:sz w:val="20"/>
              </w:rPr>
              <w:t>0,737</w:t>
            </w:r>
          </w:p>
        </w:tc>
        <w:tc>
          <w:tcPr>
            <w:tcW w:w="1777" w:type="dxa"/>
            <w:vAlign w:val="center"/>
          </w:tcPr>
          <w:p>
            <w:pPr>
              <w:spacing w:before="20" w:after="20"/>
              <w:jc w:val="right"/>
              <w:rPr>
                <w:b/>
                <w:noProof/>
                <w:sz w:val="20"/>
              </w:rPr>
            </w:pPr>
            <w:r>
              <w:rPr>
                <w:b/>
                <w:noProof/>
                <w:sz w:val="20"/>
              </w:rPr>
              <w:t>3,018</w:t>
            </w:r>
          </w:p>
        </w:tc>
      </w:tr>
    </w:tbl>
    <w:p>
      <w:pPr>
        <w:spacing w:after="40"/>
        <w:rPr>
          <w:b/>
          <w:noProof/>
          <w:sz w:val="22"/>
          <w:u w:val="single"/>
        </w:rPr>
      </w:pPr>
      <w:r>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auto"/>
            </w:tcBorders>
            <w:vAlign w:val="center"/>
          </w:tcPr>
          <w:p>
            <w:pPr>
              <w:spacing w:before="20" w:after="20"/>
              <w:rPr>
                <w:noProof/>
              </w:rPr>
            </w:pPr>
            <w:r>
              <w:rPr>
                <w:noProof/>
                <w:sz w:val="21"/>
              </w:rPr>
              <w:sym w:font="Wingdings" w:char="F09F"/>
            </w:r>
            <w:r>
              <w:rPr>
                <w:noProof/>
              </w:rPr>
              <w:t xml:space="preserve"> TOTAL des crédits opérationnels</w:t>
            </w:r>
          </w:p>
        </w:tc>
        <w:tc>
          <w:tcPr>
            <w:tcW w:w="1440" w:type="dxa"/>
            <w:tcBorders>
              <w:top w:val="single" w:sz="4" w:space="0" w:color="auto"/>
              <w:bottom w:val="single" w:sz="4" w:space="0" w:color="auto"/>
            </w:tcBorders>
            <w:vAlign w:val="center"/>
          </w:tcPr>
          <w:p>
            <w:pPr>
              <w:spacing w:beforeLines="20" w:before="48" w:afterLines="20" w:after="48"/>
              <w:rPr>
                <w:noProof/>
                <w:sz w:val="18"/>
              </w:rPr>
            </w:pPr>
            <w:r>
              <w:rPr>
                <w:noProof/>
                <w:sz w:val="18"/>
              </w:rPr>
              <w:t>Engagements</w:t>
            </w:r>
          </w:p>
        </w:tc>
        <w:tc>
          <w:tcPr>
            <w:tcW w:w="654" w:type="dxa"/>
            <w:tcBorders>
              <w:top w:val="single" w:sz="4" w:space="0" w:color="auto"/>
              <w:bottom w:val="single" w:sz="4" w:space="0" w:color="auto"/>
            </w:tcBorders>
            <w:vAlign w:val="center"/>
          </w:tcPr>
          <w:p>
            <w:pPr>
              <w:spacing w:beforeLines="20" w:before="48" w:afterLines="20" w:after="48"/>
              <w:jc w:val="center"/>
              <w:rPr>
                <w:noProof/>
                <w:sz w:val="14"/>
              </w:rPr>
            </w:pPr>
            <w:r>
              <w:rPr>
                <w:noProof/>
                <w:sz w:val="14"/>
              </w:rPr>
              <w:t>(4)</w:t>
            </w:r>
          </w:p>
        </w:tc>
        <w:tc>
          <w:tcPr>
            <w:tcW w:w="868" w:type="dxa"/>
            <w:tcBorders>
              <w:top w:val="single" w:sz="4" w:space="0" w:color="auto"/>
              <w:bottom w:val="single" w:sz="4" w:space="0" w:color="auto"/>
            </w:tcBorders>
            <w:vAlign w:val="center"/>
          </w:tcPr>
          <w:p>
            <w:pPr>
              <w:spacing w:before="20" w:after="20"/>
              <w:jc w:val="right"/>
              <w:rPr>
                <w:noProof/>
                <w:sz w:val="20"/>
              </w:rPr>
            </w:pPr>
          </w:p>
        </w:tc>
        <w:tc>
          <w:tcPr>
            <w:tcW w:w="868" w:type="dxa"/>
            <w:tcBorders>
              <w:top w:val="single" w:sz="4" w:space="0" w:color="auto"/>
              <w:bottom w:val="single" w:sz="4" w:space="0" w:color="auto"/>
            </w:tcBorders>
            <w:vAlign w:val="center"/>
          </w:tcPr>
          <w:p>
            <w:pPr>
              <w:spacing w:before="20" w:after="20"/>
              <w:jc w:val="right"/>
              <w:rPr>
                <w:noProof/>
                <w:sz w:val="20"/>
              </w:rPr>
            </w:pPr>
          </w:p>
        </w:tc>
        <w:tc>
          <w:tcPr>
            <w:tcW w:w="868" w:type="dxa"/>
            <w:tcBorders>
              <w:top w:val="single" w:sz="4" w:space="0" w:color="auto"/>
              <w:bottom w:val="single" w:sz="4" w:space="0" w:color="auto"/>
            </w:tcBorders>
            <w:vAlign w:val="center"/>
          </w:tcPr>
          <w:p>
            <w:pPr>
              <w:spacing w:before="20" w:after="20"/>
              <w:jc w:val="right"/>
              <w:rPr>
                <w:noProof/>
                <w:sz w:val="20"/>
              </w:rPr>
            </w:pPr>
          </w:p>
        </w:tc>
        <w:tc>
          <w:tcPr>
            <w:tcW w:w="868" w:type="dxa"/>
            <w:tcBorders>
              <w:top w:val="single" w:sz="4" w:space="0" w:color="auto"/>
              <w:bottom w:val="single" w:sz="4" w:space="0" w:color="auto"/>
            </w:tcBorders>
            <w:vAlign w:val="center"/>
          </w:tcPr>
          <w:p>
            <w:pPr>
              <w:spacing w:before="20" w:after="20"/>
              <w:jc w:val="right"/>
              <w:rPr>
                <w:noProof/>
                <w:sz w:val="20"/>
              </w:rPr>
            </w:pPr>
          </w:p>
        </w:tc>
        <w:tc>
          <w:tcPr>
            <w:tcW w:w="868" w:type="dxa"/>
            <w:tcBorders>
              <w:top w:val="single" w:sz="4" w:space="0" w:color="auto"/>
              <w:bottom w:val="single" w:sz="4" w:space="0" w:color="auto"/>
            </w:tcBorders>
            <w:vAlign w:val="center"/>
          </w:tcPr>
          <w:p>
            <w:pPr>
              <w:spacing w:before="20" w:after="20"/>
              <w:jc w:val="right"/>
              <w:rPr>
                <w:noProof/>
                <w:sz w:val="20"/>
              </w:rPr>
            </w:pPr>
          </w:p>
        </w:tc>
        <w:tc>
          <w:tcPr>
            <w:tcW w:w="1777" w:type="dxa"/>
            <w:tcBorders>
              <w:top w:val="single" w:sz="4" w:space="0" w:color="auto"/>
              <w:bottom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auto"/>
              <w:left w:val="single" w:sz="4" w:space="0" w:color="auto"/>
              <w:bottom w:val="single" w:sz="4" w:space="0" w:color="FF0000"/>
            </w:tcBorders>
          </w:tcPr>
          <w:p>
            <w:pPr>
              <w:jc w:val="center"/>
              <w:rPr>
                <w:noProof/>
                <w:sz w:val="20"/>
              </w:rPr>
            </w:pPr>
          </w:p>
        </w:tc>
        <w:tc>
          <w:tcPr>
            <w:tcW w:w="1440" w:type="dxa"/>
            <w:tcBorders>
              <w:top w:val="single" w:sz="4" w:space="0" w:color="auto"/>
            </w:tcBorders>
            <w:vAlign w:val="center"/>
          </w:tcPr>
          <w:p>
            <w:pPr>
              <w:spacing w:beforeLines="20" w:before="48" w:afterLines="20" w:after="48"/>
              <w:rPr>
                <w:noProof/>
                <w:sz w:val="18"/>
              </w:rPr>
            </w:pPr>
            <w:r>
              <w:rPr>
                <w:noProof/>
                <w:sz w:val="18"/>
              </w:rPr>
              <w:t>Paiements</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(5)</w:t>
            </w: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1777" w:type="dxa"/>
            <w:tcBorders>
              <w:top w:val="single" w:sz="4" w:space="0" w:color="auto"/>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tcBorders>
              <w:bottom w:val="single" w:sz="4" w:space="0" w:color="auto"/>
            </w:tcBorders>
            <w:vAlign w:val="center"/>
          </w:tcPr>
          <w:p>
            <w:pPr>
              <w:spacing w:beforeLines="20" w:before="48" w:afterLines="20" w:after="48"/>
              <w:rPr>
                <w:noProof/>
              </w:rPr>
            </w:pPr>
            <w:r>
              <w:rPr>
                <w:noProof/>
                <w:sz w:val="21"/>
              </w:rPr>
              <w:sym w:font="Wingdings" w:char="F09F"/>
            </w:r>
            <w:r>
              <w:rPr>
                <w:noProof/>
              </w:rPr>
              <w:t xml:space="preserve"> TOTAL des crédits de nature administrative financés par l’enveloppe de certains programmes spécifiques</w:t>
            </w:r>
          </w:p>
        </w:tc>
        <w:tc>
          <w:tcPr>
            <w:tcW w:w="654" w:type="dxa"/>
            <w:tcBorders>
              <w:bottom w:val="single" w:sz="4" w:space="0" w:color="auto"/>
            </w:tcBorders>
            <w:vAlign w:val="center"/>
          </w:tcPr>
          <w:p>
            <w:pPr>
              <w:spacing w:beforeLines="20" w:before="48" w:afterLines="20" w:after="48"/>
              <w:jc w:val="center"/>
              <w:rPr>
                <w:noProof/>
                <w:sz w:val="14"/>
              </w:rPr>
            </w:pPr>
            <w:r>
              <w:rPr>
                <w:noProof/>
                <w:sz w:val="14"/>
              </w:rPr>
              <w:t>(6)</w:t>
            </w:r>
          </w:p>
        </w:tc>
        <w:tc>
          <w:tcPr>
            <w:tcW w:w="868" w:type="dxa"/>
            <w:tcBorders>
              <w:bottom w:val="single" w:sz="4" w:space="0" w:color="auto"/>
            </w:tcBorders>
            <w:vAlign w:val="center"/>
          </w:tcPr>
          <w:p>
            <w:pPr>
              <w:spacing w:before="20" w:after="20"/>
              <w:jc w:val="right"/>
              <w:rPr>
                <w:b/>
                <w:noProof/>
                <w:sz w:val="20"/>
              </w:rPr>
            </w:pPr>
          </w:p>
        </w:tc>
        <w:tc>
          <w:tcPr>
            <w:tcW w:w="868" w:type="dxa"/>
            <w:tcBorders>
              <w:bottom w:val="single" w:sz="4" w:space="0" w:color="auto"/>
            </w:tcBorders>
            <w:vAlign w:val="center"/>
          </w:tcPr>
          <w:p>
            <w:pPr>
              <w:spacing w:before="20" w:after="20"/>
              <w:jc w:val="right"/>
              <w:rPr>
                <w:b/>
                <w:noProof/>
                <w:sz w:val="20"/>
              </w:rPr>
            </w:pPr>
          </w:p>
        </w:tc>
        <w:tc>
          <w:tcPr>
            <w:tcW w:w="868" w:type="dxa"/>
            <w:tcBorders>
              <w:bottom w:val="single" w:sz="4" w:space="0" w:color="auto"/>
            </w:tcBorders>
            <w:vAlign w:val="center"/>
          </w:tcPr>
          <w:p>
            <w:pPr>
              <w:spacing w:before="20" w:after="20"/>
              <w:jc w:val="right"/>
              <w:rPr>
                <w:b/>
                <w:noProof/>
                <w:sz w:val="20"/>
              </w:rPr>
            </w:pPr>
          </w:p>
        </w:tc>
        <w:tc>
          <w:tcPr>
            <w:tcW w:w="868" w:type="dxa"/>
            <w:tcBorders>
              <w:bottom w:val="single" w:sz="4" w:space="0" w:color="auto"/>
            </w:tcBorders>
            <w:vAlign w:val="center"/>
          </w:tcPr>
          <w:p>
            <w:pPr>
              <w:spacing w:before="20" w:after="20"/>
              <w:jc w:val="right"/>
              <w:rPr>
                <w:b/>
                <w:noProof/>
                <w:sz w:val="20"/>
              </w:rPr>
            </w:pPr>
          </w:p>
        </w:tc>
        <w:tc>
          <w:tcPr>
            <w:tcW w:w="868" w:type="dxa"/>
            <w:tcBorders>
              <w:bottom w:val="single" w:sz="4" w:space="0" w:color="auto"/>
            </w:tcBorders>
            <w:vAlign w:val="center"/>
          </w:tcPr>
          <w:p>
            <w:pPr>
              <w:spacing w:before="20" w:after="20"/>
              <w:jc w:val="right"/>
              <w:rPr>
                <w:b/>
                <w:noProof/>
                <w:sz w:val="20"/>
              </w:rPr>
            </w:pPr>
          </w:p>
        </w:tc>
        <w:tc>
          <w:tcPr>
            <w:tcW w:w="1777" w:type="dxa"/>
            <w:tcBorders>
              <w:bottom w:val="single" w:sz="4" w:space="0" w:color="auto"/>
            </w:tcBorders>
            <w:vAlign w:val="center"/>
          </w:tcPr>
          <w:p>
            <w:pPr>
              <w:spacing w:before="20" w:after="20"/>
              <w:jc w:val="right"/>
              <w:rPr>
                <w:b/>
                <w:noProof/>
                <w:sz w:val="20"/>
              </w:rPr>
            </w:pPr>
          </w:p>
        </w:tc>
      </w:tr>
      <w:tr>
        <w:tc>
          <w:tcPr>
            <w:tcW w:w="3960" w:type="dxa"/>
            <w:vMerge w:val="restart"/>
            <w:tcBorders>
              <w:top w:val="single" w:sz="4" w:space="0" w:color="auto"/>
              <w:left w:val="single" w:sz="4" w:space="0" w:color="auto"/>
              <w:bottom w:val="single" w:sz="4" w:space="0" w:color="FF0000"/>
            </w:tcBorders>
            <w:shd w:val="thinDiagStripe" w:color="C0C0C0" w:fill="auto"/>
            <w:vAlign w:val="center"/>
          </w:tcPr>
          <w:p>
            <w:pPr>
              <w:jc w:val="center"/>
              <w:rPr>
                <w:b/>
                <w:noProof/>
              </w:rPr>
            </w:pPr>
            <w:r>
              <w:rPr>
                <w:b/>
                <w:noProof/>
                <w:sz w:val="22"/>
              </w:rPr>
              <w:t>TOTAL des crédits</w:t>
            </w:r>
            <w:r>
              <w:rPr>
                <w:noProof/>
                <w:sz w:val="22"/>
              </w:rPr>
              <w:br/>
            </w:r>
            <w:r>
              <w:rPr>
                <w:b/>
                <w:noProof/>
                <w:sz w:val="22"/>
              </w:rPr>
              <w:t>pour les RUBRIQUES 1 à 4</w:t>
            </w:r>
            <w:r>
              <w:rPr>
                <w:noProof/>
                <w:sz w:val="22"/>
              </w:rPr>
              <w:br/>
              <w:t>du cadre financier pluriannuel</w:t>
            </w:r>
            <w:r>
              <w:rPr>
                <w:noProof/>
                <w:sz w:val="22"/>
              </w:rPr>
              <w:br/>
            </w:r>
            <w:r>
              <w:rPr>
                <w:noProof/>
                <w:sz w:val="20"/>
              </w:rPr>
              <w:t>(Montant de référence)</w:t>
            </w:r>
          </w:p>
        </w:tc>
        <w:tc>
          <w:tcPr>
            <w:tcW w:w="1440" w:type="dxa"/>
            <w:tcBorders>
              <w:top w:val="single" w:sz="4" w:space="0" w:color="auto"/>
            </w:tcBorders>
            <w:vAlign w:val="center"/>
          </w:tcPr>
          <w:p>
            <w:pPr>
              <w:rPr>
                <w:noProof/>
                <w:sz w:val="18"/>
              </w:rPr>
            </w:pPr>
            <w:r>
              <w:rPr>
                <w:noProof/>
                <w:sz w:val="18"/>
              </w:rPr>
              <w:t>Engagements</w:t>
            </w:r>
          </w:p>
        </w:tc>
        <w:tc>
          <w:tcPr>
            <w:tcW w:w="654" w:type="dxa"/>
            <w:tcBorders>
              <w:top w:val="single" w:sz="4" w:space="0" w:color="auto"/>
            </w:tcBorders>
            <w:vAlign w:val="center"/>
          </w:tcPr>
          <w:p>
            <w:pPr>
              <w:jc w:val="center"/>
              <w:rPr>
                <w:noProof/>
                <w:sz w:val="14"/>
              </w:rPr>
            </w:pPr>
            <w:r>
              <w:rPr>
                <w:noProof/>
                <w:sz w:val="14"/>
              </w:rPr>
              <w:t>=4+ 6</w:t>
            </w: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177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Paiements</w:t>
            </w:r>
          </w:p>
        </w:tc>
        <w:tc>
          <w:tcPr>
            <w:tcW w:w="654" w:type="dxa"/>
            <w:tcBorders>
              <w:bottom w:val="single" w:sz="4" w:space="0" w:color="auto"/>
            </w:tcBorders>
            <w:vAlign w:val="center"/>
          </w:tcPr>
          <w:p>
            <w:pPr>
              <w:jc w:val="center"/>
              <w:rPr>
                <w:noProof/>
                <w:sz w:val="14"/>
              </w:rPr>
            </w:pPr>
            <w:r>
              <w:rPr>
                <w:noProof/>
                <w:sz w:val="14"/>
              </w:rPr>
              <w:t>=5+ 6</w:t>
            </w: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1777" w:type="dxa"/>
            <w:tcBorders>
              <w:bottom w:val="single" w:sz="4" w:space="0" w:color="auto"/>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Rubrique du cadre financier</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xml:space="preserv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b/>
                <w:noProof/>
                <w:sz w:val="20"/>
              </w:rPr>
            </w:pPr>
            <w:r>
              <w:rPr>
                <w:noProof/>
                <w:sz w:val="20"/>
              </w:rPr>
              <w:t>Année</w:t>
            </w:r>
            <w:r>
              <w:rPr>
                <w:noProof/>
                <w:sz w:val="22"/>
              </w:rPr>
              <w:br/>
            </w:r>
            <w:r>
              <w:rPr>
                <w:b/>
                <w:noProof/>
                <w:sz w:val="20"/>
              </w:rPr>
              <w:t>N</w:t>
            </w:r>
          </w:p>
          <w:p>
            <w:pPr>
              <w:jc w:val="center"/>
              <w:rPr>
                <w:noProof/>
                <w:sz w:val="20"/>
              </w:rPr>
            </w:pPr>
            <w:r>
              <w:rPr>
                <w:b/>
                <w:noProof/>
                <w:sz w:val="20"/>
              </w:rPr>
              <w:t>2016</w:t>
            </w:r>
          </w:p>
        </w:tc>
        <w:tc>
          <w:tcPr>
            <w:tcW w:w="868" w:type="dxa"/>
            <w:vAlign w:val="center"/>
          </w:tcPr>
          <w:p>
            <w:pPr>
              <w:jc w:val="center"/>
              <w:rPr>
                <w:b/>
                <w:noProof/>
                <w:sz w:val="20"/>
              </w:rPr>
            </w:pPr>
            <w:r>
              <w:rPr>
                <w:noProof/>
                <w:sz w:val="20"/>
              </w:rPr>
              <w:t>Année</w:t>
            </w:r>
            <w:r>
              <w:rPr>
                <w:noProof/>
                <w:sz w:val="22"/>
              </w:rPr>
              <w:br/>
            </w:r>
            <w:r>
              <w:rPr>
                <w:b/>
                <w:noProof/>
                <w:sz w:val="20"/>
              </w:rPr>
              <w:t>N+1</w:t>
            </w:r>
          </w:p>
          <w:p>
            <w:pPr>
              <w:jc w:val="center"/>
              <w:rPr>
                <w:noProof/>
                <w:sz w:val="20"/>
              </w:rPr>
            </w:pPr>
            <w:r>
              <w:rPr>
                <w:b/>
                <w:noProof/>
                <w:sz w:val="20"/>
              </w:rPr>
              <w:t>2017</w:t>
            </w:r>
          </w:p>
        </w:tc>
        <w:tc>
          <w:tcPr>
            <w:tcW w:w="868" w:type="dxa"/>
            <w:vAlign w:val="center"/>
          </w:tcPr>
          <w:p>
            <w:pPr>
              <w:jc w:val="center"/>
              <w:rPr>
                <w:b/>
                <w:noProof/>
                <w:sz w:val="20"/>
              </w:rPr>
            </w:pPr>
            <w:r>
              <w:rPr>
                <w:noProof/>
                <w:sz w:val="20"/>
              </w:rPr>
              <w:t>Année</w:t>
            </w:r>
            <w:r>
              <w:rPr>
                <w:noProof/>
                <w:sz w:val="22"/>
              </w:rPr>
              <w:br/>
            </w:r>
            <w:r>
              <w:rPr>
                <w:b/>
                <w:noProof/>
                <w:sz w:val="20"/>
              </w:rPr>
              <w:t>N+2</w:t>
            </w:r>
          </w:p>
          <w:p>
            <w:pPr>
              <w:jc w:val="center"/>
              <w:rPr>
                <w:noProof/>
                <w:sz w:val="20"/>
              </w:rPr>
            </w:pPr>
            <w:r>
              <w:rPr>
                <w:b/>
                <w:noProof/>
                <w:sz w:val="20"/>
              </w:rPr>
              <w:t>2018</w:t>
            </w:r>
          </w:p>
        </w:tc>
        <w:tc>
          <w:tcPr>
            <w:tcW w:w="868" w:type="dxa"/>
            <w:vAlign w:val="center"/>
          </w:tcPr>
          <w:p>
            <w:pPr>
              <w:jc w:val="center"/>
              <w:rPr>
                <w:b/>
                <w:noProof/>
                <w:sz w:val="20"/>
              </w:rPr>
            </w:pPr>
            <w:r>
              <w:rPr>
                <w:noProof/>
                <w:sz w:val="20"/>
              </w:rPr>
              <w:t>Année</w:t>
            </w:r>
            <w:r>
              <w:rPr>
                <w:noProof/>
                <w:sz w:val="22"/>
              </w:rPr>
              <w:br/>
            </w:r>
            <w:r>
              <w:rPr>
                <w:b/>
                <w:noProof/>
                <w:sz w:val="20"/>
              </w:rPr>
              <w:t>N+3</w:t>
            </w:r>
          </w:p>
          <w:p>
            <w:pPr>
              <w:jc w:val="center"/>
              <w:rPr>
                <w:noProof/>
                <w:sz w:val="20"/>
              </w:rPr>
            </w:pPr>
            <w:r>
              <w:rPr>
                <w:b/>
                <w:noProof/>
                <w:sz w:val="20"/>
              </w:rPr>
              <w:t>2019</w:t>
            </w:r>
          </w:p>
        </w:tc>
        <w:tc>
          <w:tcPr>
            <w:tcW w:w="868" w:type="dxa"/>
            <w:vAlign w:val="center"/>
          </w:tcPr>
          <w:p>
            <w:pPr>
              <w:jc w:val="center"/>
              <w:rPr>
                <w:b/>
                <w:noProof/>
                <w:sz w:val="18"/>
              </w:rPr>
            </w:pPr>
          </w:p>
        </w:tc>
        <w:tc>
          <w:tcPr>
            <w:tcW w:w="1777" w:type="dxa"/>
            <w:vAlign w:val="center"/>
          </w:tcPr>
          <w:p>
            <w:pPr>
              <w:jc w:val="center"/>
              <w:rPr>
                <w:b/>
                <w:noProof/>
                <w:sz w:val="20"/>
              </w:rPr>
            </w:pPr>
            <w:r>
              <w:rPr>
                <w:b/>
                <w:noProof/>
                <w:sz w:val="20"/>
              </w:rPr>
              <w:t>TOTAL</w:t>
            </w:r>
          </w:p>
        </w:tc>
      </w:tr>
      <w:tr>
        <w:trPr>
          <w:gridAfter w:val="8"/>
          <w:wAfter w:w="8211" w:type="dxa"/>
        </w:trPr>
        <w:tc>
          <w:tcPr>
            <w:tcW w:w="3960" w:type="dxa"/>
            <w:vAlign w:val="center"/>
          </w:tcPr>
          <w:p>
            <w:pPr>
              <w:spacing w:before="60" w:after="60"/>
              <w:jc w:val="center"/>
              <w:rPr>
                <w:noProof/>
              </w:rPr>
            </w:pPr>
            <w:r>
              <w:rPr>
                <w:noProof/>
                <w:sz w:val="22"/>
              </w:rPr>
              <w:t>DG: MARE</w:t>
            </w:r>
          </w:p>
        </w:tc>
      </w:tr>
      <w:tr>
        <w:trPr>
          <w:trHeight w:val="313"/>
        </w:trPr>
        <w:tc>
          <w:tcPr>
            <w:tcW w:w="6054" w:type="dxa"/>
            <w:gridSpan w:val="3"/>
            <w:vAlign w:val="center"/>
          </w:tcPr>
          <w:p>
            <w:pPr>
              <w:spacing w:before="20" w:after="20"/>
              <w:rPr>
                <w:noProof/>
              </w:rPr>
            </w:pPr>
            <w:r>
              <w:rPr>
                <w:noProof/>
                <w:sz w:val="22"/>
              </w:rPr>
              <w:sym w:font="Wingdings" w:char="F09F"/>
            </w:r>
            <w:r>
              <w:rPr>
                <w:noProof/>
              </w:rPr>
              <w:t xml:space="preserve"> Ressources humaines</w:t>
            </w:r>
          </w:p>
        </w:tc>
        <w:tc>
          <w:tcPr>
            <w:tcW w:w="868" w:type="dxa"/>
            <w:vAlign w:val="center"/>
          </w:tcPr>
          <w:p>
            <w:pPr>
              <w:spacing w:before="20" w:after="20"/>
              <w:jc w:val="right"/>
              <w:rPr>
                <w:noProof/>
                <w:sz w:val="20"/>
              </w:rPr>
            </w:pPr>
            <w:r>
              <w:rPr>
                <w:noProof/>
                <w:sz w:val="20"/>
              </w:rPr>
              <w:t>0,113</w:t>
            </w:r>
          </w:p>
        </w:tc>
        <w:tc>
          <w:tcPr>
            <w:tcW w:w="868" w:type="dxa"/>
            <w:vAlign w:val="center"/>
          </w:tcPr>
          <w:p>
            <w:pPr>
              <w:spacing w:before="20" w:after="20"/>
              <w:jc w:val="right"/>
              <w:rPr>
                <w:noProof/>
                <w:sz w:val="20"/>
              </w:rPr>
            </w:pPr>
            <w:r>
              <w:rPr>
                <w:noProof/>
                <w:sz w:val="20"/>
              </w:rPr>
              <w:t>0,113</w:t>
            </w:r>
          </w:p>
        </w:tc>
        <w:tc>
          <w:tcPr>
            <w:tcW w:w="868" w:type="dxa"/>
            <w:vAlign w:val="center"/>
          </w:tcPr>
          <w:p>
            <w:pPr>
              <w:spacing w:before="20" w:after="20"/>
              <w:jc w:val="right"/>
              <w:rPr>
                <w:noProof/>
                <w:sz w:val="20"/>
              </w:rPr>
            </w:pPr>
            <w:r>
              <w:rPr>
                <w:noProof/>
                <w:sz w:val="20"/>
              </w:rPr>
              <w:t>0,113</w:t>
            </w:r>
          </w:p>
        </w:tc>
        <w:tc>
          <w:tcPr>
            <w:tcW w:w="868" w:type="dxa"/>
            <w:vAlign w:val="center"/>
          </w:tcPr>
          <w:p>
            <w:pPr>
              <w:spacing w:before="20" w:after="20"/>
              <w:jc w:val="right"/>
              <w:rPr>
                <w:noProof/>
                <w:sz w:val="20"/>
              </w:rPr>
            </w:pPr>
            <w:r>
              <w:rPr>
                <w:noProof/>
                <w:sz w:val="20"/>
              </w:rPr>
              <w:t>0,113</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0,452</w:t>
            </w:r>
          </w:p>
        </w:tc>
      </w:tr>
      <w:tr>
        <w:trPr>
          <w:trHeight w:val="351"/>
        </w:trPr>
        <w:tc>
          <w:tcPr>
            <w:tcW w:w="6054" w:type="dxa"/>
            <w:gridSpan w:val="3"/>
            <w:vAlign w:val="center"/>
          </w:tcPr>
          <w:p>
            <w:pPr>
              <w:spacing w:before="20" w:after="20"/>
              <w:rPr>
                <w:noProof/>
              </w:rPr>
            </w:pPr>
            <w:r>
              <w:rPr>
                <w:noProof/>
                <w:sz w:val="22"/>
              </w:rPr>
              <w:sym w:font="Wingdings" w:char="F09F"/>
            </w:r>
            <w:r>
              <w:rPr>
                <w:noProof/>
              </w:rPr>
              <w:t xml:space="preserve"> Autres dépenses administratives</w:t>
            </w:r>
          </w:p>
        </w:tc>
        <w:tc>
          <w:tcPr>
            <w:tcW w:w="868" w:type="dxa"/>
            <w:vAlign w:val="center"/>
          </w:tcPr>
          <w:p>
            <w:pPr>
              <w:spacing w:before="20" w:after="20"/>
              <w:jc w:val="right"/>
              <w:rPr>
                <w:noProof/>
                <w:sz w:val="20"/>
              </w:rPr>
            </w:pPr>
            <w:r>
              <w:rPr>
                <w:noProof/>
                <w:sz w:val="20"/>
              </w:rPr>
              <w:t>0,009</w:t>
            </w:r>
          </w:p>
        </w:tc>
        <w:tc>
          <w:tcPr>
            <w:tcW w:w="868" w:type="dxa"/>
            <w:vAlign w:val="center"/>
          </w:tcPr>
          <w:p>
            <w:pPr>
              <w:spacing w:before="20" w:after="20"/>
              <w:jc w:val="right"/>
              <w:rPr>
                <w:noProof/>
                <w:sz w:val="20"/>
              </w:rPr>
            </w:pPr>
            <w:r>
              <w:rPr>
                <w:noProof/>
                <w:sz w:val="20"/>
              </w:rPr>
              <w:t>0,009</w:t>
            </w:r>
          </w:p>
        </w:tc>
        <w:tc>
          <w:tcPr>
            <w:tcW w:w="868" w:type="dxa"/>
            <w:vAlign w:val="center"/>
          </w:tcPr>
          <w:p>
            <w:pPr>
              <w:spacing w:before="20" w:after="20"/>
              <w:jc w:val="right"/>
              <w:rPr>
                <w:noProof/>
                <w:sz w:val="20"/>
              </w:rPr>
            </w:pPr>
            <w:r>
              <w:rPr>
                <w:noProof/>
                <w:sz w:val="20"/>
              </w:rPr>
              <w:t>0,009</w:t>
            </w:r>
          </w:p>
        </w:tc>
        <w:tc>
          <w:tcPr>
            <w:tcW w:w="868" w:type="dxa"/>
            <w:vAlign w:val="center"/>
          </w:tcPr>
          <w:p>
            <w:pPr>
              <w:spacing w:before="20" w:after="20"/>
              <w:jc w:val="right"/>
              <w:rPr>
                <w:noProof/>
                <w:sz w:val="20"/>
              </w:rPr>
            </w:pPr>
            <w:r>
              <w:rPr>
                <w:noProof/>
                <w:sz w:val="20"/>
              </w:rPr>
              <w:t>0,009</w:t>
            </w: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r>
              <w:rPr>
                <w:b/>
                <w:noProof/>
                <w:sz w:val="20"/>
              </w:rPr>
              <w:t>0,036</w:t>
            </w:r>
          </w:p>
        </w:tc>
      </w:tr>
      <w:tr>
        <w:tc>
          <w:tcPr>
            <w:tcW w:w="3960" w:type="dxa"/>
            <w:vAlign w:val="center"/>
          </w:tcPr>
          <w:p>
            <w:pPr>
              <w:jc w:val="center"/>
              <w:rPr>
                <w:b/>
                <w:noProof/>
              </w:rPr>
            </w:pPr>
            <w:r>
              <w:rPr>
                <w:b/>
                <w:noProof/>
                <w:sz w:val="22"/>
              </w:rPr>
              <w:t xml:space="preserve">TOTAL DG </w:t>
            </w:r>
            <w:r>
              <w:rPr>
                <w:noProof/>
              </w:rPr>
              <w:t>MARE</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r>
              <w:rPr>
                <w:noProof/>
                <w:sz w:val="20"/>
              </w:rPr>
              <w:t>0,122</w:t>
            </w:r>
          </w:p>
        </w:tc>
        <w:tc>
          <w:tcPr>
            <w:tcW w:w="868" w:type="dxa"/>
            <w:vAlign w:val="center"/>
          </w:tcPr>
          <w:p>
            <w:pPr>
              <w:spacing w:before="20" w:after="20"/>
              <w:jc w:val="right"/>
              <w:rPr>
                <w:noProof/>
                <w:sz w:val="20"/>
              </w:rPr>
            </w:pPr>
            <w:r>
              <w:rPr>
                <w:noProof/>
                <w:sz w:val="20"/>
              </w:rPr>
              <w:t>0,122</w:t>
            </w:r>
          </w:p>
        </w:tc>
        <w:tc>
          <w:tcPr>
            <w:tcW w:w="868" w:type="dxa"/>
            <w:vAlign w:val="center"/>
          </w:tcPr>
          <w:p>
            <w:pPr>
              <w:spacing w:before="20" w:after="20"/>
              <w:jc w:val="right"/>
              <w:rPr>
                <w:noProof/>
                <w:sz w:val="20"/>
              </w:rPr>
            </w:pPr>
            <w:r>
              <w:rPr>
                <w:noProof/>
                <w:sz w:val="20"/>
              </w:rPr>
              <w:t>0,122</w:t>
            </w:r>
          </w:p>
        </w:tc>
        <w:tc>
          <w:tcPr>
            <w:tcW w:w="868" w:type="dxa"/>
            <w:vAlign w:val="center"/>
          </w:tcPr>
          <w:p>
            <w:pPr>
              <w:spacing w:before="20" w:after="20"/>
              <w:jc w:val="right"/>
              <w:rPr>
                <w:noProof/>
                <w:sz w:val="20"/>
              </w:rPr>
            </w:pPr>
            <w:r>
              <w:rPr>
                <w:noProof/>
                <w:sz w:val="20"/>
              </w:rPr>
              <w:t>0,122</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0,488</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pPr>
              <w:spacing w:before="40" w:after="40"/>
              <w:rPr>
                <w:noProof/>
              </w:rPr>
            </w:pPr>
            <w:r>
              <w:rPr>
                <w:noProof/>
                <w:sz w:val="18"/>
              </w:rPr>
              <w:t>(Total engagements = Total paiements)</w:t>
            </w:r>
          </w:p>
        </w:tc>
        <w:tc>
          <w:tcPr>
            <w:tcW w:w="868" w:type="dxa"/>
            <w:vAlign w:val="center"/>
          </w:tcPr>
          <w:p>
            <w:pPr>
              <w:spacing w:before="20" w:after="20"/>
              <w:jc w:val="right"/>
              <w:rPr>
                <w:noProof/>
                <w:sz w:val="20"/>
              </w:rPr>
            </w:pPr>
            <w:r>
              <w:rPr>
                <w:noProof/>
                <w:sz w:val="20"/>
              </w:rPr>
              <w:t>0,122</w:t>
            </w:r>
          </w:p>
        </w:tc>
        <w:tc>
          <w:tcPr>
            <w:tcW w:w="868" w:type="dxa"/>
            <w:vAlign w:val="center"/>
          </w:tcPr>
          <w:p>
            <w:pPr>
              <w:spacing w:before="20" w:after="20"/>
              <w:jc w:val="right"/>
              <w:rPr>
                <w:noProof/>
                <w:sz w:val="20"/>
              </w:rPr>
            </w:pPr>
            <w:r>
              <w:rPr>
                <w:noProof/>
                <w:sz w:val="20"/>
              </w:rPr>
              <w:t>0,122</w:t>
            </w:r>
          </w:p>
        </w:tc>
        <w:tc>
          <w:tcPr>
            <w:tcW w:w="868" w:type="dxa"/>
            <w:vAlign w:val="center"/>
          </w:tcPr>
          <w:p>
            <w:pPr>
              <w:spacing w:before="20" w:after="20"/>
              <w:jc w:val="right"/>
              <w:rPr>
                <w:noProof/>
                <w:sz w:val="20"/>
              </w:rPr>
            </w:pPr>
            <w:r>
              <w:rPr>
                <w:noProof/>
                <w:sz w:val="20"/>
              </w:rPr>
              <w:t>0,122</w:t>
            </w:r>
          </w:p>
        </w:tc>
        <w:tc>
          <w:tcPr>
            <w:tcW w:w="868" w:type="dxa"/>
            <w:vAlign w:val="center"/>
          </w:tcPr>
          <w:p>
            <w:pPr>
              <w:spacing w:before="20" w:after="20"/>
              <w:jc w:val="right"/>
              <w:rPr>
                <w:noProof/>
                <w:sz w:val="20"/>
              </w:rPr>
            </w:pPr>
            <w:r>
              <w:rPr>
                <w:noProof/>
                <w:sz w:val="20"/>
              </w:rPr>
              <w:t>0,122</w:t>
            </w: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0,488</w:t>
            </w:r>
          </w:p>
        </w:tc>
      </w:tr>
    </w:tbl>
    <w:p>
      <w:pPr>
        <w:jc w:val="right"/>
        <w:rPr>
          <w:noProof/>
          <w:sz w:val="20"/>
        </w:rPr>
      </w:pPr>
      <w:r>
        <w:rPr>
          <w:noProof/>
          <w:sz w:val="20"/>
        </w:rPr>
        <w:t>En Mio EUR (à la 3</w:t>
      </w:r>
      <w:r>
        <w:rPr>
          <w:noProof/>
          <w:sz w:val="20"/>
          <w:vertAlign w:val="superscript"/>
        </w:rPr>
        <w:t>e</w:t>
      </w:r>
      <w:r>
        <w:rPr>
          <w:noProof/>
          <w:sz w:val="20"/>
        </w:rPr>
        <w:t xml:space="preserve">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b/>
                <w:noProof/>
                <w:sz w:val="20"/>
              </w:rPr>
            </w:pPr>
            <w:r>
              <w:rPr>
                <w:noProof/>
                <w:sz w:val="20"/>
              </w:rPr>
              <w:t>Année</w:t>
            </w:r>
            <w:r>
              <w:rPr>
                <w:noProof/>
                <w:sz w:val="22"/>
              </w:rPr>
              <w:br/>
            </w:r>
            <w:r>
              <w:rPr>
                <w:b/>
                <w:noProof/>
                <w:sz w:val="20"/>
              </w:rPr>
              <w:t>N</w:t>
            </w:r>
            <w:r>
              <w:rPr>
                <w:rStyle w:val="FootnoteReference"/>
                <w:b/>
                <w:noProof/>
                <w:sz w:val="20"/>
              </w:rPr>
              <w:footnoteReference w:id="10"/>
            </w:r>
          </w:p>
          <w:p>
            <w:pPr>
              <w:jc w:val="center"/>
              <w:rPr>
                <w:noProof/>
                <w:sz w:val="20"/>
              </w:rPr>
            </w:pPr>
            <w:r>
              <w:rPr>
                <w:b/>
                <w:noProof/>
                <w:sz w:val="20"/>
              </w:rPr>
              <w:t>2016</w:t>
            </w:r>
          </w:p>
        </w:tc>
        <w:tc>
          <w:tcPr>
            <w:tcW w:w="868" w:type="dxa"/>
            <w:vAlign w:val="center"/>
          </w:tcPr>
          <w:p>
            <w:pPr>
              <w:jc w:val="center"/>
              <w:rPr>
                <w:b/>
                <w:noProof/>
                <w:sz w:val="20"/>
              </w:rPr>
            </w:pPr>
            <w:r>
              <w:rPr>
                <w:noProof/>
                <w:sz w:val="20"/>
              </w:rPr>
              <w:t>Année</w:t>
            </w:r>
            <w:r>
              <w:rPr>
                <w:noProof/>
                <w:sz w:val="22"/>
              </w:rPr>
              <w:br/>
            </w:r>
            <w:r>
              <w:rPr>
                <w:b/>
                <w:noProof/>
                <w:sz w:val="20"/>
              </w:rPr>
              <w:t>N+1</w:t>
            </w:r>
          </w:p>
          <w:p>
            <w:pPr>
              <w:jc w:val="center"/>
              <w:rPr>
                <w:noProof/>
                <w:sz w:val="20"/>
              </w:rPr>
            </w:pPr>
            <w:r>
              <w:rPr>
                <w:b/>
                <w:noProof/>
                <w:sz w:val="20"/>
              </w:rPr>
              <w:t>2017</w:t>
            </w:r>
          </w:p>
        </w:tc>
        <w:tc>
          <w:tcPr>
            <w:tcW w:w="868" w:type="dxa"/>
            <w:vAlign w:val="center"/>
          </w:tcPr>
          <w:p>
            <w:pPr>
              <w:jc w:val="center"/>
              <w:rPr>
                <w:b/>
                <w:noProof/>
                <w:sz w:val="20"/>
              </w:rPr>
            </w:pPr>
            <w:r>
              <w:rPr>
                <w:noProof/>
                <w:sz w:val="20"/>
              </w:rPr>
              <w:t>Année</w:t>
            </w:r>
            <w:r>
              <w:rPr>
                <w:noProof/>
                <w:sz w:val="22"/>
              </w:rPr>
              <w:br/>
            </w:r>
            <w:r>
              <w:rPr>
                <w:b/>
                <w:noProof/>
                <w:sz w:val="20"/>
              </w:rPr>
              <w:t>N+2</w:t>
            </w:r>
          </w:p>
          <w:p>
            <w:pPr>
              <w:jc w:val="center"/>
              <w:rPr>
                <w:noProof/>
                <w:sz w:val="20"/>
              </w:rPr>
            </w:pPr>
            <w:r>
              <w:rPr>
                <w:b/>
                <w:noProof/>
                <w:sz w:val="20"/>
              </w:rPr>
              <w:t>2018</w:t>
            </w:r>
          </w:p>
        </w:tc>
        <w:tc>
          <w:tcPr>
            <w:tcW w:w="868" w:type="dxa"/>
            <w:vAlign w:val="center"/>
          </w:tcPr>
          <w:p>
            <w:pPr>
              <w:jc w:val="center"/>
              <w:rPr>
                <w:b/>
                <w:noProof/>
                <w:sz w:val="20"/>
              </w:rPr>
            </w:pPr>
            <w:r>
              <w:rPr>
                <w:noProof/>
                <w:sz w:val="20"/>
              </w:rPr>
              <w:t>Année</w:t>
            </w:r>
            <w:r>
              <w:rPr>
                <w:noProof/>
                <w:sz w:val="22"/>
              </w:rPr>
              <w:br/>
            </w:r>
            <w:r>
              <w:rPr>
                <w:b/>
                <w:noProof/>
                <w:sz w:val="20"/>
              </w:rPr>
              <w:t>N+3</w:t>
            </w:r>
          </w:p>
          <w:p>
            <w:pPr>
              <w:jc w:val="center"/>
              <w:rPr>
                <w:noProof/>
                <w:sz w:val="20"/>
              </w:rPr>
            </w:pPr>
            <w:r>
              <w:rPr>
                <w:b/>
                <w:noProof/>
                <w:sz w:val="20"/>
              </w:rPr>
              <w:t>2019</w:t>
            </w:r>
          </w:p>
        </w:tc>
        <w:tc>
          <w:tcPr>
            <w:tcW w:w="868" w:type="dxa"/>
            <w:vAlign w:val="center"/>
          </w:tcPr>
          <w:p>
            <w:pPr>
              <w:jc w:val="center"/>
              <w:rPr>
                <w:b/>
                <w:noProof/>
                <w:sz w:val="18"/>
              </w:rPr>
            </w:pP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TOTAL des crédits</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noProof/>
                <w:sz w:val="20"/>
              </w:rPr>
            </w:pPr>
            <w:r>
              <w:rPr>
                <w:noProof/>
                <w:sz w:val="20"/>
              </w:rPr>
              <w:t>0,894</w:t>
            </w:r>
          </w:p>
        </w:tc>
        <w:tc>
          <w:tcPr>
            <w:tcW w:w="868" w:type="dxa"/>
            <w:vAlign w:val="center"/>
          </w:tcPr>
          <w:p>
            <w:pPr>
              <w:spacing w:before="60" w:after="60"/>
              <w:jc w:val="right"/>
              <w:rPr>
                <w:noProof/>
                <w:sz w:val="20"/>
              </w:rPr>
            </w:pPr>
            <w:r>
              <w:rPr>
                <w:noProof/>
                <w:sz w:val="20"/>
              </w:rPr>
              <w:t>0,894</w:t>
            </w:r>
          </w:p>
        </w:tc>
        <w:tc>
          <w:tcPr>
            <w:tcW w:w="868" w:type="dxa"/>
            <w:vAlign w:val="center"/>
          </w:tcPr>
          <w:p>
            <w:pPr>
              <w:spacing w:before="60" w:after="60"/>
              <w:jc w:val="right"/>
              <w:rPr>
                <w:noProof/>
                <w:sz w:val="20"/>
              </w:rPr>
            </w:pPr>
            <w:r>
              <w:rPr>
                <w:noProof/>
                <w:sz w:val="20"/>
              </w:rPr>
              <w:t>0,859</w:t>
            </w:r>
          </w:p>
        </w:tc>
        <w:tc>
          <w:tcPr>
            <w:tcW w:w="868" w:type="dxa"/>
            <w:vAlign w:val="center"/>
          </w:tcPr>
          <w:p>
            <w:pPr>
              <w:spacing w:before="60" w:after="60"/>
              <w:jc w:val="right"/>
              <w:rPr>
                <w:noProof/>
                <w:sz w:val="20"/>
              </w:rPr>
            </w:pPr>
            <w:r>
              <w:rPr>
                <w:noProof/>
                <w:sz w:val="20"/>
              </w:rPr>
              <w:t>0,859</w:t>
            </w:r>
          </w:p>
        </w:tc>
        <w:tc>
          <w:tcPr>
            <w:tcW w:w="868" w:type="dxa"/>
            <w:vAlign w:val="center"/>
          </w:tcPr>
          <w:p>
            <w:pPr>
              <w:spacing w:before="60" w:after="60"/>
              <w:jc w:val="right"/>
              <w:rPr>
                <w:noProof/>
                <w:sz w:val="20"/>
              </w:rPr>
            </w:pPr>
          </w:p>
        </w:tc>
        <w:tc>
          <w:tcPr>
            <w:tcW w:w="1777" w:type="dxa"/>
            <w:vAlign w:val="center"/>
          </w:tcPr>
          <w:p>
            <w:pPr>
              <w:spacing w:before="60" w:after="60"/>
              <w:jc w:val="right"/>
              <w:rPr>
                <w:b/>
                <w:noProof/>
                <w:sz w:val="20"/>
              </w:rPr>
            </w:pPr>
            <w:r>
              <w:rPr>
                <w:b/>
                <w:noProof/>
                <w:sz w:val="20"/>
              </w:rPr>
              <w:t>3,506</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noProof/>
                <w:sz w:val="20"/>
              </w:rPr>
            </w:pPr>
            <w:r>
              <w:rPr>
                <w:noProof/>
                <w:sz w:val="20"/>
              </w:rPr>
              <w:t>0,894</w:t>
            </w:r>
          </w:p>
        </w:tc>
        <w:tc>
          <w:tcPr>
            <w:tcW w:w="868" w:type="dxa"/>
            <w:vAlign w:val="center"/>
          </w:tcPr>
          <w:p>
            <w:pPr>
              <w:spacing w:before="60" w:after="60"/>
              <w:jc w:val="right"/>
              <w:rPr>
                <w:noProof/>
                <w:sz w:val="20"/>
              </w:rPr>
            </w:pPr>
            <w:r>
              <w:rPr>
                <w:noProof/>
                <w:sz w:val="20"/>
              </w:rPr>
              <w:t>0,894</w:t>
            </w:r>
          </w:p>
        </w:tc>
        <w:tc>
          <w:tcPr>
            <w:tcW w:w="868" w:type="dxa"/>
            <w:vAlign w:val="center"/>
          </w:tcPr>
          <w:p>
            <w:pPr>
              <w:spacing w:before="60" w:after="60"/>
              <w:jc w:val="right"/>
              <w:rPr>
                <w:noProof/>
                <w:sz w:val="20"/>
              </w:rPr>
            </w:pPr>
            <w:r>
              <w:rPr>
                <w:noProof/>
                <w:sz w:val="20"/>
              </w:rPr>
              <w:t>0,859</w:t>
            </w:r>
          </w:p>
        </w:tc>
        <w:tc>
          <w:tcPr>
            <w:tcW w:w="868" w:type="dxa"/>
            <w:vAlign w:val="center"/>
          </w:tcPr>
          <w:p>
            <w:pPr>
              <w:spacing w:before="60" w:after="60"/>
              <w:jc w:val="right"/>
              <w:rPr>
                <w:noProof/>
                <w:sz w:val="20"/>
              </w:rPr>
            </w:pPr>
            <w:r>
              <w:rPr>
                <w:noProof/>
                <w:sz w:val="20"/>
              </w:rPr>
              <w:t>0,859</w:t>
            </w:r>
          </w:p>
        </w:tc>
        <w:tc>
          <w:tcPr>
            <w:tcW w:w="868" w:type="dxa"/>
            <w:vAlign w:val="center"/>
          </w:tcPr>
          <w:p>
            <w:pPr>
              <w:spacing w:before="60" w:after="60"/>
              <w:jc w:val="right"/>
              <w:rPr>
                <w:noProof/>
                <w:sz w:val="20"/>
              </w:rPr>
            </w:pPr>
          </w:p>
        </w:tc>
        <w:tc>
          <w:tcPr>
            <w:tcW w:w="1777" w:type="dxa"/>
            <w:vAlign w:val="center"/>
          </w:tcPr>
          <w:p>
            <w:pPr>
              <w:spacing w:before="60" w:after="60"/>
              <w:jc w:val="right"/>
              <w:rPr>
                <w:b/>
                <w:noProof/>
                <w:sz w:val="20"/>
              </w:rPr>
            </w:pPr>
            <w:r>
              <w:rPr>
                <w:b/>
                <w:noProof/>
                <w:sz w:val="20"/>
              </w:rPr>
              <w:t>3,506</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Incidence estimée sur les crédits opérationnels </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t>X</w:t>
      </w:r>
      <w:r>
        <w:rPr>
          <w:noProof/>
        </w:rPr>
        <w:tab/>
        <w:t>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xml:space="preserve">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12"/>
        <w:gridCol w:w="420"/>
        <w:gridCol w:w="720"/>
        <w:gridCol w:w="60"/>
        <w:gridCol w:w="48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b/>
                <w:noProof/>
                <w:sz w:val="18"/>
              </w:rPr>
            </w:pPr>
            <w:r>
              <w:rPr>
                <w:noProof/>
                <w:sz w:val="18"/>
              </w:rPr>
              <w:t>Année</w:t>
            </w:r>
            <w:r>
              <w:rPr>
                <w:noProof/>
                <w:sz w:val="22"/>
              </w:rPr>
              <w:br/>
            </w:r>
            <w:r>
              <w:rPr>
                <w:b/>
                <w:noProof/>
                <w:sz w:val="18"/>
              </w:rPr>
              <w:t>N</w:t>
            </w:r>
          </w:p>
          <w:p>
            <w:pPr>
              <w:ind w:right="-29"/>
              <w:jc w:val="center"/>
              <w:rPr>
                <w:noProof/>
                <w:sz w:val="18"/>
                <w:szCs w:val="18"/>
              </w:rPr>
            </w:pPr>
            <w:r>
              <w:rPr>
                <w:b/>
                <w:noProof/>
                <w:sz w:val="18"/>
              </w:rPr>
              <w:t>2016</w:t>
            </w:r>
          </w:p>
        </w:tc>
        <w:tc>
          <w:tcPr>
            <w:tcW w:w="1260" w:type="dxa"/>
            <w:gridSpan w:val="2"/>
            <w:vAlign w:val="center"/>
          </w:tcPr>
          <w:p>
            <w:pPr>
              <w:ind w:right="-29"/>
              <w:jc w:val="center"/>
              <w:rPr>
                <w:b/>
                <w:noProof/>
                <w:sz w:val="18"/>
              </w:rPr>
            </w:pPr>
            <w:r>
              <w:rPr>
                <w:noProof/>
                <w:sz w:val="18"/>
              </w:rPr>
              <w:t>Année</w:t>
            </w:r>
            <w:r>
              <w:rPr>
                <w:noProof/>
                <w:sz w:val="22"/>
              </w:rPr>
              <w:br/>
            </w:r>
            <w:r>
              <w:rPr>
                <w:b/>
                <w:noProof/>
                <w:sz w:val="18"/>
              </w:rPr>
              <w:t>N+1</w:t>
            </w:r>
          </w:p>
          <w:p>
            <w:pPr>
              <w:ind w:right="-29"/>
              <w:jc w:val="center"/>
              <w:rPr>
                <w:noProof/>
                <w:sz w:val="18"/>
                <w:szCs w:val="18"/>
              </w:rPr>
            </w:pPr>
            <w:r>
              <w:rPr>
                <w:b/>
                <w:noProof/>
                <w:sz w:val="18"/>
              </w:rPr>
              <w:t>2017</w:t>
            </w:r>
          </w:p>
        </w:tc>
        <w:tc>
          <w:tcPr>
            <w:tcW w:w="1440" w:type="dxa"/>
            <w:gridSpan w:val="2"/>
            <w:vAlign w:val="center"/>
          </w:tcPr>
          <w:p>
            <w:pPr>
              <w:ind w:right="-29"/>
              <w:jc w:val="center"/>
              <w:rPr>
                <w:b/>
                <w:noProof/>
                <w:sz w:val="18"/>
              </w:rPr>
            </w:pPr>
            <w:r>
              <w:rPr>
                <w:noProof/>
                <w:sz w:val="18"/>
              </w:rPr>
              <w:t>Année</w:t>
            </w:r>
            <w:r>
              <w:rPr>
                <w:noProof/>
                <w:sz w:val="22"/>
              </w:rPr>
              <w:br/>
            </w:r>
            <w:r>
              <w:rPr>
                <w:b/>
                <w:noProof/>
                <w:sz w:val="18"/>
              </w:rPr>
              <w:t>N+2</w:t>
            </w:r>
          </w:p>
          <w:p>
            <w:pPr>
              <w:ind w:right="-29"/>
              <w:jc w:val="center"/>
              <w:rPr>
                <w:noProof/>
                <w:sz w:val="18"/>
                <w:szCs w:val="18"/>
              </w:rPr>
            </w:pPr>
            <w:r>
              <w:rPr>
                <w:b/>
                <w:noProof/>
                <w:sz w:val="18"/>
              </w:rPr>
              <w:t>2018</w:t>
            </w:r>
          </w:p>
        </w:tc>
        <w:tc>
          <w:tcPr>
            <w:tcW w:w="1620" w:type="dxa"/>
            <w:gridSpan w:val="3"/>
            <w:vAlign w:val="center"/>
          </w:tcPr>
          <w:p>
            <w:pPr>
              <w:ind w:right="-29"/>
              <w:jc w:val="center"/>
              <w:rPr>
                <w:b/>
                <w:noProof/>
                <w:sz w:val="18"/>
              </w:rPr>
            </w:pPr>
            <w:r>
              <w:rPr>
                <w:noProof/>
                <w:sz w:val="18"/>
              </w:rPr>
              <w:t>Année</w:t>
            </w:r>
            <w:r>
              <w:rPr>
                <w:noProof/>
                <w:sz w:val="22"/>
              </w:rPr>
              <w:br/>
            </w:r>
            <w:r>
              <w:rPr>
                <w:b/>
                <w:noProof/>
                <w:sz w:val="18"/>
              </w:rPr>
              <w:t>N+3</w:t>
            </w:r>
          </w:p>
          <w:p>
            <w:pPr>
              <w:ind w:right="-29"/>
              <w:jc w:val="center"/>
              <w:rPr>
                <w:noProof/>
                <w:sz w:val="18"/>
                <w:szCs w:val="18"/>
              </w:rPr>
            </w:pPr>
            <w:r>
              <w:rPr>
                <w:b/>
                <w:noProof/>
                <w:sz w:val="18"/>
              </w:rPr>
              <w:t>2019</w:t>
            </w:r>
          </w:p>
        </w:tc>
        <w:tc>
          <w:tcPr>
            <w:tcW w:w="1200" w:type="dxa"/>
            <w:gridSpan w:val="3"/>
            <w:vAlign w:val="center"/>
          </w:tcPr>
          <w:p>
            <w:pPr>
              <w:jc w:val="center"/>
              <w:rPr>
                <w:noProof/>
                <w:sz w:val="18"/>
                <w:szCs w:val="18"/>
              </w:rPr>
            </w:pPr>
          </w:p>
        </w:tc>
        <w:tc>
          <w:tcPr>
            <w:tcW w:w="1200" w:type="dxa"/>
            <w:gridSpan w:val="3"/>
            <w:vAlign w:val="center"/>
          </w:tcPr>
          <w:p>
            <w:pPr>
              <w:jc w:val="center"/>
              <w:rPr>
                <w:noProof/>
                <w:sz w:val="18"/>
                <w:szCs w:val="18"/>
              </w:rPr>
            </w:pPr>
          </w:p>
        </w:tc>
        <w:tc>
          <w:tcPr>
            <w:tcW w:w="1200" w:type="dxa"/>
            <w:gridSpan w:val="2"/>
            <w:vAlign w:val="center"/>
          </w:tcPr>
          <w:p>
            <w:pPr>
              <w:jc w:val="center"/>
              <w:rPr>
                <w:noProof/>
                <w:sz w:val="18"/>
                <w:szCs w:val="18"/>
              </w:rPr>
            </w:pP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21"/>
            <w:vAlign w:val="center"/>
          </w:tcPr>
          <w:p>
            <w:pPr>
              <w:spacing w:before="60" w:after="60"/>
              <w:ind w:right="-29"/>
              <w:jc w:val="center"/>
              <w:rPr>
                <w:noProof/>
                <w:sz w:val="18"/>
                <w:szCs w:val="18"/>
              </w:rPr>
            </w:pPr>
            <w:r>
              <w:rPr>
                <w:b/>
                <w:noProof/>
                <w:sz w:val="18"/>
              </w:rPr>
              <w:t>RÉALISATIONS (outputs)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11"/>
            </w:r>
          </w:p>
          <w:p>
            <w:pPr>
              <w:spacing w:before="0" w:after="0"/>
              <w:jc w:val="center"/>
              <w:rPr>
                <w:noProof/>
                <w:sz w:val="18"/>
                <w:szCs w:val="18"/>
              </w:rPr>
            </w:pPr>
          </w:p>
        </w:tc>
        <w:tc>
          <w:tcPr>
            <w:tcW w:w="701" w:type="dxa"/>
            <w:vAlign w:val="center"/>
          </w:tcPr>
          <w:p>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432"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pPr>
              <w:jc w:val="center"/>
              <w:rPr>
                <w:noProof/>
                <w:sz w:val="18"/>
                <w:szCs w:val="18"/>
              </w:rPr>
            </w:pPr>
            <w:r>
              <w:rPr>
                <w:noProof/>
                <w:sz w:val="18"/>
              </w:rPr>
              <w:t>Coût total</w:t>
            </w: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 1</w:t>
            </w:r>
            <w:r>
              <w:rPr>
                <w:rStyle w:val="FootnoteReference"/>
                <w:noProof/>
                <w:sz w:val="18"/>
              </w:rPr>
              <w:footnoteReference w:id="12"/>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licences navires</w:t>
            </w:r>
          </w:p>
        </w:tc>
        <w:tc>
          <w:tcPr>
            <w:tcW w:w="720" w:type="dxa"/>
          </w:tcPr>
          <w:p>
            <w:pPr>
              <w:ind w:right="-29"/>
              <w:jc w:val="center"/>
              <w:rPr>
                <w:noProof/>
                <w:sz w:val="18"/>
                <w:szCs w:val="18"/>
              </w:rPr>
            </w:pPr>
            <w:r>
              <w:rPr>
                <w:noProof/>
                <w:sz w:val="18"/>
              </w:rPr>
              <w:t>t/an</w:t>
            </w:r>
          </w:p>
        </w:tc>
        <w:tc>
          <w:tcPr>
            <w:tcW w:w="701" w:type="dxa"/>
          </w:tcPr>
          <w:p>
            <w:pPr>
              <w:ind w:right="-29"/>
              <w:jc w:val="center"/>
              <w:rPr>
                <w:noProof/>
                <w:sz w:val="18"/>
                <w:szCs w:val="18"/>
              </w:rPr>
            </w:pPr>
            <w:r>
              <w:rPr>
                <w:rStyle w:val="FootnoteReference"/>
                <w:noProof/>
                <w:sz w:val="18"/>
              </w:rPr>
              <w:footnoteReference w:id="13"/>
            </w: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0,385</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0,385</w:t>
            </w: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0,350</w:t>
            </w: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rPr>
              <w:t>0,350</w:t>
            </w: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gridSpan w:val="2"/>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gridSpan w:val="2"/>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rPr>
              <w:t>1,470</w:t>
            </w:r>
          </w:p>
        </w:tc>
      </w:tr>
      <w:tr>
        <w:trPr>
          <w:trHeight w:hRule="exact" w:val="369"/>
          <w:jc w:val="center"/>
        </w:trPr>
        <w:tc>
          <w:tcPr>
            <w:tcW w:w="1423" w:type="dxa"/>
          </w:tcPr>
          <w:p>
            <w:pPr>
              <w:ind w:right="-29"/>
              <w:jc w:val="center"/>
              <w:rPr>
                <w:noProof/>
                <w:sz w:val="18"/>
                <w:szCs w:val="18"/>
              </w:rPr>
            </w:pPr>
            <w:r>
              <w:rPr>
                <w:noProof/>
                <w:sz w:val="18"/>
              </w:rPr>
              <w:t>- sectoriel</w:t>
            </w:r>
          </w:p>
        </w:tc>
        <w:tc>
          <w:tcPr>
            <w:tcW w:w="720" w:type="dxa"/>
          </w:tcPr>
          <w:p>
            <w:pPr>
              <w:ind w:right="-29"/>
              <w:jc w:val="center"/>
              <w:rPr>
                <w:noProof/>
                <w:sz w:val="18"/>
                <w:szCs w:val="18"/>
              </w:rPr>
            </w:pPr>
            <w:r>
              <w:rPr>
                <w:noProof/>
                <w:sz w:val="18"/>
              </w:rPr>
              <w:t>annuel</w:t>
            </w:r>
          </w:p>
        </w:tc>
        <w:tc>
          <w:tcPr>
            <w:tcW w:w="701" w:type="dxa"/>
          </w:tcPr>
          <w:p>
            <w:pPr>
              <w:ind w:right="-29"/>
              <w:jc w:val="center"/>
              <w:rPr>
                <w:noProof/>
                <w:sz w:val="18"/>
                <w:szCs w:val="18"/>
              </w:rPr>
            </w:pPr>
            <w:r>
              <w:rPr>
                <w:noProof/>
                <w:sz w:val="18"/>
              </w:rPr>
              <w:t>0,325</w:t>
            </w: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0,350</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0,350</w:t>
            </w: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rPr>
              <w:t>0,350</w:t>
            </w: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rPr>
              <w:t>0,350</w:t>
            </w: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gridSpan w:val="2"/>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gridSpan w:val="2"/>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r>
              <w:rPr>
                <w:noProof/>
                <w:sz w:val="18"/>
              </w:rPr>
              <w:t>1,400</w:t>
            </w:r>
          </w:p>
        </w:tc>
      </w:tr>
      <w:tr>
        <w:trPr>
          <w:trHeight w:hRule="exact" w:val="369"/>
          <w:jc w:val="center"/>
        </w:trPr>
        <w:tc>
          <w:tcPr>
            <w:tcW w:w="1423" w:type="dxa"/>
          </w:tcPr>
          <w:p>
            <w:pPr>
              <w:ind w:right="-29"/>
              <w:jc w:val="center"/>
              <w:rPr>
                <w:noProof/>
                <w:sz w:val="18"/>
                <w:szCs w:val="18"/>
              </w:rPr>
            </w:pP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gridSpan w:val="2"/>
          </w:tcPr>
          <w:p>
            <w:pPr>
              <w:ind w:right="-29"/>
              <w:jc w:val="center"/>
              <w:rPr>
                <w:noProof/>
                <w:sz w:val="18"/>
                <w:szCs w:val="18"/>
              </w:rPr>
            </w:pPr>
          </w:p>
        </w:tc>
        <w:tc>
          <w:tcPr>
            <w:tcW w:w="720" w:type="dxa"/>
          </w:tcPr>
          <w:p>
            <w:pPr>
              <w:ind w:right="-29"/>
              <w:jc w:val="center"/>
              <w:rPr>
                <w:noProof/>
                <w:sz w:val="18"/>
                <w:szCs w:val="18"/>
              </w:rPr>
            </w:pPr>
          </w:p>
        </w:tc>
        <w:tc>
          <w:tcPr>
            <w:tcW w:w="540" w:type="dxa"/>
            <w:gridSpan w:val="2"/>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Sous-total objectif spécifique n°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rPr>
              <w:t>0,735</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rPr>
              <w:t>0,735</w:t>
            </w: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rPr>
              <w:t>0,700</w:t>
            </w: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r>
              <w:rPr>
                <w:noProof/>
                <w:sz w:val="18"/>
              </w:rPr>
              <w:t>0,700</w:t>
            </w: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r>
              <w:rPr>
                <w:noProof/>
                <w:sz w:val="18"/>
              </w:rPr>
              <w:t>2,870</w:t>
            </w:r>
          </w:p>
        </w:tc>
      </w:tr>
      <w:tr>
        <w:trPr>
          <w:jc w:val="center"/>
        </w:trPr>
        <w:tc>
          <w:tcPr>
            <w:tcW w:w="2844" w:type="dxa"/>
            <w:gridSpan w:val="3"/>
            <w:vAlign w:val="center"/>
          </w:tcPr>
          <w:p>
            <w:pPr>
              <w:spacing w:before="60" w:after="60"/>
              <w:ind w:right="-29"/>
              <w:jc w:val="center"/>
              <w:rPr>
                <w:noProof/>
                <w:sz w:val="18"/>
                <w:szCs w:val="18"/>
              </w:rPr>
            </w:pPr>
            <w:r>
              <w:rPr>
                <w:noProof/>
                <w:sz w:val="18"/>
              </w:rPr>
              <w:t>OBJECTIF SPÉCIFIQUE n°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gridSpan w:val="2"/>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gridSpan w:val="2"/>
          </w:tcPr>
          <w:p>
            <w:pPr>
              <w:ind w:right="-29"/>
              <w:jc w:val="center"/>
              <w:rPr>
                <w:noProof/>
                <w:sz w:val="18"/>
                <w:szCs w:val="18"/>
              </w:rPr>
            </w:pPr>
          </w:p>
        </w:tc>
        <w:tc>
          <w:tcPr>
            <w:tcW w:w="720" w:type="dxa"/>
          </w:tcPr>
          <w:p>
            <w:pPr>
              <w:ind w:right="-29"/>
              <w:jc w:val="center"/>
              <w:rPr>
                <w:noProof/>
                <w:sz w:val="18"/>
                <w:szCs w:val="18"/>
              </w:rPr>
            </w:pPr>
          </w:p>
        </w:tc>
        <w:tc>
          <w:tcPr>
            <w:tcW w:w="540" w:type="dxa"/>
            <w:gridSpan w:val="2"/>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Sous-total objectif spécifique n°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0,735</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0,735</w:t>
            </w: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0,700</w:t>
            </w: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r>
              <w:rPr>
                <w:noProof/>
                <w:sz w:val="18"/>
              </w:rPr>
              <w:t>0,700</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gridSpan w:val="2"/>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gridSpan w:val="2"/>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rPr>
              <w:t>2,870</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Incidence estimée sur les crédits de nature administrative</w:t>
      </w:r>
    </w:p>
    <w:p>
      <w:pPr>
        <w:pStyle w:val="ManualHeading4"/>
        <w:rPr>
          <w:noProof/>
        </w:rPr>
      </w:pPr>
      <w:r>
        <w:t>3.2.3.1.</w:t>
      </w:r>
      <w:r>
        <w:tab/>
      </w:r>
      <w:r>
        <w:rPr>
          <w:noProof/>
        </w:rPr>
        <w:t xml:space="preserve">Synthèse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rPr>
        <w:t>X</w:t>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xml:space="preserve">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b/>
                <w:noProof/>
                <w:sz w:val="16"/>
              </w:rPr>
            </w:pPr>
            <w:r>
              <w:rPr>
                <w:noProof/>
                <w:sz w:val="16"/>
              </w:rPr>
              <w:t>Année</w:t>
            </w:r>
            <w:r>
              <w:rPr>
                <w:noProof/>
                <w:sz w:val="22"/>
              </w:rPr>
              <w:br/>
            </w:r>
            <w:r>
              <w:rPr>
                <w:b/>
                <w:noProof/>
                <w:sz w:val="16"/>
              </w:rPr>
              <w:t xml:space="preserve">N </w:t>
            </w:r>
            <w:r>
              <w:rPr>
                <w:rStyle w:val="FootnoteReference"/>
                <w:b/>
                <w:noProof/>
                <w:sz w:val="16"/>
              </w:rPr>
              <w:footnoteReference w:id="14"/>
            </w:r>
          </w:p>
          <w:p>
            <w:pPr>
              <w:spacing w:before="60" w:after="60" w:line="200" w:lineRule="exact"/>
              <w:jc w:val="center"/>
              <w:rPr>
                <w:noProof/>
                <w:sz w:val="16"/>
                <w:szCs w:val="16"/>
              </w:rPr>
            </w:pPr>
            <w:r>
              <w:rPr>
                <w:b/>
                <w:noProof/>
                <w:sz w:val="16"/>
              </w:rPr>
              <w:t>2016</w:t>
            </w:r>
          </w:p>
        </w:tc>
        <w:tc>
          <w:tcPr>
            <w:tcW w:w="1080" w:type="dxa"/>
            <w:vAlign w:val="center"/>
          </w:tcPr>
          <w:p>
            <w:pPr>
              <w:spacing w:before="60" w:after="60" w:line="200" w:lineRule="exact"/>
              <w:jc w:val="center"/>
              <w:rPr>
                <w:b/>
                <w:noProof/>
                <w:sz w:val="16"/>
              </w:rPr>
            </w:pPr>
            <w:r>
              <w:rPr>
                <w:noProof/>
                <w:sz w:val="16"/>
              </w:rPr>
              <w:t>Année</w:t>
            </w:r>
            <w:r>
              <w:rPr>
                <w:noProof/>
                <w:sz w:val="22"/>
              </w:rPr>
              <w:br/>
            </w:r>
            <w:r>
              <w:rPr>
                <w:b/>
                <w:noProof/>
                <w:sz w:val="16"/>
              </w:rPr>
              <w:t>N+1</w:t>
            </w:r>
          </w:p>
          <w:p>
            <w:pPr>
              <w:spacing w:before="60" w:after="60" w:line="200" w:lineRule="exact"/>
              <w:jc w:val="center"/>
              <w:rPr>
                <w:noProof/>
                <w:sz w:val="16"/>
                <w:szCs w:val="16"/>
              </w:rPr>
            </w:pPr>
            <w:r>
              <w:rPr>
                <w:b/>
                <w:noProof/>
                <w:sz w:val="16"/>
              </w:rPr>
              <w:t>2017</w:t>
            </w:r>
          </w:p>
        </w:tc>
        <w:tc>
          <w:tcPr>
            <w:tcW w:w="1080" w:type="dxa"/>
            <w:vAlign w:val="center"/>
          </w:tcPr>
          <w:p>
            <w:pPr>
              <w:spacing w:before="60" w:after="60" w:line="200" w:lineRule="exact"/>
              <w:jc w:val="center"/>
              <w:rPr>
                <w:b/>
                <w:noProof/>
                <w:sz w:val="16"/>
              </w:rPr>
            </w:pPr>
            <w:r>
              <w:rPr>
                <w:noProof/>
                <w:sz w:val="16"/>
              </w:rPr>
              <w:t>Année</w:t>
            </w:r>
            <w:r>
              <w:rPr>
                <w:noProof/>
                <w:sz w:val="22"/>
              </w:rPr>
              <w:br/>
            </w:r>
            <w:r>
              <w:rPr>
                <w:b/>
                <w:noProof/>
                <w:sz w:val="16"/>
              </w:rPr>
              <w:t>N+2</w:t>
            </w:r>
          </w:p>
          <w:p>
            <w:pPr>
              <w:spacing w:before="60" w:after="60" w:line="200" w:lineRule="exact"/>
              <w:jc w:val="center"/>
              <w:rPr>
                <w:noProof/>
                <w:sz w:val="16"/>
                <w:szCs w:val="16"/>
              </w:rPr>
            </w:pPr>
            <w:r>
              <w:rPr>
                <w:b/>
                <w:noProof/>
                <w:sz w:val="16"/>
              </w:rPr>
              <w:t>2018</w:t>
            </w:r>
          </w:p>
        </w:tc>
        <w:tc>
          <w:tcPr>
            <w:tcW w:w="1080" w:type="dxa"/>
            <w:vAlign w:val="center"/>
          </w:tcPr>
          <w:p>
            <w:pPr>
              <w:spacing w:before="60" w:after="60" w:line="200" w:lineRule="exact"/>
              <w:jc w:val="center"/>
              <w:rPr>
                <w:b/>
                <w:noProof/>
                <w:sz w:val="16"/>
              </w:rPr>
            </w:pPr>
            <w:r>
              <w:rPr>
                <w:noProof/>
                <w:sz w:val="16"/>
              </w:rPr>
              <w:t>Année</w:t>
            </w:r>
            <w:r>
              <w:rPr>
                <w:noProof/>
                <w:sz w:val="22"/>
              </w:rPr>
              <w:br/>
            </w:r>
            <w:r>
              <w:rPr>
                <w:b/>
                <w:noProof/>
                <w:sz w:val="16"/>
              </w:rPr>
              <w:t>N+3</w:t>
            </w:r>
          </w:p>
          <w:p>
            <w:pPr>
              <w:spacing w:before="60" w:after="60" w:line="200" w:lineRule="exact"/>
              <w:jc w:val="center"/>
              <w:rPr>
                <w:noProof/>
                <w:sz w:val="16"/>
                <w:szCs w:val="16"/>
              </w:rPr>
            </w:pPr>
            <w:r>
              <w:rPr>
                <w:b/>
                <w:noProof/>
                <w:sz w:val="16"/>
              </w:rPr>
              <w:t>2019</w:t>
            </w:r>
          </w:p>
        </w:tc>
        <w:tc>
          <w:tcPr>
            <w:tcW w:w="1080" w:type="dxa"/>
            <w:vAlign w:val="center"/>
          </w:tcPr>
          <w:p>
            <w:pPr>
              <w:spacing w:line="200" w:lineRule="exact"/>
              <w:jc w:val="center"/>
              <w:rPr>
                <w:b/>
                <w:noProof/>
                <w:sz w:val="16"/>
                <w:szCs w:val="16"/>
              </w:rPr>
            </w:pPr>
          </w:p>
        </w:tc>
        <w:tc>
          <w:tcPr>
            <w:tcW w:w="1080" w:type="dxa"/>
            <w:vAlign w:val="center"/>
          </w:tcPr>
          <w:p>
            <w:pPr>
              <w:spacing w:line="200" w:lineRule="exact"/>
              <w:jc w:val="center"/>
              <w:rPr>
                <w:b/>
                <w:noProof/>
                <w:sz w:val="16"/>
                <w:szCs w:val="16"/>
              </w:rPr>
            </w:pPr>
          </w:p>
        </w:tc>
        <w:tc>
          <w:tcPr>
            <w:tcW w:w="1080" w:type="dxa"/>
            <w:vAlign w:val="center"/>
          </w:tcPr>
          <w:p>
            <w:pPr>
              <w:spacing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b/>
                <w:noProof/>
                <w:sz w:val="16"/>
              </w:rPr>
              <w:b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r>
              <w:rPr>
                <w:noProof/>
                <w:sz w:val="16"/>
              </w:rPr>
              <w:t>0,113</w:t>
            </w:r>
          </w:p>
        </w:tc>
        <w:tc>
          <w:tcPr>
            <w:tcW w:w="1080" w:type="dxa"/>
            <w:vAlign w:val="center"/>
          </w:tcPr>
          <w:p>
            <w:pPr>
              <w:spacing w:before="60" w:after="60" w:line="200" w:lineRule="exact"/>
              <w:jc w:val="right"/>
              <w:rPr>
                <w:noProof/>
                <w:sz w:val="16"/>
                <w:szCs w:val="16"/>
              </w:rPr>
            </w:pPr>
            <w:r>
              <w:rPr>
                <w:noProof/>
                <w:sz w:val="16"/>
              </w:rPr>
              <w:t>0,113</w:t>
            </w:r>
          </w:p>
        </w:tc>
        <w:tc>
          <w:tcPr>
            <w:tcW w:w="1080" w:type="dxa"/>
            <w:vAlign w:val="center"/>
          </w:tcPr>
          <w:p>
            <w:pPr>
              <w:spacing w:before="60" w:after="60" w:line="200" w:lineRule="exact"/>
              <w:jc w:val="right"/>
              <w:rPr>
                <w:noProof/>
                <w:sz w:val="16"/>
                <w:szCs w:val="16"/>
              </w:rPr>
            </w:pPr>
            <w:r>
              <w:rPr>
                <w:noProof/>
                <w:sz w:val="16"/>
              </w:rPr>
              <w:t>0,113</w:t>
            </w:r>
          </w:p>
        </w:tc>
        <w:tc>
          <w:tcPr>
            <w:tcW w:w="1080" w:type="dxa"/>
            <w:vAlign w:val="center"/>
          </w:tcPr>
          <w:p>
            <w:pPr>
              <w:spacing w:before="60" w:after="60" w:line="200" w:lineRule="exact"/>
              <w:jc w:val="right"/>
              <w:rPr>
                <w:noProof/>
                <w:sz w:val="16"/>
                <w:szCs w:val="16"/>
              </w:rPr>
            </w:pPr>
            <w:r>
              <w:rPr>
                <w:noProof/>
                <w:sz w:val="16"/>
              </w:rPr>
              <w:t>0,113</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0,452</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r>
              <w:rPr>
                <w:noProof/>
                <w:sz w:val="16"/>
              </w:rPr>
              <w:t>0,009</w:t>
            </w:r>
          </w:p>
        </w:tc>
        <w:tc>
          <w:tcPr>
            <w:tcW w:w="1080" w:type="dxa"/>
            <w:vAlign w:val="center"/>
          </w:tcPr>
          <w:p>
            <w:pPr>
              <w:spacing w:before="60" w:after="60" w:line="200" w:lineRule="exact"/>
              <w:jc w:val="right"/>
              <w:rPr>
                <w:noProof/>
                <w:sz w:val="16"/>
                <w:szCs w:val="16"/>
              </w:rPr>
            </w:pPr>
            <w:r>
              <w:rPr>
                <w:noProof/>
                <w:sz w:val="16"/>
              </w:rPr>
              <w:t>0,009</w:t>
            </w:r>
          </w:p>
        </w:tc>
        <w:tc>
          <w:tcPr>
            <w:tcW w:w="1080" w:type="dxa"/>
            <w:vAlign w:val="center"/>
          </w:tcPr>
          <w:p>
            <w:pPr>
              <w:spacing w:before="60" w:after="60" w:line="200" w:lineRule="exact"/>
              <w:jc w:val="right"/>
              <w:rPr>
                <w:noProof/>
                <w:sz w:val="16"/>
                <w:szCs w:val="16"/>
              </w:rPr>
            </w:pPr>
            <w:r>
              <w:rPr>
                <w:noProof/>
                <w:sz w:val="16"/>
              </w:rPr>
              <w:t>0,009</w:t>
            </w:r>
          </w:p>
        </w:tc>
        <w:tc>
          <w:tcPr>
            <w:tcW w:w="1080" w:type="dxa"/>
            <w:vAlign w:val="center"/>
          </w:tcPr>
          <w:p>
            <w:pPr>
              <w:spacing w:before="60" w:after="60" w:line="200" w:lineRule="exact"/>
              <w:jc w:val="right"/>
              <w:rPr>
                <w:noProof/>
                <w:sz w:val="16"/>
                <w:szCs w:val="16"/>
              </w:rPr>
            </w:pPr>
            <w:r>
              <w:rPr>
                <w:noProof/>
                <w:sz w:val="16"/>
              </w:rPr>
              <w:t>0,009</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0,036</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5</w:t>
            </w:r>
            <w:r>
              <w:rPr>
                <w:b/>
                <w:noProof/>
                <w:sz w:val="16"/>
              </w:rPr>
              <w:br/>
              <w:t xml:space="preserve">du cadre financier pluriannuel </w:t>
            </w:r>
          </w:p>
        </w:tc>
        <w:tc>
          <w:tcPr>
            <w:tcW w:w="1080" w:type="dxa"/>
            <w:vAlign w:val="center"/>
          </w:tcPr>
          <w:p>
            <w:pPr>
              <w:spacing w:before="60" w:after="60" w:line="200" w:lineRule="exact"/>
              <w:jc w:val="right"/>
              <w:rPr>
                <w:noProof/>
                <w:sz w:val="16"/>
                <w:szCs w:val="16"/>
              </w:rPr>
            </w:pPr>
            <w:r>
              <w:rPr>
                <w:noProof/>
                <w:sz w:val="16"/>
              </w:rPr>
              <w:t>0,122</w:t>
            </w:r>
          </w:p>
        </w:tc>
        <w:tc>
          <w:tcPr>
            <w:tcW w:w="1080" w:type="dxa"/>
            <w:vAlign w:val="center"/>
          </w:tcPr>
          <w:p>
            <w:pPr>
              <w:spacing w:before="60" w:after="60" w:line="200" w:lineRule="exact"/>
              <w:jc w:val="right"/>
              <w:rPr>
                <w:noProof/>
                <w:sz w:val="16"/>
                <w:szCs w:val="16"/>
              </w:rPr>
            </w:pPr>
            <w:r>
              <w:rPr>
                <w:noProof/>
                <w:sz w:val="16"/>
              </w:rPr>
              <w:t>0,122</w:t>
            </w:r>
          </w:p>
        </w:tc>
        <w:tc>
          <w:tcPr>
            <w:tcW w:w="1080" w:type="dxa"/>
            <w:vAlign w:val="center"/>
          </w:tcPr>
          <w:p>
            <w:pPr>
              <w:spacing w:before="60" w:after="60" w:line="200" w:lineRule="exact"/>
              <w:jc w:val="right"/>
              <w:rPr>
                <w:noProof/>
                <w:sz w:val="16"/>
                <w:szCs w:val="16"/>
              </w:rPr>
            </w:pPr>
            <w:r>
              <w:rPr>
                <w:noProof/>
                <w:sz w:val="16"/>
              </w:rPr>
              <w:t>0,122</w:t>
            </w:r>
          </w:p>
        </w:tc>
        <w:tc>
          <w:tcPr>
            <w:tcW w:w="1080" w:type="dxa"/>
            <w:vAlign w:val="center"/>
          </w:tcPr>
          <w:p>
            <w:pPr>
              <w:spacing w:before="60" w:after="60" w:line="200" w:lineRule="exact"/>
              <w:jc w:val="right"/>
              <w:rPr>
                <w:noProof/>
                <w:sz w:val="16"/>
                <w:szCs w:val="16"/>
              </w:rPr>
            </w:pPr>
            <w:r>
              <w:rPr>
                <w:noProof/>
                <w:sz w:val="16"/>
              </w:rPr>
              <w:t>0,122</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0,488</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b/>
                <w:noProof/>
                <w:sz w:val="16"/>
              </w:rPr>
              <w:footnoteReference w:id="15"/>
            </w:r>
            <w:r>
              <w:rPr>
                <w:b/>
                <w:noProof/>
                <w:sz w:val="16"/>
              </w:rPr>
              <w:br/>
              <w:t xml:space="preserve">du cadre financier pluriannuel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r>
              <w:rPr>
                <w:noProof/>
                <w:sz w:val="16"/>
              </w:rPr>
              <w:t>0,031</w:t>
            </w:r>
          </w:p>
        </w:tc>
        <w:tc>
          <w:tcPr>
            <w:tcW w:w="1080" w:type="dxa"/>
            <w:vAlign w:val="center"/>
          </w:tcPr>
          <w:p>
            <w:pPr>
              <w:spacing w:before="60" w:after="60" w:line="200" w:lineRule="exact"/>
              <w:jc w:val="right"/>
              <w:rPr>
                <w:noProof/>
                <w:sz w:val="16"/>
                <w:szCs w:val="16"/>
              </w:rPr>
            </w:pPr>
            <w:r>
              <w:rPr>
                <w:noProof/>
                <w:sz w:val="16"/>
              </w:rPr>
              <w:t>0,031</w:t>
            </w:r>
          </w:p>
        </w:tc>
        <w:tc>
          <w:tcPr>
            <w:tcW w:w="1080" w:type="dxa"/>
            <w:vAlign w:val="center"/>
          </w:tcPr>
          <w:p>
            <w:pPr>
              <w:spacing w:before="60" w:after="60" w:line="200" w:lineRule="exact"/>
              <w:jc w:val="right"/>
              <w:rPr>
                <w:noProof/>
                <w:sz w:val="16"/>
                <w:szCs w:val="16"/>
              </w:rPr>
            </w:pPr>
            <w:r>
              <w:rPr>
                <w:noProof/>
                <w:sz w:val="16"/>
              </w:rPr>
              <w:t>0,031</w:t>
            </w:r>
          </w:p>
        </w:tc>
        <w:tc>
          <w:tcPr>
            <w:tcW w:w="1080" w:type="dxa"/>
            <w:vAlign w:val="center"/>
          </w:tcPr>
          <w:p>
            <w:pPr>
              <w:spacing w:before="60" w:after="60" w:line="200" w:lineRule="exact"/>
              <w:jc w:val="right"/>
              <w:rPr>
                <w:noProof/>
                <w:sz w:val="16"/>
                <w:szCs w:val="16"/>
              </w:rPr>
            </w:pPr>
            <w:r>
              <w:rPr>
                <w:noProof/>
                <w:sz w:val="16"/>
              </w:rPr>
              <w:t>0,031</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0,124</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1080" w:type="dxa"/>
            <w:vAlign w:val="center"/>
          </w:tcPr>
          <w:p>
            <w:pPr>
              <w:spacing w:before="60" w:after="60" w:line="200" w:lineRule="exact"/>
              <w:jc w:val="right"/>
              <w:rPr>
                <w:noProof/>
                <w:sz w:val="16"/>
                <w:szCs w:val="16"/>
              </w:rPr>
            </w:pPr>
            <w:r>
              <w:rPr>
                <w:noProof/>
                <w:sz w:val="16"/>
              </w:rPr>
              <w:t>0,006</w:t>
            </w:r>
          </w:p>
        </w:tc>
        <w:tc>
          <w:tcPr>
            <w:tcW w:w="1080" w:type="dxa"/>
            <w:vAlign w:val="center"/>
          </w:tcPr>
          <w:p>
            <w:pPr>
              <w:spacing w:before="60" w:after="60" w:line="200" w:lineRule="exact"/>
              <w:jc w:val="right"/>
              <w:rPr>
                <w:noProof/>
                <w:sz w:val="16"/>
                <w:szCs w:val="16"/>
              </w:rPr>
            </w:pPr>
            <w:r>
              <w:rPr>
                <w:noProof/>
                <w:sz w:val="16"/>
              </w:rPr>
              <w:t>0,006</w:t>
            </w:r>
          </w:p>
        </w:tc>
        <w:tc>
          <w:tcPr>
            <w:tcW w:w="1080" w:type="dxa"/>
            <w:vAlign w:val="center"/>
          </w:tcPr>
          <w:p>
            <w:pPr>
              <w:spacing w:before="60" w:after="60" w:line="200" w:lineRule="exact"/>
              <w:jc w:val="right"/>
              <w:rPr>
                <w:noProof/>
                <w:sz w:val="16"/>
                <w:szCs w:val="16"/>
              </w:rPr>
            </w:pPr>
            <w:r>
              <w:rPr>
                <w:noProof/>
                <w:sz w:val="16"/>
              </w:rPr>
              <w:t>0,006</w:t>
            </w:r>
          </w:p>
        </w:tc>
        <w:tc>
          <w:tcPr>
            <w:tcW w:w="1080" w:type="dxa"/>
            <w:vAlign w:val="center"/>
          </w:tcPr>
          <w:p>
            <w:pPr>
              <w:spacing w:before="60" w:after="60" w:line="200" w:lineRule="exact"/>
              <w:jc w:val="right"/>
              <w:rPr>
                <w:noProof/>
                <w:sz w:val="16"/>
                <w:szCs w:val="16"/>
              </w:rPr>
            </w:pPr>
            <w:r>
              <w:rPr>
                <w:noProof/>
                <w:sz w:val="16"/>
              </w:rPr>
              <w:t>0,006</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0,024</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Sous-total </w:t>
            </w:r>
            <w:r>
              <w:rPr>
                <w:b/>
                <w:noProof/>
                <w:sz w:val="16"/>
              </w:rPr>
              <w:br/>
              <w:t>hors RUBRIQUE 5</w:t>
            </w:r>
            <w:r>
              <w:rPr>
                <w:b/>
                <w:noProof/>
                <w:sz w:val="16"/>
              </w:rPr>
              <w:br/>
              <w:t xml:space="preserve">du cadre financier pluriannuel </w:t>
            </w:r>
          </w:p>
        </w:tc>
        <w:tc>
          <w:tcPr>
            <w:tcW w:w="1080" w:type="dxa"/>
            <w:vAlign w:val="center"/>
          </w:tcPr>
          <w:p>
            <w:pPr>
              <w:spacing w:before="60" w:after="60" w:line="200" w:lineRule="exact"/>
              <w:jc w:val="right"/>
              <w:rPr>
                <w:noProof/>
                <w:sz w:val="16"/>
                <w:szCs w:val="16"/>
              </w:rPr>
            </w:pPr>
            <w:r>
              <w:rPr>
                <w:noProof/>
                <w:sz w:val="16"/>
              </w:rPr>
              <w:t>0,037</w:t>
            </w:r>
          </w:p>
        </w:tc>
        <w:tc>
          <w:tcPr>
            <w:tcW w:w="1080" w:type="dxa"/>
            <w:vAlign w:val="center"/>
          </w:tcPr>
          <w:p>
            <w:pPr>
              <w:spacing w:before="60" w:after="60" w:line="200" w:lineRule="exact"/>
              <w:jc w:val="right"/>
              <w:rPr>
                <w:noProof/>
                <w:sz w:val="16"/>
                <w:szCs w:val="16"/>
              </w:rPr>
            </w:pPr>
            <w:r>
              <w:rPr>
                <w:noProof/>
                <w:sz w:val="16"/>
              </w:rPr>
              <w:t>0,037</w:t>
            </w:r>
          </w:p>
        </w:tc>
        <w:tc>
          <w:tcPr>
            <w:tcW w:w="1080" w:type="dxa"/>
            <w:vAlign w:val="center"/>
          </w:tcPr>
          <w:p>
            <w:pPr>
              <w:spacing w:before="60" w:after="60" w:line="200" w:lineRule="exact"/>
              <w:jc w:val="right"/>
              <w:rPr>
                <w:noProof/>
                <w:sz w:val="16"/>
                <w:szCs w:val="16"/>
              </w:rPr>
            </w:pPr>
            <w:r>
              <w:rPr>
                <w:noProof/>
                <w:sz w:val="16"/>
              </w:rPr>
              <w:t>0,037</w:t>
            </w:r>
          </w:p>
        </w:tc>
        <w:tc>
          <w:tcPr>
            <w:tcW w:w="1080" w:type="dxa"/>
            <w:vAlign w:val="center"/>
          </w:tcPr>
          <w:p>
            <w:pPr>
              <w:spacing w:before="60" w:after="60" w:line="200" w:lineRule="exact"/>
              <w:jc w:val="right"/>
              <w:rPr>
                <w:noProof/>
                <w:sz w:val="16"/>
                <w:szCs w:val="16"/>
              </w:rPr>
            </w:pPr>
            <w:r>
              <w:rPr>
                <w:noProof/>
                <w:sz w:val="16"/>
              </w:rPr>
              <w:t>0,037</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r>
              <w:rPr>
                <w:b/>
                <w:noProof/>
                <w:sz w:val="16"/>
              </w:rPr>
              <w:t>0,148</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0,159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0,159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0,159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0,159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rPr>
              <w:t>0,636</w:t>
            </w:r>
          </w:p>
        </w:tc>
      </w:tr>
    </w:tbl>
    <w:p>
      <w:pPr>
        <w:rPr>
          <w:noProof/>
          <w:sz w:val="18"/>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pStyle w:val="ManualHeading4"/>
        <w:rPr>
          <w:bCs/>
          <w:noProof/>
          <w:szCs w:val="24"/>
        </w:rPr>
      </w:pPr>
      <w:r>
        <w:t>3.2.3.2.</w:t>
      </w:r>
      <w:r>
        <w:tab/>
      </w:r>
      <w:r>
        <w:rPr>
          <w:noProof/>
        </w:rPr>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rPr>
        <w:t>X</w:t>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
        <w:gridCol w:w="1953"/>
        <w:gridCol w:w="1954"/>
        <w:gridCol w:w="655"/>
        <w:gridCol w:w="655"/>
        <w:gridCol w:w="632"/>
        <w:gridCol w:w="710"/>
        <w:gridCol w:w="710"/>
        <w:gridCol w:w="1699"/>
        <w:gridCol w:w="1318"/>
      </w:tblGrid>
      <w:tr>
        <w:trPr>
          <w:gridBefore w:val="1"/>
          <w:wBefore w:w="5"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b/>
                <w:noProof/>
                <w:sz w:val="16"/>
              </w:rPr>
            </w:pPr>
            <w:r>
              <w:rPr>
                <w:noProof/>
                <w:sz w:val="16"/>
              </w:rPr>
              <w:t>Année</w:t>
            </w:r>
            <w:r>
              <w:rPr>
                <w:noProof/>
                <w:sz w:val="22"/>
              </w:rPr>
              <w:br/>
            </w:r>
            <w:r>
              <w:rPr>
                <w:b/>
                <w:noProof/>
                <w:sz w:val="16"/>
              </w:rPr>
              <w:t>N</w:t>
            </w:r>
          </w:p>
          <w:p>
            <w:pPr>
              <w:spacing w:before="20" w:after="20"/>
              <w:jc w:val="center"/>
              <w:rPr>
                <w:noProof/>
                <w:sz w:val="16"/>
                <w:szCs w:val="16"/>
              </w:rPr>
            </w:pPr>
            <w:r>
              <w:rPr>
                <w:b/>
                <w:noProof/>
                <w:sz w:val="16"/>
              </w:rPr>
              <w:t>2016</w:t>
            </w:r>
          </w:p>
        </w:tc>
        <w:tc>
          <w:tcPr>
            <w:tcW w:w="318" w:type="pct"/>
            <w:shd w:val="clear" w:color="auto" w:fill="auto"/>
            <w:vAlign w:val="center"/>
          </w:tcPr>
          <w:p>
            <w:pPr>
              <w:spacing w:before="20" w:after="20"/>
              <w:jc w:val="center"/>
              <w:rPr>
                <w:b/>
                <w:noProof/>
                <w:sz w:val="16"/>
              </w:rPr>
            </w:pPr>
            <w:r>
              <w:rPr>
                <w:noProof/>
                <w:sz w:val="16"/>
              </w:rPr>
              <w:t>Année</w:t>
            </w:r>
            <w:r>
              <w:rPr>
                <w:noProof/>
                <w:sz w:val="22"/>
              </w:rPr>
              <w:br/>
            </w:r>
            <w:r>
              <w:rPr>
                <w:b/>
                <w:noProof/>
                <w:sz w:val="16"/>
              </w:rPr>
              <w:t>N+1</w:t>
            </w:r>
          </w:p>
          <w:p>
            <w:pPr>
              <w:spacing w:before="20" w:after="20"/>
              <w:jc w:val="center"/>
              <w:rPr>
                <w:noProof/>
                <w:sz w:val="16"/>
                <w:szCs w:val="16"/>
              </w:rPr>
            </w:pPr>
            <w:r>
              <w:rPr>
                <w:b/>
                <w:noProof/>
                <w:sz w:val="16"/>
              </w:rPr>
              <w:t>2017</w:t>
            </w:r>
          </w:p>
        </w:tc>
        <w:tc>
          <w:tcPr>
            <w:tcW w:w="307" w:type="pct"/>
            <w:shd w:val="clear" w:color="auto" w:fill="auto"/>
            <w:vAlign w:val="center"/>
          </w:tcPr>
          <w:p>
            <w:pPr>
              <w:spacing w:before="20" w:after="20"/>
              <w:jc w:val="center"/>
              <w:rPr>
                <w:b/>
                <w:noProof/>
                <w:sz w:val="16"/>
                <w:szCs w:val="16"/>
              </w:rPr>
            </w:pPr>
            <w:r>
              <w:rPr>
                <w:noProof/>
                <w:sz w:val="16"/>
              </w:rPr>
              <w:t xml:space="preserve">Année </w:t>
            </w:r>
            <w:r>
              <w:rPr>
                <w:b/>
                <w:noProof/>
                <w:sz w:val="16"/>
              </w:rPr>
              <w:t>N+2</w:t>
            </w:r>
          </w:p>
          <w:p>
            <w:pPr>
              <w:spacing w:before="20" w:after="20"/>
              <w:jc w:val="center"/>
              <w:rPr>
                <w:noProof/>
                <w:sz w:val="16"/>
                <w:szCs w:val="16"/>
              </w:rPr>
            </w:pPr>
            <w:r>
              <w:rPr>
                <w:b/>
                <w:noProof/>
                <w:sz w:val="16"/>
              </w:rPr>
              <w:t>2018</w:t>
            </w:r>
          </w:p>
        </w:tc>
        <w:tc>
          <w:tcPr>
            <w:tcW w:w="345" w:type="pct"/>
            <w:shd w:val="clear" w:color="auto" w:fill="auto"/>
            <w:vAlign w:val="center"/>
          </w:tcPr>
          <w:p>
            <w:pPr>
              <w:spacing w:before="20" w:after="20"/>
              <w:jc w:val="center"/>
              <w:rPr>
                <w:b/>
                <w:noProof/>
                <w:sz w:val="16"/>
                <w:szCs w:val="16"/>
              </w:rPr>
            </w:pPr>
            <w:r>
              <w:rPr>
                <w:noProof/>
                <w:sz w:val="16"/>
              </w:rPr>
              <w:t xml:space="preserve">Année </w:t>
            </w:r>
            <w:r>
              <w:rPr>
                <w:b/>
                <w:noProof/>
                <w:sz w:val="16"/>
              </w:rPr>
              <w:t>N+3</w:t>
            </w:r>
          </w:p>
          <w:p>
            <w:pPr>
              <w:spacing w:before="20" w:after="20"/>
              <w:jc w:val="center"/>
              <w:rPr>
                <w:noProof/>
                <w:sz w:val="16"/>
                <w:szCs w:val="16"/>
              </w:rPr>
            </w:pPr>
            <w:r>
              <w:rPr>
                <w:b/>
                <w:noProof/>
                <w:sz w:val="16"/>
              </w:rPr>
              <w:t>2019</w:t>
            </w:r>
          </w:p>
        </w:tc>
        <w:tc>
          <w:tcPr>
            <w:tcW w:w="345" w:type="pct"/>
            <w:shd w:val="clear" w:color="auto" w:fill="auto"/>
            <w:vAlign w:val="center"/>
          </w:tcPr>
          <w:p>
            <w:pPr>
              <w:spacing w:before="20" w:after="20"/>
              <w:jc w:val="center"/>
              <w:rPr>
                <w:b/>
                <w:noProof/>
                <w:sz w:val="16"/>
                <w:szCs w:val="16"/>
              </w:rPr>
            </w:pPr>
          </w:p>
        </w:tc>
        <w:tc>
          <w:tcPr>
            <w:tcW w:w="825" w:type="pct"/>
            <w:shd w:val="clear" w:color="auto" w:fill="auto"/>
            <w:vAlign w:val="center"/>
          </w:tcPr>
          <w:p>
            <w:pPr>
              <w:jc w:val="center"/>
              <w:rPr>
                <w:b/>
                <w:noProof/>
                <w:sz w:val="16"/>
                <w:szCs w:val="16"/>
              </w:rPr>
            </w:pPr>
          </w:p>
        </w:tc>
        <w:tc>
          <w:tcPr>
            <w:tcW w:w="640" w:type="pct"/>
            <w:shd w:val="clear" w:color="auto" w:fill="auto"/>
            <w:vAlign w:val="center"/>
          </w:tcPr>
          <w:p>
            <w:pPr>
              <w:jc w:val="center"/>
              <w:rPr>
                <w:b/>
                <w:noProof/>
                <w:sz w:val="16"/>
                <w:szCs w:val="16"/>
              </w:rPr>
            </w:pPr>
            <w:r>
              <w:rPr>
                <w:b/>
                <w:noProof/>
                <w:sz w:val="16"/>
              </w:rPr>
              <w:t>TOTAL</w:t>
            </w:r>
          </w:p>
        </w:tc>
      </w:tr>
      <w:tr>
        <w:trPr>
          <w:gridBefore w:val="1"/>
          <w:wBefore w:w="5" w:type="pct"/>
          <w:trHeight w:val="289"/>
          <w:jc w:val="center"/>
        </w:trPr>
        <w:tc>
          <w:tcPr>
            <w:tcW w:w="2840" w:type="pct"/>
            <w:gridSpan w:val="5"/>
            <w:shd w:val="clear" w:color="auto" w:fill="auto"/>
          </w:tcPr>
          <w:p>
            <w:pPr>
              <w:spacing w:before="20" w:after="20"/>
              <w:rPr>
                <w:noProof/>
                <w:sz w:val="16"/>
                <w:szCs w:val="16"/>
              </w:rPr>
            </w:pPr>
            <w:r>
              <w:rPr>
                <w:b/>
                <w:noProof/>
                <w:sz w:val="16"/>
              </w:rPr>
              <w:sym w:font="Wingdings" w:char="F09F"/>
            </w:r>
            <w:r>
              <w:rPr>
                <w:noProof/>
              </w:rPr>
              <w:t xml:space="preserve"> </w:t>
            </w:r>
            <w:r>
              <w:rPr>
                <w:b/>
                <w:noProof/>
                <w:sz w:val="16"/>
              </w:rPr>
              <w:t>Emplois du tableau des effectifs (fonctionnaires et d’agents temporaires)</w:t>
            </w:r>
          </w:p>
        </w:tc>
        <w:tc>
          <w:tcPr>
            <w:tcW w:w="345" w:type="pct"/>
            <w:shd w:val="clear" w:color="auto" w:fill="auto"/>
            <w:vAlign w:val="center"/>
          </w:tcPr>
          <w:p>
            <w:pPr>
              <w:spacing w:before="20" w:after="20"/>
              <w:jc w:val="center"/>
              <w:rPr>
                <w:noProof/>
                <w:sz w:val="16"/>
                <w:szCs w:val="16"/>
              </w:rPr>
            </w:pPr>
          </w:p>
        </w:tc>
        <w:tc>
          <w:tcPr>
            <w:tcW w:w="1810" w:type="pct"/>
            <w:gridSpan w:val="3"/>
            <w:shd w:val="clear" w:color="auto" w:fill="auto"/>
            <w:vAlign w:val="center"/>
          </w:tcPr>
          <w:p>
            <w:pPr>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11 01 01 01 (au siège et dans les bureaux de représentation de la Commission)</w:t>
            </w:r>
          </w:p>
        </w:tc>
        <w:tc>
          <w:tcPr>
            <w:tcW w:w="318" w:type="pct"/>
            <w:shd w:val="clear" w:color="auto" w:fill="auto"/>
            <w:vAlign w:val="center"/>
          </w:tcPr>
          <w:p>
            <w:pPr>
              <w:spacing w:beforeLines="20" w:before="48" w:afterLines="20" w:after="48"/>
              <w:jc w:val="center"/>
              <w:rPr>
                <w:noProof/>
                <w:sz w:val="16"/>
                <w:szCs w:val="16"/>
              </w:rPr>
            </w:pPr>
            <w:r>
              <w:rPr>
                <w:noProof/>
                <w:sz w:val="16"/>
              </w:rPr>
              <w:t>0,099</w:t>
            </w:r>
          </w:p>
        </w:tc>
        <w:tc>
          <w:tcPr>
            <w:tcW w:w="318" w:type="pct"/>
            <w:shd w:val="clear" w:color="auto" w:fill="auto"/>
            <w:vAlign w:val="center"/>
          </w:tcPr>
          <w:p>
            <w:pPr>
              <w:spacing w:beforeLines="20" w:before="48" w:afterLines="20" w:after="48"/>
              <w:jc w:val="center"/>
              <w:rPr>
                <w:noProof/>
                <w:sz w:val="16"/>
                <w:szCs w:val="16"/>
              </w:rPr>
            </w:pPr>
            <w:r>
              <w:rPr>
                <w:noProof/>
                <w:sz w:val="16"/>
              </w:rPr>
              <w:t>0,099</w:t>
            </w:r>
          </w:p>
        </w:tc>
        <w:tc>
          <w:tcPr>
            <w:tcW w:w="307" w:type="pct"/>
            <w:shd w:val="clear" w:color="auto" w:fill="auto"/>
            <w:vAlign w:val="center"/>
          </w:tcPr>
          <w:p>
            <w:pPr>
              <w:spacing w:beforeLines="20" w:before="48" w:afterLines="20" w:after="48"/>
              <w:jc w:val="center"/>
              <w:rPr>
                <w:noProof/>
                <w:sz w:val="16"/>
                <w:szCs w:val="16"/>
              </w:rPr>
            </w:pPr>
            <w:r>
              <w:rPr>
                <w:noProof/>
                <w:sz w:val="16"/>
              </w:rPr>
              <w:t>0,099</w:t>
            </w:r>
          </w:p>
        </w:tc>
        <w:tc>
          <w:tcPr>
            <w:tcW w:w="345" w:type="pct"/>
            <w:shd w:val="clear" w:color="auto" w:fill="auto"/>
            <w:vAlign w:val="center"/>
          </w:tcPr>
          <w:p>
            <w:pPr>
              <w:spacing w:beforeLines="20" w:before="48" w:afterLines="20" w:after="48"/>
              <w:jc w:val="center"/>
              <w:rPr>
                <w:noProof/>
                <w:sz w:val="16"/>
                <w:szCs w:val="16"/>
              </w:rPr>
            </w:pPr>
            <w:r>
              <w:rPr>
                <w:noProof/>
                <w:sz w:val="16"/>
              </w:rPr>
              <w:t>0,099</w:t>
            </w: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r>
              <w:rPr>
                <w:noProof/>
                <w:sz w:val="16"/>
              </w:rPr>
              <w:t>0,396</w:t>
            </w: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11 01 01 02 (en délégation)</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p>
        </w:tc>
      </w:tr>
      <w:tr>
        <w:trPr>
          <w:gridAfter w:val="4"/>
          <w:wAfter w:w="2155" w:type="pct"/>
          <w:trHeight w:val="248"/>
          <w:jc w:val="center"/>
        </w:trPr>
        <w:tc>
          <w:tcPr>
            <w:tcW w:w="2845"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noProof/>
              </w:rPr>
              <w:tab/>
            </w:r>
            <w:r>
              <w:rPr>
                <w:b/>
                <w:noProof/>
                <w:sz w:val="16"/>
              </w:rPr>
              <w:t>Personnel externe (en équivalents temps plein: ETP)</w:t>
            </w:r>
            <w:r>
              <w:rPr>
                <w:rStyle w:val="FootnoteReference"/>
                <w:b/>
                <w:noProof/>
                <w:sz w:val="16"/>
              </w:rPr>
              <w:footnoteReference w:id="16"/>
            </w:r>
          </w:p>
          <w:p>
            <w:pPr>
              <w:pStyle w:val="Text1"/>
              <w:spacing w:before="0" w:after="0"/>
              <w:ind w:left="0"/>
              <w:jc w:val="left"/>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318" w:type="pct"/>
            <w:shd w:val="clear" w:color="auto" w:fill="auto"/>
            <w:vAlign w:val="center"/>
          </w:tcPr>
          <w:p>
            <w:pPr>
              <w:spacing w:beforeLines="20" w:before="48" w:afterLines="20" w:after="48"/>
              <w:jc w:val="center"/>
              <w:rPr>
                <w:noProof/>
                <w:sz w:val="16"/>
                <w:szCs w:val="16"/>
              </w:rPr>
            </w:pPr>
            <w:r>
              <w:rPr>
                <w:noProof/>
                <w:sz w:val="16"/>
              </w:rPr>
              <w:t>0,014</w:t>
            </w:r>
          </w:p>
        </w:tc>
        <w:tc>
          <w:tcPr>
            <w:tcW w:w="318" w:type="pct"/>
            <w:shd w:val="clear" w:color="auto" w:fill="auto"/>
            <w:vAlign w:val="center"/>
          </w:tcPr>
          <w:p>
            <w:pPr>
              <w:spacing w:beforeLines="20" w:before="48" w:afterLines="20" w:after="48"/>
              <w:jc w:val="center"/>
              <w:rPr>
                <w:noProof/>
                <w:sz w:val="16"/>
                <w:szCs w:val="16"/>
              </w:rPr>
            </w:pPr>
            <w:r>
              <w:rPr>
                <w:noProof/>
                <w:sz w:val="16"/>
              </w:rPr>
              <w:t>0,014</w:t>
            </w:r>
          </w:p>
        </w:tc>
        <w:tc>
          <w:tcPr>
            <w:tcW w:w="307" w:type="pct"/>
            <w:shd w:val="clear" w:color="auto" w:fill="auto"/>
            <w:vAlign w:val="center"/>
          </w:tcPr>
          <w:p>
            <w:pPr>
              <w:spacing w:beforeLines="20" w:before="48" w:afterLines="20" w:after="48"/>
              <w:jc w:val="center"/>
              <w:rPr>
                <w:noProof/>
                <w:sz w:val="16"/>
                <w:szCs w:val="16"/>
              </w:rPr>
            </w:pPr>
            <w:r>
              <w:rPr>
                <w:noProof/>
                <w:sz w:val="16"/>
              </w:rPr>
              <w:t>0,014</w:t>
            </w:r>
          </w:p>
        </w:tc>
        <w:tc>
          <w:tcPr>
            <w:tcW w:w="345" w:type="pct"/>
            <w:shd w:val="clear" w:color="auto" w:fill="auto"/>
            <w:vAlign w:val="center"/>
          </w:tcPr>
          <w:p>
            <w:pPr>
              <w:spacing w:beforeLines="20" w:before="48" w:afterLines="20" w:after="48"/>
              <w:jc w:val="center"/>
              <w:rPr>
                <w:noProof/>
                <w:sz w:val="16"/>
                <w:szCs w:val="16"/>
              </w:rPr>
            </w:pPr>
            <w:r>
              <w:rPr>
                <w:noProof/>
                <w:sz w:val="16"/>
              </w:rPr>
              <w:t>0,014</w:t>
            </w: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r>
              <w:rPr>
                <w:noProof/>
                <w:sz w:val="16"/>
              </w:rPr>
              <w:t>0,056</w:t>
            </w: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JED dans les délégations)</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noProof/>
                <w:sz w:val="16"/>
              </w:rPr>
              <w:t>11 01 04 01</w:t>
            </w:r>
            <w:r>
              <w:rPr>
                <w:b/>
                <w:i/>
                <w:noProof/>
                <w:sz w:val="16"/>
              </w:rPr>
              <w:t xml:space="preserve"> </w:t>
            </w:r>
            <w:r>
              <w:rPr>
                <w:rStyle w:val="FootnoteReference"/>
                <w:b/>
                <w:i/>
                <w:noProof/>
                <w:sz w:val="16"/>
              </w:rPr>
              <w:footnoteReference w:id="17"/>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318" w:type="pct"/>
            <w:shd w:val="clear" w:color="auto" w:fill="auto"/>
            <w:vAlign w:val="center"/>
          </w:tcPr>
          <w:p>
            <w:pPr>
              <w:pStyle w:val="Text1"/>
              <w:spacing w:beforeLines="20" w:before="48" w:afterLines="20" w:after="48"/>
              <w:ind w:left="0"/>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318" w:type="pct"/>
            <w:shd w:val="clear" w:color="auto" w:fill="auto"/>
            <w:vAlign w:val="center"/>
          </w:tcPr>
          <w:p>
            <w:pPr>
              <w:pStyle w:val="Text1"/>
              <w:spacing w:beforeLines="20" w:before="48" w:afterLines="20" w:after="48"/>
              <w:ind w:left="0"/>
              <w:rPr>
                <w:noProof/>
                <w:sz w:val="16"/>
                <w:szCs w:val="16"/>
              </w:rPr>
            </w:pPr>
            <w:r>
              <w:rPr>
                <w:noProof/>
                <w:sz w:val="16"/>
              </w:rPr>
              <w:t>0,031</w:t>
            </w:r>
          </w:p>
        </w:tc>
        <w:tc>
          <w:tcPr>
            <w:tcW w:w="318" w:type="pct"/>
            <w:shd w:val="clear" w:color="auto" w:fill="auto"/>
            <w:vAlign w:val="center"/>
          </w:tcPr>
          <w:p>
            <w:pPr>
              <w:spacing w:beforeLines="20" w:before="48" w:afterLines="20" w:after="48"/>
              <w:jc w:val="center"/>
              <w:rPr>
                <w:noProof/>
                <w:sz w:val="16"/>
                <w:szCs w:val="16"/>
              </w:rPr>
            </w:pPr>
            <w:r>
              <w:rPr>
                <w:noProof/>
                <w:sz w:val="16"/>
              </w:rPr>
              <w:t>0,031</w:t>
            </w:r>
          </w:p>
        </w:tc>
        <w:tc>
          <w:tcPr>
            <w:tcW w:w="307" w:type="pct"/>
            <w:shd w:val="clear" w:color="auto" w:fill="auto"/>
            <w:vAlign w:val="center"/>
          </w:tcPr>
          <w:p>
            <w:pPr>
              <w:spacing w:beforeLines="20" w:before="48" w:afterLines="20" w:after="48"/>
              <w:jc w:val="center"/>
              <w:rPr>
                <w:noProof/>
                <w:sz w:val="16"/>
                <w:szCs w:val="16"/>
              </w:rPr>
            </w:pPr>
            <w:r>
              <w:rPr>
                <w:noProof/>
                <w:sz w:val="16"/>
              </w:rPr>
              <w:t>0,031</w:t>
            </w:r>
          </w:p>
        </w:tc>
        <w:tc>
          <w:tcPr>
            <w:tcW w:w="345" w:type="pct"/>
            <w:shd w:val="clear" w:color="auto" w:fill="auto"/>
            <w:vAlign w:val="center"/>
          </w:tcPr>
          <w:p>
            <w:pPr>
              <w:spacing w:beforeLines="20" w:before="48" w:afterLines="20" w:after="48"/>
              <w:jc w:val="center"/>
              <w:rPr>
                <w:noProof/>
                <w:sz w:val="16"/>
                <w:szCs w:val="16"/>
              </w:rPr>
            </w:pPr>
            <w:r>
              <w:rPr>
                <w:noProof/>
                <w:sz w:val="16"/>
              </w:rPr>
              <w:t>0,031</w:t>
            </w: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r>
              <w:rPr>
                <w:noProof/>
                <w:sz w:val="16"/>
              </w:rPr>
              <w:t>0,124</w:t>
            </w: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rPr>
              <w:t xml:space="preserve"> 01 05 02 (AC, END, INT sur recherche indirecte)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sur recherche directe)</w:t>
            </w:r>
          </w:p>
        </w:tc>
        <w:tc>
          <w:tcPr>
            <w:tcW w:w="318" w:type="pct"/>
            <w:shd w:val="clear" w:color="auto" w:fill="auto"/>
            <w:vAlign w:val="center"/>
          </w:tcPr>
          <w:p>
            <w:pPr>
              <w:spacing w:beforeLines="20" w:before="48" w:afterLines="20" w:after="48"/>
              <w:jc w:val="center"/>
              <w:rPr>
                <w:noProof/>
                <w:sz w:val="16"/>
                <w:szCs w:val="16"/>
              </w:rPr>
            </w:pPr>
          </w:p>
        </w:tc>
        <w:tc>
          <w:tcPr>
            <w:tcW w:w="318" w:type="pct"/>
            <w:shd w:val="clear" w:color="auto" w:fill="auto"/>
            <w:vAlign w:val="center"/>
          </w:tcPr>
          <w:p>
            <w:pPr>
              <w:spacing w:beforeLines="20" w:before="48" w:afterLines="20" w:after="48"/>
              <w:jc w:val="center"/>
              <w:rPr>
                <w:noProof/>
                <w:sz w:val="16"/>
                <w:szCs w:val="16"/>
              </w:rPr>
            </w:pPr>
          </w:p>
        </w:tc>
        <w:tc>
          <w:tcPr>
            <w:tcW w:w="307"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345" w:type="pct"/>
            <w:shd w:val="clear" w:color="auto" w:fill="auto"/>
            <w:vAlign w:val="center"/>
          </w:tcPr>
          <w:p>
            <w:pPr>
              <w:spacing w:beforeLines="20" w:before="48" w:afterLines="20" w:after="48"/>
              <w:jc w:val="center"/>
              <w:rPr>
                <w:noProof/>
                <w:sz w:val="16"/>
                <w:szCs w:val="16"/>
              </w:rPr>
            </w:pPr>
          </w:p>
        </w:tc>
        <w:tc>
          <w:tcPr>
            <w:tcW w:w="825" w:type="pct"/>
            <w:shd w:val="clear" w:color="auto" w:fill="auto"/>
            <w:vAlign w:val="center"/>
          </w:tcPr>
          <w:p>
            <w:pPr>
              <w:spacing w:beforeLines="20" w:before="48" w:afterLines="20" w:after="48"/>
              <w:jc w:val="center"/>
              <w:rPr>
                <w:noProof/>
                <w:sz w:val="16"/>
                <w:szCs w:val="16"/>
              </w:rPr>
            </w:pPr>
          </w:p>
        </w:tc>
        <w:tc>
          <w:tcPr>
            <w:tcW w:w="640" w:type="pct"/>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préciser)</w:t>
            </w: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0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4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4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82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40"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5"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0,144</w:t>
            </w:r>
          </w:p>
        </w:tc>
        <w:tc>
          <w:tcPr>
            <w:tcW w:w="31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0,144</w:t>
            </w:r>
          </w:p>
        </w:tc>
        <w:tc>
          <w:tcPr>
            <w:tcW w:w="30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0,144</w:t>
            </w:r>
          </w:p>
        </w:tc>
        <w:tc>
          <w:tcPr>
            <w:tcW w:w="345"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0,144</w:t>
            </w:r>
          </w:p>
        </w:tc>
        <w:tc>
          <w:tcPr>
            <w:tcW w:w="34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825"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40"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0,576</w:t>
            </w:r>
          </w:p>
        </w:tc>
      </w:tr>
    </w:tbl>
    <w:p>
      <w:pPr>
        <w:pStyle w:val="Text1"/>
        <w:spacing w:before="60" w:after="60"/>
        <w:ind w:left="851"/>
        <w:rPr>
          <w:noProof/>
          <w:sz w:val="18"/>
          <w:szCs w:val="18"/>
        </w:rPr>
      </w:pPr>
      <w:r>
        <w:rPr>
          <w:b/>
          <w:noProof/>
          <w:sz w:val="18"/>
        </w:rPr>
        <w:t>XX</w:t>
      </w:r>
      <w:r>
        <w:rPr>
          <w:noProof/>
        </w:rPr>
        <w:t xml:space="preserve">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r>
              <w:rPr>
                <w:noProof/>
                <w:sz w:val="20"/>
              </w:rPr>
              <w:t>Gestion et suivi du processus de (re)négociation de l’APPD et de l’approbation du résultat des négociations par les institutions; gestion de l’APPD en cours, y compris suivi financier et opérationnel permanent; suivi en cours de la mise en œuvre de l’appui sectoriel, gestion des licences.</w:t>
            </w:r>
          </w:p>
          <w:p>
            <w:pPr>
              <w:rPr>
                <w:noProof/>
                <w:sz w:val="20"/>
              </w:rPr>
            </w:pPr>
            <w:r>
              <w:rPr>
                <w:noProof/>
                <w:sz w:val="20"/>
              </w:rPr>
              <w:t>Desk officer DG MARE + CdU ou CdU adj + gestionnaire des licences + secrétariat:</w:t>
            </w:r>
          </w:p>
          <w:p>
            <w:pPr>
              <w:rPr>
                <w:noProof/>
                <w:sz w:val="20"/>
              </w:rPr>
            </w:pPr>
            <w:r>
              <w:rPr>
                <w:noProof/>
                <w:sz w:val="20"/>
              </w:rPr>
              <w:t>Estimé globalement à 0,75 ETP / an</w:t>
            </w:r>
          </w:p>
          <w:p>
            <w:pPr>
              <w:rPr>
                <w:noProof/>
                <w:sz w:val="20"/>
              </w:rPr>
            </w:pPr>
            <w:r>
              <w:rPr>
                <w:noProof/>
                <w:sz w:val="20"/>
              </w:rPr>
              <w:t>Coût unitaire: 132 000 EUR / an</w:t>
            </w:r>
          </w:p>
          <w:p>
            <w:pPr>
              <w:rPr>
                <w:noProof/>
                <w:sz w:val="20"/>
              </w:rPr>
            </w:pPr>
            <w:r>
              <w:rPr>
                <w:noProof/>
                <w:sz w:val="20"/>
              </w:rPr>
              <w:t>Calcul des coûts: 0,75 ETP x 132 000 EUR / an</w:t>
            </w:r>
          </w:p>
          <w:p>
            <w:pPr>
              <w:rPr>
                <w:noProof/>
                <w:sz w:val="20"/>
              </w:rPr>
            </w:pPr>
            <w:r>
              <w:rPr>
                <w:noProof/>
                <w:sz w:val="20"/>
              </w:rPr>
              <w:t>Coût total: 99 000 EUR =&gt; 0,099 Mio EUR</w:t>
            </w:r>
          </w:p>
        </w:tc>
      </w:tr>
      <w:tr>
        <w:tc>
          <w:tcPr>
            <w:tcW w:w="3240" w:type="dxa"/>
          </w:tcPr>
          <w:p>
            <w:pPr>
              <w:spacing w:before="60" w:after="60"/>
              <w:rPr>
                <w:noProof/>
                <w:sz w:val="20"/>
              </w:rPr>
            </w:pPr>
            <w:r>
              <w:rPr>
                <w:noProof/>
                <w:sz w:val="20"/>
              </w:rPr>
              <w:t>Personnel externe</w:t>
            </w:r>
          </w:p>
        </w:tc>
        <w:tc>
          <w:tcPr>
            <w:tcW w:w="7200" w:type="dxa"/>
          </w:tcPr>
          <w:p>
            <w:pPr>
              <w:rPr>
                <w:noProof/>
                <w:sz w:val="20"/>
              </w:rPr>
            </w:pPr>
            <w:r>
              <w:rPr>
                <w:noProof/>
                <w:sz w:val="20"/>
              </w:rPr>
              <w:t>1) Assistant financier DG MARE:</w:t>
            </w:r>
          </w:p>
          <w:p>
            <w:pPr>
              <w:rPr>
                <w:noProof/>
                <w:sz w:val="20"/>
              </w:rPr>
            </w:pPr>
            <w:r>
              <w:rPr>
                <w:noProof/>
                <w:sz w:val="20"/>
              </w:rPr>
              <w:t>Estimé globalement à 0,2 ETP / an</w:t>
            </w:r>
          </w:p>
          <w:p>
            <w:pPr>
              <w:rPr>
                <w:noProof/>
                <w:sz w:val="20"/>
              </w:rPr>
            </w:pPr>
            <w:r>
              <w:rPr>
                <w:noProof/>
                <w:sz w:val="20"/>
              </w:rPr>
              <w:t>Coût unitaire: 70 000 EUR</w:t>
            </w:r>
          </w:p>
          <w:p>
            <w:pPr>
              <w:rPr>
                <w:noProof/>
                <w:sz w:val="20"/>
              </w:rPr>
            </w:pPr>
            <w:r>
              <w:rPr>
                <w:noProof/>
                <w:sz w:val="20"/>
              </w:rPr>
              <w:t>Calcul des coûts: 0,2 ETP x 70 000 EUR / an</w:t>
            </w:r>
          </w:p>
          <w:p>
            <w:pPr>
              <w:rPr>
                <w:noProof/>
                <w:sz w:val="20"/>
              </w:rPr>
            </w:pPr>
            <w:r>
              <w:rPr>
                <w:noProof/>
                <w:sz w:val="20"/>
              </w:rPr>
              <w:t>Coût total: 14 000 EUR =&gt; 0,014 Mio EUR</w:t>
            </w:r>
          </w:p>
          <w:p>
            <w:pPr>
              <w:rPr>
                <w:noProof/>
                <w:sz w:val="20"/>
              </w:rPr>
            </w:pPr>
            <w:r>
              <w:rPr>
                <w:noProof/>
                <w:sz w:val="20"/>
              </w:rPr>
              <w:t>2) Agent contractuel en délégation de l’UE:</w:t>
            </w:r>
          </w:p>
          <w:p>
            <w:pPr>
              <w:rPr>
                <w:noProof/>
                <w:sz w:val="20"/>
              </w:rPr>
            </w:pPr>
            <w:r>
              <w:rPr>
                <w:noProof/>
                <w:sz w:val="20"/>
              </w:rPr>
              <w:t>Estimé globalement à 0,25 ETP/an</w:t>
            </w:r>
          </w:p>
          <w:p>
            <w:pPr>
              <w:rPr>
                <w:noProof/>
                <w:sz w:val="20"/>
              </w:rPr>
            </w:pPr>
            <w:r>
              <w:rPr>
                <w:noProof/>
                <w:sz w:val="20"/>
              </w:rPr>
              <w:t>Coût unitaire: 125 000 EUR</w:t>
            </w:r>
          </w:p>
          <w:p>
            <w:pPr>
              <w:rPr>
                <w:noProof/>
                <w:sz w:val="20"/>
              </w:rPr>
            </w:pPr>
            <w:r>
              <w:rPr>
                <w:noProof/>
                <w:sz w:val="20"/>
              </w:rPr>
              <w:t>Calcul des coûts: 0,25 ETP x 125 000 EUR / an</w:t>
            </w:r>
          </w:p>
          <w:p>
            <w:pPr>
              <w:rPr>
                <w:noProof/>
                <w:sz w:val="20"/>
              </w:rPr>
            </w:pPr>
            <w:r>
              <w:rPr>
                <w:noProof/>
                <w:sz w:val="20"/>
              </w:rPr>
              <w:t>Coût total: 31 250 EUR =&gt; 0,031 Mio EUR</w:t>
            </w: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Compatibilité avec le cadre financier pluriannuel actuel </w:t>
      </w:r>
    </w:p>
    <w:p>
      <w:pPr>
        <w:pStyle w:val="ListDash1"/>
        <w:rPr>
          <w:noProof/>
        </w:rPr>
      </w:pPr>
      <w:r>
        <w:rPr>
          <w:noProof/>
        </w:rPr>
        <w:t>X</w:t>
      </w:r>
      <w:r>
        <w:rPr>
          <w:noProof/>
        </w:rPr>
        <w:tab/>
        <w:t>La proposition/l'initiative est compatible avec le cadre financier pluriannuel actuel.</w:t>
      </w:r>
    </w:p>
    <w:p>
      <w:pPr>
        <w:pStyle w:val="ListDash1"/>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r>
        <w:rPr>
          <w:noProof/>
        </w:rPr>
        <w:sym w:font="Wingdings" w:char="F0A8"/>
      </w:r>
      <w:r>
        <w:rPr>
          <w:noProof/>
        </w:rPr>
        <w:tab/>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3.2.5.</w:t>
      </w:r>
      <w:r>
        <w:tab/>
      </w:r>
      <w:r>
        <w:rPr>
          <w:noProof/>
        </w:rPr>
        <w:t xml:space="preserve">Participation de tiers au financement </w:t>
      </w:r>
    </w:p>
    <w:p>
      <w:pPr>
        <w:pStyle w:val="ListDash1"/>
        <w:rPr>
          <w:noProof/>
        </w:rPr>
      </w:pPr>
      <w:r>
        <w:rPr>
          <w:noProof/>
        </w:rPr>
        <w:t xml:space="preserve">La proposition/l'initiative ne prévoit pas de cofinancement par des tierces parties. </w:t>
      </w:r>
    </w:p>
    <w:p>
      <w:pPr>
        <w:pStyle w:val="ListDash1"/>
        <w:rPr>
          <w:noProof/>
        </w:rPr>
      </w:pPr>
      <w:r>
        <w:rPr>
          <w:noProof/>
        </w:rPr>
        <w:t>La proposition/l'initiative prévoit un cofinancement estimé ci-après:</w:t>
      </w:r>
    </w:p>
    <w:p>
      <w:pPr>
        <w:jc w:val="right"/>
        <w:rPr>
          <w:noProof/>
          <w:sz w:val="20"/>
        </w:rPr>
      </w:pPr>
      <w:r>
        <w:rPr>
          <w:noProof/>
          <w:sz w:val="20"/>
        </w:rPr>
        <w:t>Crédits en Mio EUR (à la 3</w:t>
      </w:r>
      <w:r>
        <w:rPr>
          <w:noProof/>
          <w:sz w:val="20"/>
          <w:vertAlign w:val="superscript"/>
        </w:rPr>
        <w:t>e</w:t>
      </w:r>
      <w:r>
        <w:rPr>
          <w:noProof/>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sz w:val="22"/>
              </w:rPr>
              <w:br/>
            </w:r>
            <w:r>
              <w:rPr>
                <w:b/>
                <w:noProof/>
                <w:sz w:val="20"/>
              </w:rPr>
              <w:t>N</w:t>
            </w:r>
          </w:p>
        </w:tc>
        <w:tc>
          <w:tcPr>
            <w:tcW w:w="964" w:type="dxa"/>
            <w:vAlign w:val="center"/>
          </w:tcPr>
          <w:p>
            <w:pPr>
              <w:jc w:val="center"/>
              <w:rPr>
                <w:noProof/>
                <w:sz w:val="20"/>
              </w:rPr>
            </w:pPr>
            <w:r>
              <w:rPr>
                <w:noProof/>
                <w:sz w:val="20"/>
              </w:rPr>
              <w:t>Année</w:t>
            </w:r>
            <w:r>
              <w:rPr>
                <w:noProof/>
                <w:sz w:val="22"/>
              </w:rPr>
              <w:br/>
            </w:r>
            <w:r>
              <w:rPr>
                <w:b/>
                <w:noProof/>
                <w:sz w:val="20"/>
              </w:rPr>
              <w:t>N+1</w:t>
            </w:r>
          </w:p>
        </w:tc>
        <w:tc>
          <w:tcPr>
            <w:tcW w:w="964" w:type="dxa"/>
            <w:vAlign w:val="center"/>
          </w:tcPr>
          <w:p>
            <w:pPr>
              <w:jc w:val="center"/>
              <w:rPr>
                <w:noProof/>
                <w:sz w:val="20"/>
              </w:rPr>
            </w:pPr>
            <w:r>
              <w:rPr>
                <w:noProof/>
                <w:sz w:val="20"/>
              </w:rPr>
              <w:t>Année</w:t>
            </w:r>
            <w:r>
              <w:rPr>
                <w:noProof/>
                <w:sz w:val="22"/>
              </w:rPr>
              <w:br/>
            </w:r>
            <w:r>
              <w:rPr>
                <w:b/>
                <w:noProof/>
                <w:sz w:val="20"/>
              </w:rPr>
              <w:t>N+2</w:t>
            </w:r>
          </w:p>
        </w:tc>
        <w:tc>
          <w:tcPr>
            <w:tcW w:w="964" w:type="dxa"/>
            <w:vAlign w:val="center"/>
          </w:tcPr>
          <w:p>
            <w:pPr>
              <w:jc w:val="center"/>
              <w:rPr>
                <w:noProof/>
                <w:sz w:val="20"/>
              </w:rPr>
            </w:pPr>
            <w:r>
              <w:rPr>
                <w:noProof/>
                <w:sz w:val="20"/>
              </w:rPr>
              <w:t>Année</w:t>
            </w:r>
            <w:r>
              <w:rPr>
                <w:noProof/>
                <w:sz w:val="22"/>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Incidence estimée sur les recettes </w:t>
      </w:r>
    </w:p>
    <w:p>
      <w:pPr>
        <w:pStyle w:val="ListDash1"/>
        <w:rPr>
          <w:noProof/>
        </w:rPr>
      </w:pPr>
      <w:r>
        <w:rPr>
          <w:noProof/>
        </w:rPr>
        <w:t>X</w:t>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 xml:space="preserve">sur les recettes diverses </w:t>
      </w:r>
    </w:p>
    <w:p>
      <w:pPr>
        <w:jc w:val="right"/>
        <w:rPr>
          <w:i/>
          <w:noProof/>
          <w:sz w:val="20"/>
        </w:rPr>
      </w:pPr>
      <w:r>
        <w:rPr>
          <w:noProof/>
        </w:rPr>
        <w:t>En Mio EUR (à la 3</w:t>
      </w:r>
      <w:r>
        <w:rPr>
          <w:noProof/>
          <w:vertAlign w:val="superscript"/>
        </w:rPr>
        <w:t>e</w:t>
      </w:r>
      <w:r>
        <w:rPr>
          <w:noProof/>
        </w:rPr>
        <w:t xml:space="preserve">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18"/>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Année</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Adoptées au cours de la 3253</w:t>
      </w:r>
      <w:r>
        <w:rPr>
          <w:vertAlign w:val="superscript"/>
        </w:rPr>
        <w:t>e</w:t>
      </w:r>
      <w:r>
        <w:t> réunion du Conseil (Agriculture et pêche) du 15 juillet 2013.</w:t>
      </w:r>
    </w:p>
  </w:footnote>
  <w:footnote w:id="2">
    <w:p>
      <w:pPr>
        <w:pStyle w:val="FootnoteText"/>
        <w:rPr>
          <w:szCs w:val="24"/>
        </w:rPr>
      </w:pPr>
      <w:r>
        <w:rPr>
          <w:rStyle w:val="FootnoteReference"/>
        </w:rPr>
        <w:footnoteRef/>
      </w:r>
      <w:r>
        <w:tab/>
        <w:t>ABM: Activity-Based Management (gestion par activité); ABB: activity-based budgeting (établissement du budget par activité).</w:t>
      </w:r>
    </w:p>
  </w:footnote>
  <w:footnote w:id="3">
    <w:p>
      <w:pPr>
        <w:pStyle w:val="FootnoteText"/>
        <w:rPr>
          <w:szCs w:val="24"/>
        </w:rPr>
      </w:pPr>
      <w:r>
        <w:rPr>
          <w:rStyle w:val="FootnoteReference"/>
        </w:rPr>
        <w:footnoteRef/>
      </w:r>
      <w:r>
        <w:tab/>
        <w:t>Tel(le) que visé(e) à l'article 54, paragraphe 2, point a) ou b), du règlement financier.</w:t>
      </w:r>
    </w:p>
  </w:footnote>
  <w:footnote w:id="4">
    <w:p>
      <w:pPr>
        <w:pStyle w:val="FootnoteText"/>
        <w:rPr>
          <w:szCs w:val="24"/>
        </w:rPr>
      </w:pPr>
      <w:r>
        <w:rPr>
          <w:rStyle w:val="FootnoteReference"/>
        </w:rPr>
        <w:footnoteRef/>
      </w:r>
      <w:r>
        <w:tab/>
        <w:t xml:space="preserve">Les explications sur les modes de gestion ainsi que les références au règlement financier sont disponibles sur le site BudgWeb: </w:t>
      </w:r>
      <w:hyperlink r:id="rId1">
        <w:r>
          <w:rPr>
            <w:rStyle w:val="Hyperlink"/>
            <w:sz w:val="18"/>
          </w:rPr>
          <w:t>https://myintracomm.ec.europa.eu/budgweb/FR/man/budgmanag/Pages/budgmanag.aspx</w:t>
        </w:r>
      </w:hyperlink>
    </w:p>
  </w:footnote>
  <w:footnote w:id="5">
    <w:p>
      <w:pPr>
        <w:pStyle w:val="FootnoteText"/>
        <w:rPr>
          <w:szCs w:val="24"/>
        </w:rPr>
      </w:pPr>
      <w:r>
        <w:rPr>
          <w:rStyle w:val="FootnoteReference"/>
        </w:rPr>
        <w:footnoteRef/>
      </w:r>
      <w:r>
        <w:tab/>
        <w:t>CD = crédits dissociés / CND = crédits non dissociés.</w:t>
      </w:r>
    </w:p>
  </w:footnote>
  <w:footnote w:id="6">
    <w:p>
      <w:pPr>
        <w:pStyle w:val="FootnoteText"/>
        <w:rPr>
          <w:szCs w:val="24"/>
        </w:rPr>
      </w:pPr>
      <w:r>
        <w:rPr>
          <w:rStyle w:val="FootnoteReference"/>
        </w:rPr>
        <w:footnoteRef/>
      </w:r>
      <w:r>
        <w:tab/>
        <w:t xml:space="preserve">AELE: Association européenne de libre-échange. </w:t>
      </w:r>
    </w:p>
  </w:footnote>
  <w:footnote w:id="7">
    <w:p>
      <w:pPr>
        <w:pStyle w:val="FootnoteText"/>
        <w:rPr>
          <w:szCs w:val="24"/>
        </w:rPr>
      </w:pPr>
      <w:r>
        <w:rPr>
          <w:rStyle w:val="FootnoteReference"/>
        </w:rPr>
        <w:footnoteRef/>
      </w:r>
      <w:r>
        <w:tab/>
        <w:t>Pays candidats et, le cas échéant, pays candidats potentiels des Balkans occidentaux.</w:t>
      </w:r>
    </w:p>
  </w:footnote>
  <w:footnote w:id="8">
    <w:p>
      <w:pPr>
        <w:pStyle w:val="FootnoteText"/>
        <w:rPr>
          <w:szCs w:val="24"/>
        </w:rPr>
      </w:pPr>
      <w:r>
        <w:rPr>
          <w:rStyle w:val="FootnoteReference"/>
        </w:rPr>
        <w:footnoteRef/>
      </w:r>
      <w:r>
        <w:tab/>
        <w:t>L’année N est l’année du début de la mise en œuvre de la proposition/de l’initiative.</w:t>
      </w:r>
    </w:p>
  </w:footnote>
  <w:footnote w:id="9">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0">
    <w:p>
      <w:pPr>
        <w:pStyle w:val="FootnoteText"/>
        <w:rPr>
          <w:szCs w:val="24"/>
        </w:rPr>
      </w:pPr>
      <w:r>
        <w:rPr>
          <w:rStyle w:val="FootnoteReference"/>
        </w:rPr>
        <w:footnoteRef/>
      </w:r>
      <w:r>
        <w:tab/>
        <w:t>L’année N est l’année du début de la mise en œuvre de la proposition/de l’initiative.</w:t>
      </w:r>
    </w:p>
  </w:footnote>
  <w:footnote w:id="11">
    <w:p>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12">
    <w:p>
      <w:pPr>
        <w:pStyle w:val="FootnoteText"/>
        <w:rPr>
          <w:szCs w:val="24"/>
        </w:rPr>
      </w:pPr>
      <w:r>
        <w:rPr>
          <w:rStyle w:val="FootnoteReference"/>
        </w:rPr>
        <w:footnoteRef/>
      </w:r>
      <w:r>
        <w:tab/>
        <w:t xml:space="preserve">Tel que décrit dans la partie 1.4.2. «Objectif(s) spécifique(s)…». </w:t>
      </w:r>
    </w:p>
  </w:footnote>
  <w:footnote w:id="13">
    <w:p>
      <w:pPr>
        <w:pStyle w:val="FootnoteText"/>
      </w:pPr>
      <w:r>
        <w:rPr>
          <w:rStyle w:val="FootnoteReference"/>
        </w:rPr>
        <w:footnoteRef/>
      </w:r>
      <w:r>
        <w:tab/>
        <w:t>Prix par tonne sur la base d’un tonnage de référence de 7 000 tonnes / an: 55 EUR la première et la deuxième année (total de 385 000 EUR) et 50 EUR la troisième et la quatrième année (total de 350 000 EUR par an).</w:t>
      </w:r>
    </w:p>
  </w:footnote>
  <w:footnote w:id="14">
    <w:p>
      <w:pPr>
        <w:pStyle w:val="FootnoteText"/>
        <w:rPr>
          <w:szCs w:val="24"/>
        </w:rPr>
      </w:pPr>
      <w:r>
        <w:rPr>
          <w:rStyle w:val="FootnoteReference"/>
        </w:rPr>
        <w:footnoteRef/>
      </w:r>
      <w:r>
        <w:tab/>
        <w:t>L’année N est l’année du début de la mise en œuvre de la proposition/de l’initiative.</w:t>
      </w:r>
    </w:p>
  </w:footnote>
  <w:footnote w:id="15">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16">
    <w:p>
      <w:pPr>
        <w:pStyle w:val="FootnoteText"/>
        <w:rPr>
          <w:szCs w:val="24"/>
        </w:rPr>
      </w:pPr>
      <w:r>
        <w:rPr>
          <w:rStyle w:val="FootnoteReference"/>
        </w:rPr>
        <w:footnoteRef/>
      </w:r>
      <w:r>
        <w:tab/>
        <w:t xml:space="preserve">AC = agent contractuel; AL = agent local; END = expert national détaché; INT = intérimaire; JED = jeune expert en délégation. </w:t>
      </w:r>
    </w:p>
  </w:footnote>
  <w:footnote w:id="17">
    <w:p>
      <w:pPr>
        <w:pStyle w:val="FootnoteText"/>
        <w:rPr>
          <w:szCs w:val="24"/>
        </w:rPr>
      </w:pPr>
      <w:r>
        <w:rPr>
          <w:rStyle w:val="FootnoteReference"/>
        </w:rPr>
        <w:footnoteRef/>
      </w:r>
      <w:r>
        <w:tab/>
        <w:t>Sous-plafonds de personnel externe financés sur crédits opérationnels (anciennes lignes «BA»).</w:t>
      </w:r>
    </w:p>
  </w:footnote>
  <w:footnote w:id="18">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70CA5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13A86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1FA1C6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BF896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1E8CBD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0"/>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oNotTrackMoves/>
  <w:defaultTabStop w:val="720"/>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3-18 14:21:2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D2971C234AD4792AFDEAE4F13FA7190"/>
    <w:docVar w:name="LW_CROSSREFERENCE" w:val="&lt;UNUSED&gt;"/>
    <w:docVar w:name="LW_DocType" w:val="COM"/>
    <w:docVar w:name="LW_EMISSION" w:val="22.3.2016"/>
    <w:docVar w:name="LW_EMISSION_ISODATE" w:val="2016-03-2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79"/>
    <w:docVar w:name="LW_REF.II.NEW.CP_YEAR" w:val="2016"/>
    <w:docVar w:name="LW_REF.INST.NEW" w:val="COM"/>
    <w:docVar w:name="LW_REF.INST.NEW_ADOPTED" w:val="final"/>
    <w:docVar w:name="LW_REF.INST.NEW_TEXT" w:val="(2016) 143"/>
    <w:docVar w:name="LW_REF.INTERNE" w:val="&lt;UNUSED&gt;"/>
    <w:docVar w:name="LW_SOUS.TITRE.OBJ.CP" w:val="&lt;UNUSED&gt;"/>
    <w:docVar w:name="LW_STATUT.CP" w:val="Proposition de"/>
    <w:docVar w:name="LW_SUPERTITRE" w:val="&lt;UNUSED&gt;"/>
    <w:docVar w:name="LW_TITRE.OBJ.CP" w:val="relative à la signature, au nom de l\u8217?Union européenne, et à l\u8217?application provisoire de l\u8217?accord de partenariat dans le domaine de la pêche durable entre l\u8217?Union européenne et le gouvernement des Îles Cook et de son protocole de mise en \u339?uvr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nhideWhenUsed/>
    <w:pPr>
      <w:numPr>
        <w:numId w:val="8"/>
      </w:numPr>
      <w:contextualSpacing/>
    </w:p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character" w:styleId="FollowedHyperlink">
    <w:name w:val="FollowedHyperlink"/>
    <w:uiPriority w:val="99"/>
    <w:semiHidden/>
    <w:unhideWhenUsed/>
    <w:rPr>
      <w:color w:val="800080"/>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4C88D-4904-484D-9DA3-C762F47A6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24</Pages>
  <Words>4787</Words>
  <Characters>26093</Characters>
  <Application>Microsoft Office Word</Application>
  <DocSecurity>0</DocSecurity>
  <Lines>1373</Lines>
  <Paragraphs>718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30162</CharactersWithSpaces>
  <SharedDoc>false</SharedDoc>
  <HLinks>
    <vt:vector size="6" baseType="variant">
      <vt:variant>
        <vt:i4>7209039</vt:i4>
      </vt:variant>
      <vt:variant>
        <vt:i4>0</vt:i4>
      </vt:variant>
      <vt:variant>
        <vt:i4>0</vt:i4>
      </vt:variant>
      <vt:variant>
        <vt:i4>5</vt:i4>
      </vt:variant>
      <vt:variant>
        <vt:lpwstr>http://www.cc.cec/budg/man/budgmanag/budgmanag_en.html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2015-11-10T11:30:00Z</cp:lastPrinted>
  <dcterms:created xsi:type="dcterms:W3CDTF">2016-03-04T09:36:00Z</dcterms:created>
  <dcterms:modified xsi:type="dcterms:W3CDTF">2016-03-18T13:21:00Z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