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19AD22AF53A841F386B87F518B51FA54" style="width:450.35pt;height:379.7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keepNext/>
        <w:tabs>
          <w:tab w:val="left" w:pos="850"/>
        </w:tabs>
        <w:spacing w:before="360"/>
        <w:outlineLvl w:val="0"/>
        <w:rPr>
          <w:b/>
          <w:smallCaps/>
          <w:noProof/>
        </w:rPr>
      </w:pPr>
      <w:r>
        <w:rPr>
          <w:b/>
          <w:smallCaps/>
          <w:noProof/>
        </w:rPr>
        <w:t>1.</w:t>
      </w:r>
      <w:r>
        <w:rPr>
          <w:noProof/>
        </w:rPr>
        <w:tab/>
      </w:r>
      <w:r>
        <w:rPr>
          <w:b/>
          <w:smallCaps/>
          <w:noProof/>
        </w:rPr>
        <w:t>КОНТЕКСТ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>Въз основа на съответните указания за водене на преговори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Комисията проведе преговори с правителството на островите Кук с оглед на сключването на ново споразумение за партньорство в областта на устойчивото рибарство между Европейския съюз и островите Кук и протокол за прилагането му. В резултат на тези преговори на 21 октомври 2015 г. бяха парафирани ново споразумение и протокол. Те обхващат период съответно от осем и четири години, считано от датата на временното им прилагане, т.е. от датата на тяхното подписване, както е предвидено в член 16 от споразумението и член 12 от протокола.</w:t>
      </w:r>
    </w:p>
    <w:p>
      <w:pPr>
        <w:rPr>
          <w:noProof/>
        </w:rPr>
      </w:pPr>
      <w:r>
        <w:rPr>
          <w:noProof/>
        </w:rPr>
        <w:t>Новото споразумение предоставя рамка, която взема предвид приоритетите на реформираната обща политика в областта на рибарството и на нейното външно измерение, с оглед на установяването на стратегическо партньорство между Европейския съюз и островите Кук.</w:t>
      </w:r>
    </w:p>
    <w:p>
      <w:pPr>
        <w:rPr>
          <w:noProof/>
        </w:rPr>
      </w:pPr>
      <w:r>
        <w:rPr>
          <w:noProof/>
        </w:rPr>
        <w:t>Основната цел на новия протокол е да се предоставят възможности за риболов на кораби на Съюза в риболовната зона на островите Кук въз основа на най-добрите налични научни становища и съблюдавайки мерките за опазване и управление на Комисията за риболова в Западния и Централния Тихи океан (WCPFC) и, когато това е целесъобразно, в рамките на наличните допълнителни рибни ресурси. Позицията на Комисията се основава, наред с другото, на резултатите от извършената от външни експерти прогнозна оценка на възможността да се сключат ново споразумение и нов протокол. Целта е също така да се даде нов тласък на сътрудничеството между Европейския съюз и островите Кук за насърчаването на политика на устойчиво рибарство и отговорно използване на рибните ресурси в риболовната зона на островите Кук, в интерес и на двете страни.</w:t>
      </w:r>
    </w:p>
    <w:p>
      <w:pPr>
        <w:rPr>
          <w:rFonts w:eastAsia="Arial Unicode MS"/>
          <w:noProof/>
        </w:rPr>
      </w:pPr>
      <w:r>
        <w:rPr>
          <w:noProof/>
        </w:rPr>
        <w:t>Протоколът предвижда възможности за риболов за 4 кораба с мрежи гъргър за улов на риба тон.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Следователно Комисията предлага Съветът да разреши подписването и временното прилагане на новото споразумение и на протокола за прилагането му.</w:t>
      </w:r>
    </w:p>
    <w:p>
      <w:pPr>
        <w:rPr>
          <w:rFonts w:eastAsia="Times New Roman"/>
          <w:noProof/>
          <w:color w:val="000000"/>
          <w:szCs w:val="24"/>
        </w:rPr>
      </w:pPr>
    </w:p>
    <w:p>
      <w:pPr>
        <w:rPr>
          <w:b/>
          <w:noProof/>
        </w:rPr>
      </w:pPr>
      <w:r>
        <w:rPr>
          <w:b/>
          <w:noProof/>
        </w:rPr>
        <w:t>2.</w:t>
      </w:r>
      <w:r>
        <w:rPr>
          <w:noProof/>
        </w:rPr>
        <w:tab/>
      </w:r>
      <w:r>
        <w:rPr>
          <w:b/>
          <w:noProof/>
        </w:rPr>
        <w:t>ПРАВНО ОСНОВАНИЕ, СУБСИДИАРНОСТ И ПРОПОРЦИОНАЛНОСТ</w:t>
      </w:r>
    </w:p>
    <w:p>
      <w:pPr>
        <w:rPr>
          <w:noProof/>
        </w:rPr>
      </w:pPr>
      <w:r>
        <w:rPr>
          <w:noProof/>
        </w:rPr>
        <w:t>Съгласно член 3, параграф 1, буква г) от Договора за функционирането на Европейския съюз (ДФЕС) опазването на морските биологични ресурси е от изключителната компетентност на Европейския съюз. Принципът на субсидиарност не се прилага, тъй като държавите членки нямат право да договарят споразумения в областта на рибарството с трети държави.</w:t>
      </w:r>
    </w:p>
    <w:p>
      <w:pPr>
        <w:rPr>
          <w:rFonts w:eastAsia="Arial Unicode MS"/>
          <w:noProof/>
        </w:rPr>
      </w:pPr>
      <w:r>
        <w:rPr>
          <w:noProof/>
        </w:rPr>
        <w:t>Правното основание за предложеното решение на Съвета за подписване и временно прилагане на новото споразумение и протокола за прилагането му е член 43, параграф 2 от ДФЕС във връзка с член 218, параграф 5 от него.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Настоящата процедура се провежда успоредно с процедурите във връзка с решението на Съвета за сключване — със съгласието на Европейския парламент — на </w:t>
      </w:r>
      <w:r>
        <w:rPr>
          <w:noProof/>
        </w:rPr>
        <w:lastRenderedPageBreak/>
        <w:t>Споразумението за партньорство в областта на устойчивото рибарство между Европейския съюз и правителството на островите Кук и протокола за прилагането му, както и процедурите във връзка с регламента на Съвета за разпределяне на възможностите за риболов между държавите — членки на ЕС.</w:t>
      </w:r>
    </w:p>
    <w:p>
      <w:pPr>
        <w:rPr>
          <w:rFonts w:eastAsia="Arial Unicode MS"/>
          <w:noProof/>
        </w:rPr>
      </w:pPr>
    </w:p>
    <w:p>
      <w:pPr>
        <w:rPr>
          <w:rFonts w:eastAsia="Arial Unicode MS"/>
          <w:noProof/>
        </w:rPr>
      </w:pPr>
    </w:p>
    <w:p>
      <w:pPr>
        <w:rPr>
          <w:b/>
          <w:noProof/>
        </w:rPr>
      </w:pPr>
      <w:r>
        <w:rPr>
          <w:b/>
          <w:noProof/>
        </w:rPr>
        <w:t>3.</w:t>
      </w:r>
      <w:r>
        <w:rPr>
          <w:noProof/>
        </w:rPr>
        <w:tab/>
      </w:r>
      <w:r>
        <w:rPr>
          <w:b/>
          <w:noProof/>
        </w:rPr>
        <w:t>РЕЗУЛТАТИ ОТ ПОСЛЕДВАЩИ ОЦЕНКИ, КОНСУЛТАЦИИ СЪС ЗАИНТЕРЕСОВАНИТЕ СТРАНИ И ОЦЕНКИ НА ВЪЗДЕЙСТВИЕТО</w:t>
      </w:r>
    </w:p>
    <w:p>
      <w:pPr>
        <w:rPr>
          <w:rFonts w:eastAsia="Times New Roman"/>
          <w:noProof/>
          <w:color w:val="000000"/>
          <w:szCs w:val="24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t>Консултации със заинтересованите страни бяха проведени в рамките на предварителната оценка за възможно споразумение за партньорство в областта на устойчивото рибарство и протокол между Европейския съюз и островите Кук. Докладът за оценката е публикуван в неговата цялост на уебсайта „Еuropa“ на Европейската комисия. По време на техническите срещи бяха извършени консултации и с експерти от държавите членки и от сектора. Оценката и консултациите доведоха до заключението, че за ЕС и островите Кук би било от полза да сключат ново споразумение за партньорство в областта на устойчивото рибарство и протокол за прилагането му.</w:t>
      </w:r>
    </w:p>
    <w:p>
      <w:pPr>
        <w:rPr>
          <w:rFonts w:eastAsia="Times New Roman"/>
          <w:noProof/>
          <w:color w:val="000000"/>
          <w:szCs w:val="24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t xml:space="preserve">В съответствие с реформираната обща политика в областта на рибарството споразумението съдържа разпоредба относно спазването на правата на човека, демократичните принципи и върховенството на закона (член 3, параграф 4). Споразумението и протоколът за прилагането му предвиждат и възможността за тяхното временно преустановяване (съответно членове 13 и 6) или прекратяване (съответно членове 14 и 7), ако някоя от страните наруши разпоредбата относно спазването на правата на човека. </w:t>
      </w:r>
    </w:p>
    <w:p>
      <w:pPr>
        <w:rPr>
          <w:rFonts w:eastAsia="Arial Unicode MS"/>
          <w:noProof/>
        </w:rPr>
      </w:pPr>
    </w:p>
    <w:p>
      <w:pPr>
        <w:rPr>
          <w:b/>
          <w:noProof/>
        </w:rPr>
      </w:pPr>
      <w:r>
        <w:rPr>
          <w:b/>
          <w:noProof/>
        </w:rPr>
        <w:t>4.</w:t>
      </w:r>
      <w:r>
        <w:rPr>
          <w:noProof/>
        </w:rPr>
        <w:tab/>
      </w:r>
      <w:r>
        <w:rPr>
          <w:b/>
          <w:noProof/>
        </w:rPr>
        <w:t>ОТРАЖЕНИЕ ВЪРХУ БЮДЖЕТА</w:t>
      </w:r>
    </w:p>
    <w:p>
      <w:pPr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  <w:bdr w:val="none" w:sz="0" w:space="0" w:color="auto" w:frame="1"/>
        </w:rPr>
        <w:t>Годишното финансово участие е 735 000 EUR за първата и втората година и 700 000 EUR за третата и четвъртата година, изчислени въз основа на:</w:t>
      </w:r>
    </w:p>
    <w:p>
      <w:pPr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  <w:bdr w:val="none" w:sz="0" w:space="0" w:color="auto" w:frame="1"/>
        </w:rPr>
        <w:t>а) референтен тонаж от 7000 тона, за който е определена сума, свързана с достъпа, в размер на 385 000 EUR за първата и втората година и 350 000 EUR за третата и четвъртата година; както и</w:t>
      </w:r>
    </w:p>
    <w:p>
      <w:pPr>
        <w:rPr>
          <w:noProof/>
          <w:color w:val="000000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t>б) подкрепа за развитието на секторната политика на островите Кук в областта на рибарството в размер на 350 000 EUR за първата, втората, третата и четвъртата година. Тази подкрепа отговаря на целите на националната политика в областта на рибарството, и по-специално на нуждите на островите Кук по отношение на подкрепа за научните изследвания, сектора на непромишления риболов, както и за наблюдението, контрола и надзора на риболова и борбата срещу незаконния риболов.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2016/0079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подписване от името на Европейския съюз и за временно прилагане на споразумение за партньорство в областта на устойчивото рибарство между Европейския съюз и правителството на островите Кук и протокола за прилагане към него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43, параграф 2 във връзка с член 218, параграф 5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 xml:space="preserve">Европейският съюз и правителството на островите Кук договориха споразумение за партньорство в областта на устойчивото рибарство (наричано по-нататък „Споразумението“) и протокол за неговото прилагане, с които на корабите на Съюза се предоставят възможности за риболов във водите, над които островите Кук упражняват своя суверенитет или юрисдикция в областта на рибарството.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След приключване на преговорите Споразумението и протоколът за прилагането му бяха парафирани на 21 октомври 2015 г.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член 16 от Споразумението и член 12 от протокола за прилагането му се предвижда съответно временното им прилагане от момента на подписването им.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Поради това Споразумението и съответният протокол за прилагането му следва да бъдат подписани, при условие че бъдат сключени.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 цел да се осигури скорошно започване на риболовните дейности на корабите на Съюза Споразумението и протоколът за прилагането му следва да се прилагат временно до приключване на процедурите, необходими за влизането им в сила,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Разрешава се подписването от името на Съюза на Споразумението за партньорство в областта на устойчивото рибарство между Европейския съюз и правителството на островите Кук и съответния протокол за неговото прилагане, при условие че бъдат сключени.</w:t>
      </w:r>
    </w:p>
    <w:p>
      <w:pPr>
        <w:rPr>
          <w:noProof/>
        </w:rPr>
      </w:pPr>
      <w:r>
        <w:rPr>
          <w:noProof/>
        </w:rPr>
        <w:t>Текстовете на Споразумението и на протокола са поместени в приложения I и II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 2</w:t>
      </w:r>
    </w:p>
    <w:p>
      <w:pPr>
        <w:rPr>
          <w:noProof/>
        </w:rPr>
      </w:pPr>
      <w:r>
        <w:rPr>
          <w:noProof/>
        </w:rPr>
        <w:t>Генералният секретариат на Съвета съставя актовете за предоставяне на пълни правомощия, необходими за подписване на Споразумението и протокола за прилагането му, при условие че бъдат сключени, на лицето(ата), посочено(и) от преговарящия по Споразумението и протокола.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Споразумението се прилага временно в съответствие с член 16 от него, считано от датата на подписването му до приключване на процедурите, необходими за влизането му в сила.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4</w:t>
      </w:r>
    </w:p>
    <w:p>
      <w:pPr>
        <w:rPr>
          <w:noProof/>
        </w:rPr>
      </w:pPr>
      <w:r>
        <w:rPr>
          <w:noProof/>
        </w:rPr>
        <w:t>Протоколът за прилагане се прилага временно в съответствие с член 12 от него, считано от датата на подписването му до приключване на процедурите, необходими за влизането му в сила.</w:t>
      </w:r>
    </w:p>
    <w:p>
      <w:pPr>
        <w:pStyle w:val="Titrearticle"/>
        <w:rPr>
          <w:noProof/>
        </w:rPr>
      </w:pPr>
      <w:r>
        <w:rPr>
          <w:noProof/>
        </w:rPr>
        <w:t>Член 5</w:t>
      </w:r>
    </w:p>
    <w:p>
      <w:pPr>
        <w:rPr>
          <w:noProof/>
        </w:rPr>
      </w:pPr>
      <w:r>
        <w:rPr>
          <w:noProof/>
        </w:rPr>
        <w:t xml:space="preserve">Настоящото решение влиза в сила на третия ден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p>
      <w:pPr>
        <w:shd w:val="clear" w:color="auto" w:fill="BFBFBF"/>
        <w:rPr>
          <w:noProof/>
        </w:rPr>
        <w:sectPr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Fichefinanciretitre"/>
        <w:rPr>
          <w:noProof/>
        </w:rPr>
      </w:pPr>
      <w:r>
        <w:rPr>
          <w:noProof/>
        </w:rPr>
        <w:lastRenderedPageBreak/>
        <w:t>ЗАКОНОДАТЕЛНА ФИНАНСОВА ОБОСНОВКА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РАМКА НА ПРЕДЛОЖЕНИЕТО/ИНИЦИАТИВАТА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1.1.</w:t>
      </w:r>
      <w:r>
        <w:rPr>
          <w:noProof/>
        </w:rPr>
        <w:tab/>
      </w:r>
      <w:r>
        <w:rPr>
          <w:b w:val="0"/>
          <w:noProof/>
        </w:rPr>
        <w:t>Наименование на предложението/инициативата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1.2.</w:t>
      </w:r>
      <w:r>
        <w:rPr>
          <w:noProof/>
        </w:rPr>
        <w:tab/>
      </w:r>
      <w:r>
        <w:rPr>
          <w:b w:val="0"/>
          <w:noProof/>
        </w:rPr>
        <w:t>Съответни области на политиката в структурата на УД/БД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1.3.</w:t>
      </w:r>
      <w:r>
        <w:rPr>
          <w:noProof/>
        </w:rPr>
        <w:tab/>
      </w:r>
      <w:r>
        <w:rPr>
          <w:b w:val="0"/>
          <w:noProof/>
        </w:rPr>
        <w:t>Естество на предложението/инициативата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1.4.</w:t>
      </w:r>
      <w:r>
        <w:rPr>
          <w:noProof/>
        </w:rPr>
        <w:tab/>
      </w:r>
      <w:r>
        <w:rPr>
          <w:b w:val="0"/>
          <w:noProof/>
        </w:rPr>
        <w:t>Цели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1.5.</w:t>
      </w:r>
      <w:r>
        <w:rPr>
          <w:noProof/>
        </w:rPr>
        <w:tab/>
      </w:r>
      <w:r>
        <w:rPr>
          <w:b w:val="0"/>
          <w:noProof/>
        </w:rPr>
        <w:t>Мотиви за предложението/инициативата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1.6.</w:t>
      </w:r>
      <w:r>
        <w:rPr>
          <w:noProof/>
        </w:rPr>
        <w:tab/>
      </w:r>
      <w:r>
        <w:rPr>
          <w:b w:val="0"/>
          <w:noProof/>
        </w:rPr>
        <w:t>Срок на действие и финансово отражение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1.7.</w:t>
      </w:r>
      <w:r>
        <w:rPr>
          <w:noProof/>
        </w:rPr>
        <w:tab/>
      </w:r>
      <w:r>
        <w:rPr>
          <w:b w:val="0"/>
          <w:noProof/>
        </w:rPr>
        <w:t xml:space="preserve">Предвидени методи на управление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МЕРКИ ЗА УПРАВЛЕНИЕ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2.1.</w:t>
      </w:r>
      <w:r>
        <w:rPr>
          <w:noProof/>
        </w:rPr>
        <w:tab/>
      </w:r>
      <w:r>
        <w:rPr>
          <w:b w:val="0"/>
          <w:noProof/>
        </w:rPr>
        <w:t>Правила за мониторинг и докладване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2.2.</w:t>
      </w:r>
      <w:r>
        <w:rPr>
          <w:noProof/>
        </w:rPr>
        <w:tab/>
      </w:r>
      <w:r>
        <w:rPr>
          <w:b w:val="0"/>
          <w:noProof/>
        </w:rPr>
        <w:t>Система за управление и контрол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2.3.</w:t>
      </w:r>
      <w:r>
        <w:rPr>
          <w:noProof/>
        </w:rPr>
        <w:tab/>
      </w:r>
      <w:r>
        <w:rPr>
          <w:b w:val="0"/>
          <w:noProof/>
        </w:rPr>
        <w:t>Мерки за предотвратяване на измами и нередности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ОЧАКВАНО ФИНАНСОВО ОТРАЖЕНИЕ НА ПРЕДЛОЖЕНИЕТО/ИНИЦИАТИВАТА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3.1.</w:t>
      </w:r>
      <w:r>
        <w:rPr>
          <w:noProof/>
        </w:rPr>
        <w:tab/>
      </w:r>
      <w:r>
        <w:rPr>
          <w:b w:val="0"/>
          <w:noProof/>
        </w:rPr>
        <w:t>Съответни функции от многогодишната финансова рамка и разходни бюджетни редове</w:t>
      </w:r>
    </w:p>
    <w:p>
      <w:pPr>
        <w:pStyle w:val="ManualHeading2"/>
        <w:rPr>
          <w:noProof/>
        </w:rPr>
      </w:pPr>
      <w:r>
        <w:rPr>
          <w:noProof/>
        </w:rPr>
        <w:tab/>
      </w:r>
      <w:r>
        <w:rPr>
          <w:b w:val="0"/>
          <w:noProof/>
        </w:rPr>
        <w:t>3.2.</w:t>
      </w:r>
      <w:r>
        <w:rPr>
          <w:noProof/>
        </w:rPr>
        <w:tab/>
      </w:r>
      <w:r>
        <w:rPr>
          <w:b w:val="0"/>
          <w:noProof/>
        </w:rPr>
        <w:t>Очаквано отражение върху разходите</w:t>
      </w:r>
    </w:p>
    <w:p>
      <w:pPr>
        <w:pStyle w:val="ManualHeading3"/>
        <w:rPr>
          <w:noProof/>
        </w:rPr>
      </w:pPr>
      <w:r>
        <w:rPr>
          <w:noProof/>
        </w:rPr>
        <w:tab/>
        <w:t>3.2.1.</w:t>
      </w:r>
      <w:r>
        <w:rPr>
          <w:noProof/>
        </w:rPr>
        <w:tab/>
        <w:t xml:space="preserve">Обобщение на очакваното отражение върху разходите </w:t>
      </w:r>
    </w:p>
    <w:p>
      <w:pPr>
        <w:pStyle w:val="ManualHeading3"/>
        <w:rPr>
          <w:noProof/>
        </w:rPr>
      </w:pPr>
      <w:r>
        <w:rPr>
          <w:noProof/>
        </w:rPr>
        <w:tab/>
        <w:t>3.2.2.</w:t>
      </w:r>
      <w:r>
        <w:rPr>
          <w:noProof/>
        </w:rPr>
        <w:tab/>
        <w:t xml:space="preserve">Очаквано отражение върху бюджетните кредити за оперативни разходи </w:t>
      </w:r>
    </w:p>
    <w:p>
      <w:pPr>
        <w:pStyle w:val="ManualHeading3"/>
        <w:rPr>
          <w:noProof/>
        </w:rPr>
      </w:pPr>
      <w:r>
        <w:rPr>
          <w:noProof/>
        </w:rPr>
        <w:tab/>
        <w:t>3.2.3.</w:t>
      </w:r>
      <w:r>
        <w:rPr>
          <w:noProof/>
        </w:rPr>
        <w:tab/>
        <w:t>Очаквано отражение върху бюджетните кредити за административни разходи</w:t>
      </w:r>
    </w:p>
    <w:p>
      <w:pPr>
        <w:pStyle w:val="ManualHeading3"/>
        <w:rPr>
          <w:noProof/>
        </w:rPr>
      </w:pPr>
      <w:r>
        <w:rPr>
          <w:noProof/>
        </w:rPr>
        <w:tab/>
        <w:t>3.2.4.</w:t>
      </w:r>
      <w:r>
        <w:rPr>
          <w:noProof/>
        </w:rPr>
        <w:tab/>
        <w:t>Съвместимост с настоящата многогодишна финансова рамка</w:t>
      </w:r>
    </w:p>
    <w:p>
      <w:pPr>
        <w:pStyle w:val="ManualHeading3"/>
        <w:rPr>
          <w:noProof/>
        </w:rPr>
      </w:pPr>
      <w:r>
        <w:rPr>
          <w:noProof/>
        </w:rPr>
        <w:tab/>
        <w:t>3.2.5.</w:t>
      </w:r>
      <w:r>
        <w:rPr>
          <w:noProof/>
        </w:rPr>
        <w:tab/>
        <w:t xml:space="preserve">Участие на трети страни във финансирането </w:t>
      </w:r>
    </w:p>
    <w:p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3.3.</w:t>
      </w:r>
      <w:r>
        <w:rPr>
          <w:noProof/>
        </w:rPr>
        <w:tab/>
      </w:r>
      <w:r>
        <w:rPr>
          <w:b w:val="0"/>
          <w:noProof/>
        </w:rPr>
        <w:t>Очаквано отражение върху приходите</w:t>
      </w:r>
    </w:p>
    <w:p>
      <w:pPr>
        <w:rPr>
          <w:noProof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Annexetitrefichefinancire"/>
        <w:rPr>
          <w:noProof/>
        </w:rPr>
      </w:pPr>
      <w:r>
        <w:rPr>
          <w:noProof/>
        </w:rPr>
        <w:lastRenderedPageBreak/>
        <w:t>ЗАКОНОДАТЕЛНА ФИНАНСОВА ОБОСНОВКА</w:t>
      </w:r>
    </w:p>
    <w:p>
      <w:pPr>
        <w:pStyle w:val="ManualHeading1"/>
        <w:rPr>
          <w:noProof/>
        </w:rPr>
      </w:pPr>
      <w:r>
        <w:t>1.</w:t>
      </w:r>
      <w:r>
        <w:tab/>
      </w:r>
      <w:r>
        <w:rPr>
          <w:noProof/>
        </w:rPr>
        <w:t xml:space="preserve">РАМКА НА ПРЕДЛОЖЕНИЕТО/ИНИЦИАТИВАТА </w:t>
      </w:r>
    </w:p>
    <w:p>
      <w:pPr>
        <w:pStyle w:val="ManualHeading2"/>
        <w:rPr>
          <w:noProof/>
        </w:rPr>
      </w:pPr>
      <w:r>
        <w:t>1.1.</w:t>
      </w:r>
      <w:r>
        <w:tab/>
      </w:r>
      <w:r>
        <w:rPr>
          <w:noProof/>
        </w:rPr>
        <w:t xml:space="preserve">Наименование на предложението/инициативата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Предложение за решение на Съвета за подписване от името на Европейския съюз и за временно прилагане на споразумение за партньорство в областта на устойчивото рибарство между Европейския съюз и правителството на островите Кук и протокола за прилагане към него</w:t>
      </w:r>
    </w:p>
    <w:p>
      <w:pPr>
        <w:pStyle w:val="ManualHeading2"/>
        <w:rPr>
          <w:noProof/>
          <w:szCs w:val="24"/>
        </w:rPr>
      </w:pPr>
      <w:r>
        <w:t>1.2.</w:t>
      </w:r>
      <w:r>
        <w:tab/>
      </w:r>
      <w:r>
        <w:rPr>
          <w:noProof/>
        </w:rPr>
        <w:t>Съответни области на политиката в структурата на УД/БД</w:t>
      </w:r>
      <w:r>
        <w:rPr>
          <w:rStyle w:val="FootnoteReference"/>
          <w:noProof/>
        </w:rPr>
        <w:footnoteReference w:id="2"/>
      </w:r>
      <w:r>
        <w:rPr>
          <w:i/>
          <w:noProof/>
        </w:rPr>
        <w:t xml:space="preserve">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11. — Морско дело и рибарство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11.03 — Задължителни вноски в регионалните организации за управление на рибарството (РОУР) и в други международни организации и споразумения за устойчиво рибарство (СУР)</w:t>
      </w:r>
    </w:p>
    <w:p>
      <w:pPr>
        <w:pStyle w:val="ManualHeading2"/>
        <w:rPr>
          <w:bCs/>
          <w:noProof/>
          <w:szCs w:val="24"/>
        </w:rPr>
      </w:pPr>
      <w:r>
        <w:t>1.3.</w:t>
      </w:r>
      <w:r>
        <w:tab/>
      </w:r>
      <w:r>
        <w:rPr>
          <w:noProof/>
        </w:rPr>
        <w:t xml:space="preserve">Естество на предложението/инициативата </w:t>
      </w:r>
    </w:p>
    <w:p>
      <w:pPr>
        <w:pStyle w:val="Text1"/>
        <w:rPr>
          <w:b/>
          <w:noProof/>
          <w:sz w:val="22"/>
        </w:rPr>
      </w:pPr>
      <w:r>
        <w:rPr>
          <w:noProof/>
        </w:rPr>
        <w:t xml:space="preserve">X Предложението/инициативата е във връзка с </w:t>
      </w:r>
      <w:r>
        <w:rPr>
          <w:b/>
          <w:noProof/>
        </w:rPr>
        <w:t>нова дейност</w:t>
      </w:r>
      <w:r>
        <w:rPr>
          <w:noProof/>
        </w:rPr>
        <w:t>.</w:t>
      </w:r>
      <w:r>
        <w:rPr>
          <w:b/>
          <w:noProof/>
          <w:sz w:val="22"/>
        </w:rPr>
        <w:t xml:space="preserve"> </w:t>
      </w:r>
    </w:p>
    <w:p>
      <w:pPr>
        <w:pStyle w:val="Text1"/>
        <w:rPr>
          <w:noProof/>
          <w:sz w:val="22"/>
        </w:rPr>
      </w:pPr>
      <w:r>
        <w:rPr>
          <w:noProof/>
          <w:sz w:val="22"/>
        </w:rPr>
        <w:sym w:font="Wingdings" w:char="F0A8"/>
      </w:r>
      <w:r>
        <w:rPr>
          <w:noProof/>
        </w:rPr>
        <w:t xml:space="preserve"> Предложението/инициативата е във връзка с </w:t>
      </w:r>
      <w:r>
        <w:rPr>
          <w:b/>
          <w:noProof/>
        </w:rPr>
        <w:t>нова дейност след пилотен проект/подготвителна дейност</w:t>
      </w:r>
      <w:r>
        <w:rPr>
          <w:rStyle w:val="FootnoteReference"/>
          <w:b/>
          <w:noProof/>
        </w:rPr>
        <w:footnoteReference w:id="3"/>
      </w:r>
      <w:r>
        <w:rPr>
          <w:noProof/>
        </w:rPr>
        <w:t>.</w:t>
      </w:r>
      <w:r>
        <w:rPr>
          <w:noProof/>
          <w:sz w:val="22"/>
        </w:rPr>
        <w:t xml:space="preserve"> </w:t>
      </w:r>
    </w:p>
    <w:p>
      <w:pPr>
        <w:pStyle w:val="Text1"/>
        <w:rPr>
          <w:noProof/>
          <w:sz w:val="22"/>
        </w:rPr>
      </w:pPr>
      <w:r>
        <w:rPr>
          <w:noProof/>
          <w:sz w:val="22"/>
        </w:rPr>
        <w:sym w:font="Wingdings" w:char="F0A8"/>
      </w:r>
      <w:r>
        <w:rPr>
          <w:noProof/>
        </w:rPr>
        <w:t xml:space="preserve"> Предложението/инициативата е във връзка с </w:t>
      </w:r>
      <w:r>
        <w:rPr>
          <w:b/>
          <w:noProof/>
        </w:rPr>
        <w:t>продължаване на съществуваща дейност</w:t>
      </w:r>
      <w:r>
        <w:rPr>
          <w:noProof/>
        </w:rPr>
        <w:t>.</w:t>
      </w:r>
      <w:r>
        <w:rPr>
          <w:noProof/>
          <w:sz w:val="22"/>
        </w:rPr>
        <w:t xml:space="preserve"> </w:t>
      </w:r>
    </w:p>
    <w:p>
      <w:pPr>
        <w:pStyle w:val="Text1"/>
        <w:rPr>
          <w:noProof/>
        </w:rPr>
      </w:pPr>
      <w:r>
        <w:rPr>
          <w:noProof/>
          <w:sz w:val="22"/>
        </w:rPr>
        <w:sym w:font="Wingdings" w:char="F0A8"/>
      </w:r>
      <w:r>
        <w:rPr>
          <w:noProof/>
        </w:rPr>
        <w:t xml:space="preserve"> Предложението/инициативата е във връзка с </w:t>
      </w:r>
      <w:r>
        <w:rPr>
          <w:b/>
          <w:noProof/>
        </w:rPr>
        <w:t>дейност, пренасочена към нова дейност</w:t>
      </w:r>
      <w:r>
        <w:rPr>
          <w:noProof/>
        </w:rPr>
        <w:t xml:space="preserve">. </w:t>
      </w:r>
    </w:p>
    <w:p>
      <w:pPr>
        <w:pStyle w:val="ManualHeading2"/>
        <w:rPr>
          <w:bCs/>
          <w:noProof/>
          <w:szCs w:val="24"/>
        </w:rPr>
      </w:pPr>
      <w:r>
        <w:t>1.4.</w:t>
      </w:r>
      <w:r>
        <w:tab/>
      </w:r>
      <w:r>
        <w:rPr>
          <w:noProof/>
        </w:rPr>
        <w:t>Цели</w:t>
      </w:r>
    </w:p>
    <w:p>
      <w:pPr>
        <w:pStyle w:val="ManualHeading3"/>
        <w:rPr>
          <w:noProof/>
        </w:rPr>
      </w:pPr>
      <w:r>
        <w:t>1.4.1.</w:t>
      </w:r>
      <w:r>
        <w:tab/>
      </w:r>
      <w:r>
        <w:rPr>
          <w:noProof/>
        </w:rPr>
        <w:t xml:space="preserve">Многогодишни стратегически цели на Комисията, за чието изпълнение е предназначено предложението/инициативата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Договарянето и сключването на споразумения за партньорство в областта на устойчивото рибарство (СПОУР) с трети държави отговаря на общата цел за осигуряването на достъп на риболовните кораби на ЕС до риболовните зони на трети държави и за развиването на партньорство с тези държави с оглед укрепване на устойчивата експлоатация на рибните ресурси извън водите на ЕС.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СПОУР осигуряват също така съгласуваност между принципите, регулиращи общата политика в областта на рибарството, и залегналите в други европейски политики ангажименти (устойчиво използване на ресурсите на трети държави, борба с незаконния, недеклариран и нерегулиран риболов, интеграция на държавите партньори в глобалната икономика, както и по-добро политическо и финансово управление на рибарството).</w:t>
      </w:r>
    </w:p>
    <w:p>
      <w:pPr>
        <w:pStyle w:val="ManualHeading3"/>
        <w:rPr>
          <w:bCs/>
          <w:noProof/>
          <w:szCs w:val="24"/>
        </w:rPr>
      </w:pPr>
      <w:r>
        <w:t>1.4.2.</w:t>
      </w:r>
      <w:r>
        <w:tab/>
      </w:r>
      <w:r>
        <w:rPr>
          <w:noProof/>
        </w:rPr>
        <w:t xml:space="preserve">Конкретни цели и съответни дейности във връзка с УД/БД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u w:val="single"/>
        </w:rPr>
      </w:pPr>
      <w:r>
        <w:rPr>
          <w:noProof/>
          <w:u w:val="single"/>
        </w:rPr>
        <w:t xml:space="preserve">Конкретна цел: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lastRenderedPageBreak/>
        <w:t>Да се допринесе за устойчивия риболов извън водите на ЕС, да се поддържа европейското присъствие в отдалечените риболовни райони и да се защитят интересите на европейския сектор на рибарството и интересите на потребителите чрез договаряне и сключване на съгласувани с други европейски политики СПОУР с крайбрежни държави.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u w:val="single"/>
        </w:rPr>
      </w:pPr>
      <w:r>
        <w:rPr>
          <w:noProof/>
          <w:u w:val="single"/>
        </w:rPr>
        <w:t>Съответни дейности във връзка с УД/БД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Морско дело и рибарство, установяване на рамка за управление на риболовните дейности, извършвани от риболовни кораби на Европейския съюз във води на трети държави (СУР) (бюджетен ред 11.0301).</w:t>
      </w:r>
    </w:p>
    <w:p>
      <w:pPr>
        <w:pStyle w:val="ManualHeading3"/>
        <w:rPr>
          <w:bCs/>
          <w:noProof/>
          <w:szCs w:val="24"/>
        </w:rPr>
      </w:pPr>
      <w:r>
        <w:rPr>
          <w:noProof/>
        </w:rPr>
        <w:br w:type="page"/>
      </w:r>
      <w:r>
        <w:lastRenderedPageBreak/>
        <w:t>1.4.3.</w:t>
      </w:r>
      <w:r>
        <w:tab/>
      </w:r>
      <w:r>
        <w:rPr>
          <w:noProof/>
        </w:rPr>
        <w:t>Очаквани резултати и отражение</w:t>
      </w:r>
    </w:p>
    <w:p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Да се посочи въздействието, което предложението/инициативата следва да окаже по отношение на бенефициерите / целевите групи.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Сключването на Споразумението позволява установяване на стратегическо партньорство в областта на рибарството между Европейския съюз и островите Кук. Сключването на протокола създава възможности за риболов за корабите на Съюза в риболовната зона на островите Кук.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Протоколът допринася също така за подобряване на управлението и опазването на рибните ресурси чрез финансова подкрепа (секторна подкрепа) за изпълнението на програмите, приети на национално равнище от държавата партньор, и по-конкретно по отношение на контрола и борбата срещу незаконния риболов.</w:t>
      </w:r>
    </w:p>
    <w:p>
      <w:pPr>
        <w:pStyle w:val="ManualHeading3"/>
        <w:rPr>
          <w:bCs/>
          <w:noProof/>
          <w:szCs w:val="24"/>
        </w:rPr>
      </w:pPr>
      <w:r>
        <w:t>1.4.4.</w:t>
      </w:r>
      <w:r>
        <w:tab/>
      </w:r>
      <w:r>
        <w:rPr>
          <w:noProof/>
        </w:rPr>
        <w:t xml:space="preserve">Показатели за резултатите и за отражението </w:t>
      </w:r>
    </w:p>
    <w:p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Да се посочат показателите, които позволяват да се проследи изпълнението на предложението/инициативата.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Процент на оползотворяване на възможностите за риболов (процентен дял на годишно използваните разрешения за риболов спрямо наличните възможности, предлагани в рамките на протокола);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събиране и анализиране на данните за улова и търговската стойност на Споразумението;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принос към заетостта и добавената стойност в ЕС и към стабилизиране на пазара на ЕС (заедно с други СПОУР);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брой на техническите срещи и на заседанията на съвместния комитет.</w:t>
      </w:r>
    </w:p>
    <w:p>
      <w:pPr>
        <w:pStyle w:val="ManualHeading2"/>
        <w:rPr>
          <w:bCs/>
          <w:noProof/>
          <w:szCs w:val="24"/>
        </w:rPr>
      </w:pPr>
      <w:r>
        <w:t>1.5.</w:t>
      </w:r>
      <w:r>
        <w:tab/>
      </w:r>
      <w:r>
        <w:rPr>
          <w:noProof/>
        </w:rPr>
        <w:t xml:space="preserve">Мотиви за предложението/инициативата </w:t>
      </w:r>
    </w:p>
    <w:p>
      <w:pPr>
        <w:pStyle w:val="ManualHeading3"/>
        <w:rPr>
          <w:noProof/>
        </w:rPr>
      </w:pPr>
      <w:r>
        <w:t>1.5.1.</w:t>
      </w:r>
      <w:r>
        <w:tab/>
      </w:r>
      <w:r>
        <w:rPr>
          <w:noProof/>
        </w:rPr>
        <w:t xml:space="preserve">Нужди, които трябва да бъдат задоволени в краткосрочен или дългосрочен план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Досега не е имало СПОУР или протокол между Европейския съюз и островите Кук. Въз основа на извършена от външни експерти прогнозна оценка се стигна до заключението, че ново СПОУР между ЕС и островите Кук и протокол към него ще бъдат от полза и за двете страни.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Предвижда се новото споразумение и протоколът да се прилагат временно от датата на тяхното подписване, за да не се забавя началото на риболовните операции.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Новият протокол ще осигури рамка за риболовните дейности на европейския флот в риболовната зона на островите Кук и ще позволи на европейските корабособственици да подават заявления за разрешения за риболов, даващи им възможност да извършват риболов в тази зона. Освен това новият протокол укрепва сътрудничеството между ЕС и островите Кук с цел насърчаване на устойчива политика в областта на рибарството. В него се предвижда по-специално наблюдение на корабите чрез VMS и съобщаване на данните за улова по електронен път. Подкрепата за сектора на рибарството в рамките на </w:t>
      </w:r>
      <w:r>
        <w:rPr>
          <w:noProof/>
        </w:rPr>
        <w:lastRenderedPageBreak/>
        <w:t>протокола ще подпомогне островите Кук по отношение на националната им стратегия в областта на рибарството, в т.ч. борбата срещу ННН риболов.</w:t>
      </w:r>
    </w:p>
    <w:p>
      <w:pPr>
        <w:pStyle w:val="ManualHeading3"/>
        <w:rPr>
          <w:bCs/>
          <w:noProof/>
          <w:szCs w:val="24"/>
        </w:rPr>
      </w:pPr>
      <w:r>
        <w:t>1.5.2.</w:t>
      </w:r>
      <w:r>
        <w:tab/>
      </w:r>
      <w:r>
        <w:rPr>
          <w:noProof/>
        </w:rPr>
        <w:t>Добавена стойност от намесата на ЕС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По отношение на тези нови споразумение и протокол ненамесата на ЕС би означавала сключване на частни споразумения, което няма да осигури устойчиво рибарство. Освен това ЕС се надява, че споразумението и протоколът ще засилят двустранното сътрудничество по отношение на борбата с незаконния риболов.</w:t>
      </w:r>
    </w:p>
    <w:p>
      <w:pPr>
        <w:pStyle w:val="ManualHeading3"/>
        <w:rPr>
          <w:bCs/>
          <w:noProof/>
          <w:szCs w:val="24"/>
        </w:rPr>
      </w:pPr>
      <w:r>
        <w:t>1.5.3.</w:t>
      </w:r>
      <w:r>
        <w:tab/>
      </w:r>
      <w:r>
        <w:rPr>
          <w:noProof/>
        </w:rPr>
        <w:t>Изводи от подобен опит в миналото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Въз основа на анализа на улова в рамките на подобни протоколи в региона, както и на наличните оценки и научни становища страните решиха да определят референтен тонаж за риба тон и тоноподобни в размер на 7000 тона годишно с възможности за риболов за 4 кораба с мрежи гъргър. Секторната подкрепа бе определена на подходящо ниво, за да се вземат предвид нуждите на риболовните органи на островите Кук при изграждане на капацитета, както и приоритетите на националната стратегия в областта на рибарството.</w:t>
      </w:r>
    </w:p>
    <w:p>
      <w:pPr>
        <w:pStyle w:val="ManualHeading3"/>
        <w:rPr>
          <w:bCs/>
          <w:noProof/>
          <w:szCs w:val="24"/>
        </w:rPr>
      </w:pPr>
      <w:r>
        <w:t>1.5.4.</w:t>
      </w:r>
      <w:r>
        <w:tab/>
      </w:r>
      <w:r>
        <w:rPr>
          <w:noProof/>
        </w:rPr>
        <w:t>Съвместимост и евентуална синергия с други актове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Средствата, изплащани в рамките на СПОУР, представляват приходи в бюджетите на третите държави партньори, които по принцип не са определени за конкретни цели. Насочването на част от тези средства към мерки за изпълнение в рамките на националната секторна политика обаче е условие за сключването и наблюдението на СПОУР. Тези финансови ресурси са съвместими с други източници на финансиране от други международни донори за осъществяването на проекти и/или програми, провеждани на национално равнище в сектора на рибарството.</w:t>
      </w:r>
    </w:p>
    <w:p>
      <w:pPr>
        <w:pStyle w:val="ManualHeading2"/>
        <w:rPr>
          <w:bCs/>
          <w:noProof/>
          <w:szCs w:val="24"/>
        </w:rPr>
      </w:pPr>
      <w:r>
        <w:rPr>
          <w:noProof/>
        </w:rPr>
        <w:br w:type="page"/>
      </w:r>
      <w:r>
        <w:lastRenderedPageBreak/>
        <w:t>1.6.</w:t>
      </w:r>
      <w:r>
        <w:tab/>
      </w:r>
      <w:r>
        <w:rPr>
          <w:noProof/>
        </w:rPr>
        <w:t xml:space="preserve">Срок на действие и финансово отражение </w:t>
      </w:r>
    </w:p>
    <w:p>
      <w:pPr>
        <w:pStyle w:val="Text1"/>
        <w:rPr>
          <w:noProof/>
        </w:rPr>
      </w:pPr>
      <w:r>
        <w:rPr>
          <w:noProof/>
        </w:rPr>
        <w:t xml:space="preserve">X Предложение/инициатива с </w:t>
      </w:r>
      <w:r>
        <w:rPr>
          <w:b/>
          <w:noProof/>
        </w:rPr>
        <w:t xml:space="preserve">ограничен срок на действие </w:t>
      </w:r>
    </w:p>
    <w:p>
      <w:pPr>
        <w:pStyle w:val="ListDash2"/>
        <w:rPr>
          <w:noProof/>
        </w:rPr>
      </w:pPr>
      <w:r>
        <w:rPr>
          <w:noProof/>
        </w:rPr>
        <w:t>X</w:t>
      </w:r>
      <w:r>
        <w:rPr>
          <w:noProof/>
        </w:rPr>
        <w:tab/>
        <w:t>Предложение/инициатива в сила от 2016 г. до 2020 г.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Финансово отражение от 2016 г. до 2020 г.</w:t>
      </w:r>
    </w:p>
    <w:p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Предложение/инициатива с </w:t>
      </w:r>
      <w:r>
        <w:rPr>
          <w:b/>
          <w:noProof/>
        </w:rPr>
        <w:t>неограничен срок на действие</w:t>
      </w:r>
    </w:p>
    <w:p>
      <w:pPr>
        <w:pStyle w:val="ListDash1"/>
        <w:rPr>
          <w:noProof/>
        </w:rPr>
      </w:pPr>
      <w:r>
        <w:rPr>
          <w:noProof/>
        </w:rPr>
        <w:t>Осъществяване с период на започване на дейност от ГГГГ до ГГГГ,</w:t>
      </w:r>
    </w:p>
    <w:p>
      <w:pPr>
        <w:pStyle w:val="ListDash1"/>
        <w:rPr>
          <w:noProof/>
        </w:rPr>
      </w:pPr>
      <w:r>
        <w:rPr>
          <w:noProof/>
        </w:rPr>
        <w:t>последван от функциониране с пълен капацитет.</w:t>
      </w:r>
    </w:p>
    <w:p>
      <w:pPr>
        <w:pStyle w:val="ManualHeading2"/>
        <w:rPr>
          <w:bCs/>
          <w:noProof/>
          <w:szCs w:val="24"/>
        </w:rPr>
      </w:pPr>
      <w:r>
        <w:t>1.7.</w:t>
      </w:r>
      <w:r>
        <w:tab/>
      </w:r>
      <w:r>
        <w:rPr>
          <w:noProof/>
        </w:rPr>
        <w:t>Предвидени методи на управление</w:t>
      </w:r>
      <w:r>
        <w:rPr>
          <w:rStyle w:val="FootnoteReference"/>
          <w:noProof/>
        </w:rPr>
        <w:footnoteReference w:id="4"/>
      </w:r>
      <w:r>
        <w:rPr>
          <w:rStyle w:val="FootnoteReference"/>
          <w:noProof/>
        </w:rPr>
        <w:t xml:space="preserve"> </w:t>
      </w:r>
    </w:p>
    <w:p>
      <w:pPr>
        <w:pStyle w:val="Text1"/>
        <w:rPr>
          <w:noProof/>
        </w:rPr>
      </w:pPr>
      <w:r>
        <w:rPr>
          <w:noProof/>
        </w:rPr>
        <w:t xml:space="preserve">X </w:t>
      </w:r>
      <w:r>
        <w:rPr>
          <w:b/>
          <w:noProof/>
        </w:rPr>
        <w:t>Пряко управление</w:t>
      </w:r>
      <w:r>
        <w:rPr>
          <w:noProof/>
        </w:rPr>
        <w:t xml:space="preserve"> от Комисията</w:t>
      </w:r>
    </w:p>
    <w:p>
      <w:pPr>
        <w:pStyle w:val="ListDash2"/>
        <w:rPr>
          <w:rFonts w:cs="EUAlbertina"/>
          <w:noProof/>
        </w:rPr>
      </w:pPr>
      <w:r>
        <w:rPr>
          <w:noProof/>
        </w:rPr>
        <w:t xml:space="preserve">X от нейните служби, включително от нейния персонал в делегациите на Съюза; 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от изпълнителните агенции </w:t>
      </w:r>
    </w:p>
    <w:p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>Споделено управление</w:t>
      </w:r>
      <w:r>
        <w:rPr>
          <w:noProof/>
        </w:rPr>
        <w:t xml:space="preserve"> с държавите членки </w:t>
      </w:r>
    </w:p>
    <w:p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b/>
          <w:noProof/>
        </w:rPr>
        <w:t>Непряко управление</w:t>
      </w:r>
      <w:r>
        <w:rPr>
          <w:noProof/>
        </w:rPr>
        <w:t xml:space="preserve"> чрез делегиране на задачи по изпълнението на бюджета на: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трети държави или органите, определени от тях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международни организации и техните агенции (да се уточни)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ЕИБ и Европейския инвестиционен фонд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органите, посочени в членове 208 и 209 от Финансовия регламент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публичноправни органи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частноправни органи със задължение за обществена услуга, доколкото предоставят подходящи финансови гаранции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органи, уредени в частното право на държава членка, на които е възложено осъществяването на публично-частно партньорство и които предоставят подходящи финансови гаранции</w:t>
      </w:r>
    </w:p>
    <w:p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лица, на които е възложено изпълнението на специфични дейности в областта на ОВППС съгласно дял V от ДЕС и които са посочени в съответния основен акт</w:t>
      </w:r>
    </w:p>
    <w:p>
      <w:pPr>
        <w:pStyle w:val="ListDash2"/>
        <w:rPr>
          <w:i/>
          <w:noProof/>
          <w:sz w:val="18"/>
          <w:u w:val="single"/>
        </w:rPr>
      </w:pPr>
      <w:r>
        <w:rPr>
          <w:i/>
          <w:noProof/>
          <w:sz w:val="18"/>
        </w:rPr>
        <w:t>Ако е посочен повече от един метод на управление, пояснете в частта „Забележки“.</w:t>
      </w:r>
    </w:p>
    <w:p>
      <w:pPr>
        <w:rPr>
          <w:noProof/>
        </w:rPr>
      </w:pPr>
      <w:r>
        <w:rPr>
          <w:noProof/>
        </w:rPr>
        <w:t xml:space="preserve">Забележки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>
      <w:pPr>
        <w:rPr>
          <w:noProof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1"/>
        <w:rPr>
          <w:bCs/>
          <w:noProof/>
          <w:szCs w:val="24"/>
        </w:rPr>
      </w:pPr>
      <w:r>
        <w:lastRenderedPageBreak/>
        <w:t>2.</w:t>
      </w:r>
      <w:r>
        <w:tab/>
      </w:r>
      <w:r>
        <w:rPr>
          <w:noProof/>
        </w:rPr>
        <w:t xml:space="preserve">МЕРКИ ЗА УПРАВЛЕНИЕ 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 xml:space="preserve">Правила за мониторинг и докладване </w:t>
      </w:r>
    </w:p>
    <w:p>
      <w:pPr>
        <w:pStyle w:val="Text1"/>
        <w:rPr>
          <w:i/>
          <w:noProof/>
          <w:sz w:val="20"/>
          <w:u w:val="single"/>
        </w:rPr>
      </w:pPr>
      <w:r>
        <w:rPr>
          <w:i/>
          <w:noProof/>
          <w:sz w:val="20"/>
        </w:rPr>
        <w:t>Да се посочат честотата и условията.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Комисията (ГД „Морско дело и рибарство“ в сътрудничество със своя аташе по риболова, установен в региона) осигурява редовното проследяване на изпълнението на протокола, по-специално по отношение на оползотворяването на възможностите за риболов от страна на операторите и по отношение на данните за улова.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Освен това СПОУР предвижда поне по едно ежегодно заседание на съвместния комитет, по време на което Комисията и островите Кук обсъждат изпълнението на Споразумението и протокола и внасят при необходимост корекции в програмното планиране и, според случая, във финансовото участие.</w:t>
      </w:r>
    </w:p>
    <w:p>
      <w:pPr>
        <w:pStyle w:val="ManualHeading2"/>
        <w:rPr>
          <w:bCs/>
          <w:noProof/>
          <w:szCs w:val="24"/>
        </w:rPr>
      </w:pPr>
      <w:r>
        <w:t>2.2.</w:t>
      </w:r>
      <w:r>
        <w:tab/>
      </w:r>
      <w:r>
        <w:rPr>
          <w:noProof/>
        </w:rPr>
        <w:t xml:space="preserve">Система за управление и контрол </w:t>
      </w:r>
    </w:p>
    <w:p>
      <w:pPr>
        <w:pStyle w:val="ManualHeading3"/>
        <w:rPr>
          <w:noProof/>
        </w:rPr>
      </w:pPr>
      <w:r>
        <w:t>2.2.1.</w:t>
      </w:r>
      <w:r>
        <w:tab/>
      </w:r>
      <w:r>
        <w:rPr>
          <w:noProof/>
        </w:rPr>
        <w:t xml:space="preserve">Установени рискове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Сключването на ново споразумение в областта на рибарството и на съответния протокол е свързано с известни рискове, по-специално по отношение на сумите, предназначени за финансиране на секторната политика в областта на рибарството (подпрограмиране).</w:t>
      </w:r>
    </w:p>
    <w:p>
      <w:pPr>
        <w:pStyle w:val="ManualHeading3"/>
        <w:rPr>
          <w:bCs/>
          <w:noProof/>
          <w:szCs w:val="24"/>
        </w:rPr>
      </w:pPr>
      <w:r>
        <w:t>2.2.2.</w:t>
      </w:r>
      <w:r>
        <w:tab/>
      </w:r>
      <w:r>
        <w:rPr>
          <w:noProof/>
        </w:rPr>
        <w:t>Информация за изградената система за вътрешен контрол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Предвижда се задълбочен диалог за програмното планиране и изпълнението на секторната политика съгласно Споразумението и протокола. Съвместният анализ на резултатите, посочен в член 3 от протокола, също представлява част от тези методи за контрол.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Освен това в Споразумението и протокола се предвиждат специфични клаузи за временното им преустановяване при определени условия и дадени обстоятелства.</w:t>
      </w:r>
    </w:p>
    <w:p>
      <w:pPr>
        <w:pStyle w:val="ManualHeading3"/>
        <w:rPr>
          <w:noProof/>
        </w:rPr>
      </w:pPr>
      <w:r>
        <w:t>2.2.3.</w:t>
      </w:r>
      <w:r>
        <w:tab/>
      </w:r>
      <w:r>
        <w:rPr>
          <w:noProof/>
        </w:rPr>
        <w:t xml:space="preserve">Оценка на разходите и ползите от проверките и на очаквания риск от грешка 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>
      <w:pPr>
        <w:pStyle w:val="ManualHeading2"/>
        <w:rPr>
          <w:bCs/>
          <w:noProof/>
          <w:szCs w:val="24"/>
        </w:rPr>
      </w:pPr>
      <w:r>
        <w:t>2.3.</w:t>
      </w:r>
      <w:r>
        <w:tab/>
      </w:r>
      <w:r>
        <w:rPr>
          <w:noProof/>
        </w:rPr>
        <w:t xml:space="preserve">Мерки за предотвратяване на измами и нередности </w:t>
      </w:r>
    </w:p>
    <w:p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Да се посочат съществуващите или планираните мерки за превенция и защита.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Комисията поема ангажимент да установи политически диалог и редовно съгласуване с островите Кук с цел подобряване на управлението на Споразумението и на протокола и увеличаване на приноса на ЕС за устойчивото управление на ресурсите. Във всички случаи плащанията, които Комисията извършва в рамките на СПОУР, са подчинени на нейните правила и обичайните ѝ бюджетни и финансови процедури. Това позволява, по-специално, да се идентифицират напълно банковите сметки на третите държави, по които се превеждат сумите за финансовото участие. Относно настоящия протокол в член 2, параграф 7 се посочва, че всички елементи на </w:t>
      </w:r>
      <w:r>
        <w:rPr>
          <w:noProof/>
        </w:rPr>
        <w:lastRenderedPageBreak/>
        <w:t>финансовото участие се плащат по банкова сметка на правителството и се записват в националното бюджетно законодателство.</w:t>
      </w:r>
    </w:p>
    <w:p>
      <w:pPr>
        <w:rPr>
          <w:noProof/>
        </w:rPr>
        <w:sectPr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1"/>
        <w:rPr>
          <w:bCs/>
          <w:noProof/>
          <w:szCs w:val="24"/>
        </w:rPr>
      </w:pPr>
      <w:r>
        <w:t>3.</w:t>
      </w:r>
      <w:r>
        <w:tab/>
      </w:r>
      <w:r>
        <w:rPr>
          <w:noProof/>
        </w:rPr>
        <w:t xml:space="preserve">ОЧАКВАНО ФИНАНСОВО ОТРАЖЕНИЕ НА ПРЕДЛОЖЕНИЕТО/ИНИЦИАТИВАТА </w:t>
      </w:r>
    </w:p>
    <w:p>
      <w:pPr>
        <w:pStyle w:val="ManualHeading2"/>
        <w:rPr>
          <w:noProof/>
        </w:rPr>
      </w:pPr>
      <w:r>
        <w:t>3.1.</w:t>
      </w:r>
      <w:r>
        <w:tab/>
      </w:r>
      <w:r>
        <w:rPr>
          <w:noProof/>
        </w:rPr>
        <w:t xml:space="preserve">Съответни функции от многогодишната финансова рамка и разходни бюджетни редове </w:t>
      </w:r>
    </w:p>
    <w:p>
      <w:pPr>
        <w:pStyle w:val="ListBullet1"/>
        <w:rPr>
          <w:noProof/>
        </w:rPr>
      </w:pPr>
      <w:r>
        <w:rPr>
          <w:noProof/>
        </w:rPr>
        <w:t xml:space="preserve">Съществуващи бюджетни редове </w:t>
      </w:r>
    </w:p>
    <w:p>
      <w:pPr>
        <w:pStyle w:val="Text1"/>
        <w:rPr>
          <w:noProof/>
        </w:rPr>
      </w:pPr>
      <w:r>
        <w:rPr>
          <w:noProof/>
          <w:u w:val="single"/>
        </w:rPr>
        <w:t>По реда</w:t>
      </w:r>
      <w:r>
        <w:rPr>
          <w:noProof/>
        </w:rPr>
        <w:t xml:space="preserve"> на функциите от многогодишната финансова рамка и на бюджетните редове</w:t>
      </w: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960"/>
        <w:gridCol w:w="1080"/>
        <w:gridCol w:w="956"/>
        <w:gridCol w:w="1080"/>
        <w:gridCol w:w="956"/>
        <w:gridCol w:w="1448"/>
      </w:tblGrid>
      <w:tr>
        <w:tc>
          <w:tcPr>
            <w:tcW w:w="1080" w:type="dxa"/>
            <w:vMerge w:val="restart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Функция от многогодишната финансова рамка</w:t>
            </w:r>
          </w:p>
        </w:tc>
        <w:tc>
          <w:tcPr>
            <w:tcW w:w="3960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Бюджетен ред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18"/>
              </w:rPr>
              <w:t xml:space="preserve">Вид на 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18"/>
              </w:rPr>
              <w:t>разхода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0"/>
              </w:rPr>
              <w:t xml:space="preserve">Вноска </w:t>
            </w:r>
          </w:p>
        </w:tc>
      </w:tr>
      <w:tr>
        <w:tc>
          <w:tcPr>
            <w:tcW w:w="1080" w:type="dxa"/>
            <w:vMerge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960" w:type="dxa"/>
            <w:vAlign w:val="center"/>
          </w:tcPr>
          <w:p>
            <w:pPr>
              <w:rPr>
                <w:noProof/>
              </w:rPr>
            </w:pPr>
            <w:r>
              <w:rPr>
                <w:noProof/>
                <w:sz w:val="20"/>
              </w:rPr>
              <w:t xml:space="preserve">Номер 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20"/>
              </w:rPr>
              <w:t>[Наименование………………………...………]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Многогод./едногод</w:t>
            </w:r>
            <w:r>
              <w:rPr>
                <w:rStyle w:val="FootnoteReference"/>
                <w:noProof/>
                <w:sz w:val="18"/>
              </w:rPr>
              <w:footnoteReference w:id="5"/>
            </w:r>
            <w:r>
              <w:rPr>
                <w:noProof/>
              </w:rPr>
              <w:t>.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от държави от ЕАСТ</w:t>
            </w:r>
            <w:r>
              <w:rPr>
                <w:rStyle w:val="FootnoteReference"/>
                <w:noProof/>
                <w:sz w:val="18"/>
              </w:rPr>
              <w:footnoteReference w:id="6"/>
            </w:r>
          </w:p>
          <w:p>
            <w:pPr>
              <w:spacing w:before="0" w:after="0"/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от държави кандидатки</w:t>
            </w:r>
            <w:r>
              <w:rPr>
                <w:rStyle w:val="FootnoteReference"/>
                <w:noProof/>
                <w:sz w:val="18"/>
              </w:rPr>
              <w:footnoteReference w:id="7"/>
            </w:r>
          </w:p>
          <w:p>
            <w:pPr>
              <w:spacing w:before="0" w:after="0"/>
              <w:jc w:val="center"/>
              <w:rPr>
                <w:noProof/>
                <w:sz w:val="1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 трети държави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6"/>
              </w:rPr>
              <w:t xml:space="preserve">по смисъла на член 21, параграф 2, буква б) от Финансовия регламент 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2</w:t>
            </w:r>
          </w:p>
        </w:tc>
        <w:tc>
          <w:tcPr>
            <w:tcW w:w="3960" w:type="dxa"/>
            <w:vAlign w:val="center"/>
          </w:tcPr>
          <w:p>
            <w:pPr>
              <w:spacing w:before="60"/>
              <w:rPr>
                <w:noProof/>
              </w:rPr>
            </w:pPr>
            <w:r>
              <w:rPr>
                <w:noProof/>
              </w:rPr>
              <w:t>11.03.01</w:t>
            </w:r>
          </w:p>
          <w:p>
            <w:pPr>
              <w:spacing w:before="60"/>
              <w:rPr>
                <w:noProof/>
              </w:rPr>
            </w:pPr>
            <w:r>
              <w:rPr>
                <w:noProof/>
              </w:rPr>
              <w:t>Установяване на рамка за управление на риболовните дейности, извършвани от риболовните кораби на Европейския съюз във водите на трети държави (СУР)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FF"/>
              </w:rPr>
            </w:pPr>
            <w:r>
              <w:rPr>
                <w:noProof/>
                <w:sz w:val="22"/>
              </w:rPr>
              <w:t>Многогод.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</w:tr>
      <w:t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60"/>
              <w:rPr>
                <w:noProof/>
              </w:rPr>
            </w:pPr>
            <w:r>
              <w:rPr>
                <w:noProof/>
              </w:rPr>
              <w:t>11.010401</w:t>
            </w:r>
          </w:p>
          <w:p>
            <w:pPr>
              <w:spacing w:before="60"/>
              <w:rPr>
                <w:noProof/>
              </w:rPr>
            </w:pPr>
            <w:r>
              <w:rPr>
                <w:noProof/>
              </w:rPr>
              <w:t>Съпътстващи разходи за морско дело и рибарство — неоперативна административна и техническа помощ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Едногод.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НЕ</w:t>
            </w:r>
          </w:p>
        </w:tc>
      </w:tr>
    </w:tbl>
    <w:p>
      <w:pPr>
        <w:pStyle w:val="ListBullet1"/>
        <w:rPr>
          <w:noProof/>
        </w:rPr>
      </w:pPr>
      <w:r>
        <w:rPr>
          <w:noProof/>
        </w:rPr>
        <w:t>Поискани нови бюджетни редове</w:t>
      </w:r>
    </w:p>
    <w:p>
      <w:pPr>
        <w:pStyle w:val="Text1"/>
        <w:rPr>
          <w:i/>
          <w:noProof/>
          <w:sz w:val="20"/>
        </w:rPr>
      </w:pPr>
      <w:r>
        <w:rPr>
          <w:i/>
          <w:noProof/>
          <w:u w:val="single"/>
        </w:rPr>
        <w:t>По реда</w:t>
      </w:r>
      <w:r>
        <w:rPr>
          <w:i/>
          <w:noProof/>
        </w:rPr>
        <w:t xml:space="preserve"> на функциите от многогодишната финансова рамка и на бюджетните редове</w:t>
      </w: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960"/>
        <w:gridCol w:w="1080"/>
        <w:gridCol w:w="956"/>
        <w:gridCol w:w="1080"/>
        <w:gridCol w:w="956"/>
        <w:gridCol w:w="1448"/>
      </w:tblGrid>
      <w:tr>
        <w:tc>
          <w:tcPr>
            <w:tcW w:w="1080" w:type="dxa"/>
            <w:vMerge w:val="restart"/>
            <w:vAlign w:val="center"/>
          </w:tcPr>
          <w:p>
            <w:pPr>
              <w:spacing w:before="60" w:after="6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Функция от многогодишната финансова рамка</w:t>
            </w:r>
          </w:p>
        </w:tc>
        <w:tc>
          <w:tcPr>
            <w:tcW w:w="3960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0"/>
              </w:rPr>
              <w:t>Бюджетен ред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18"/>
              </w:rPr>
              <w:t xml:space="preserve">Вид на 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18"/>
              </w:rPr>
              <w:t>разхода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0"/>
              </w:rPr>
              <w:t xml:space="preserve">Вноска </w:t>
            </w:r>
          </w:p>
        </w:tc>
      </w:tr>
      <w:tr>
        <w:tc>
          <w:tcPr>
            <w:tcW w:w="1080" w:type="dxa"/>
            <w:vMerge/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960" w:type="dxa"/>
            <w:vAlign w:val="center"/>
          </w:tcPr>
          <w:p>
            <w:pPr>
              <w:rPr>
                <w:noProof/>
              </w:rPr>
            </w:pPr>
            <w:r>
              <w:rPr>
                <w:noProof/>
                <w:sz w:val="20"/>
              </w:rPr>
              <w:t xml:space="preserve">Номер 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20"/>
              </w:rPr>
              <w:t>[Наименование………………………………………]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8"/>
              </w:rPr>
              <w:t>Многогод./едногод.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 държави от ЕАСТ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 държави кандидатки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 трети държави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16"/>
              </w:rPr>
              <w:t xml:space="preserve">по смисъла на член 21, параграф 2, буква б) от Финансовия регламент </w:t>
            </w:r>
          </w:p>
        </w:tc>
      </w:tr>
      <w:tr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FF"/>
              </w:rPr>
            </w:pPr>
          </w:p>
        </w:tc>
        <w:tc>
          <w:tcPr>
            <w:tcW w:w="3960" w:type="dxa"/>
            <w:vAlign w:val="center"/>
          </w:tcPr>
          <w:p>
            <w:pPr>
              <w:spacing w:before="60"/>
              <w:rPr>
                <w:noProof/>
              </w:rPr>
            </w:pPr>
            <w:r>
              <w:rPr>
                <w:noProof/>
                <w:sz w:val="22"/>
              </w:rPr>
              <w:t>[XX.YY.YY.YY]</w:t>
            </w:r>
          </w:p>
          <w:p>
            <w:pPr>
              <w:spacing w:after="60"/>
              <w:rPr>
                <w:noProof/>
                <w:color w:val="0000FF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FF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ДА/НЕ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color w:val="0000FF"/>
                <w:sz w:val="18"/>
              </w:rPr>
            </w:pPr>
            <w:r>
              <w:rPr>
                <w:noProof/>
                <w:sz w:val="22"/>
              </w:rPr>
              <w:t>ДА/НЕ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noProof/>
                <w:color w:val="0000FF"/>
                <w:sz w:val="18"/>
              </w:rPr>
            </w:pPr>
            <w:r>
              <w:rPr>
                <w:noProof/>
                <w:sz w:val="22"/>
              </w:rPr>
              <w:t>ДА/НЕ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ДА/НЕ</w:t>
            </w:r>
          </w:p>
        </w:tc>
      </w:tr>
    </w:tbl>
    <w:p>
      <w:pPr>
        <w:rPr>
          <w:noProof/>
        </w:rPr>
        <w:sectPr>
          <w:pgSz w:w="11907" w:h="16840" w:code="1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2"/>
        <w:rPr>
          <w:bCs/>
          <w:noProof/>
          <w:szCs w:val="24"/>
        </w:rPr>
      </w:pPr>
      <w:r>
        <w:t>3.2.</w:t>
      </w:r>
      <w:r>
        <w:tab/>
      </w:r>
      <w:r>
        <w:rPr>
          <w:noProof/>
        </w:rPr>
        <w:t xml:space="preserve">Очаквано отражение върху разходите </w:t>
      </w:r>
    </w:p>
    <w:p>
      <w:pPr>
        <w:pStyle w:val="ManualHeading3"/>
        <w:rPr>
          <w:noProof/>
          <w:u w:val="single"/>
        </w:rPr>
      </w:pPr>
      <w:r>
        <w:t>3.2.1.</w:t>
      </w:r>
      <w:r>
        <w:tab/>
      </w:r>
      <w:r>
        <w:rPr>
          <w:noProof/>
        </w:rPr>
        <w:t xml:space="preserve">Обобщение на очакваното отражение върху разходите </w:t>
      </w:r>
    </w:p>
    <w:p>
      <w:pPr>
        <w:jc w:val="right"/>
        <w:rPr>
          <w:noProof/>
          <w:sz w:val="20"/>
        </w:rPr>
      </w:pPr>
      <w:r>
        <w:rPr>
          <w:noProof/>
          <w:sz w:val="20"/>
        </w:rPr>
        <w:t>млн. евро (до третия знак след десетичната запетая)</w:t>
      </w:r>
    </w:p>
    <w:tbl>
      <w:tblPr>
        <w:tblW w:w="0" w:type="auto"/>
        <w:jc w:val="center"/>
        <w:tblInd w:w="-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>
        <w:trPr>
          <w:jc w:val="center"/>
        </w:trPr>
        <w:tc>
          <w:tcPr>
            <w:tcW w:w="4744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Функция от многогодишната финансова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 xml:space="preserve">рамка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Номер 2</w:t>
            </w:r>
          </w:p>
        </w:tc>
        <w:tc>
          <w:tcPr>
            <w:tcW w:w="7817" w:type="dxa"/>
            <w:vAlign w:val="center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Устойчив растеж: природни ресурси</w:t>
            </w:r>
          </w:p>
        </w:tc>
      </w:tr>
    </w:tbl>
    <w:p>
      <w:pPr>
        <w:rPr>
          <w:noProof/>
          <w:sz w:val="1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120"/>
        <w:gridCol w:w="534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ГД: &lt;…….&gt;</w:t>
            </w:r>
          </w:p>
        </w:tc>
        <w:tc>
          <w:tcPr>
            <w:tcW w:w="1560" w:type="dxa"/>
            <w:gridSpan w:val="2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534" w:type="dxa"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</w:t>
            </w:r>
            <w:r>
              <w:rPr>
                <w:rStyle w:val="FootnoteReference"/>
                <w:b/>
                <w:noProof/>
                <w:sz w:val="20"/>
              </w:rPr>
              <w:footnoteReference w:id="8"/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N+1</w:t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N+2</w:t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2018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N+3</w:t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2019 г.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</w:tr>
      <w:tr>
        <w:trPr>
          <w:trHeight w:val="213"/>
        </w:trPr>
        <w:tc>
          <w:tcPr>
            <w:tcW w:w="6054" w:type="dxa"/>
            <w:gridSpan w:val="4"/>
            <w:vAlign w:val="center"/>
          </w:tcPr>
          <w:p>
            <w:pPr>
              <w:spacing w:before="20" w:after="20"/>
              <w:rPr>
                <w:noProof/>
                <w:sz w:val="21"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 xml:space="preserve"> Бюджетни кредити за оперативни разходи</w:t>
            </w:r>
          </w:p>
        </w:tc>
        <w:tc>
          <w:tcPr>
            <w:tcW w:w="868" w:type="dxa"/>
            <w:vAlign w:val="center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</w:tr>
      <w:tr>
        <w:trPr>
          <w:trHeight w:val="277"/>
        </w:trPr>
        <w:tc>
          <w:tcPr>
            <w:tcW w:w="3960" w:type="dxa"/>
            <w:vMerge w:val="restart"/>
            <w:vAlign w:val="center"/>
          </w:tcPr>
          <w:p>
            <w:pPr>
              <w:rPr>
                <w:noProof/>
              </w:rPr>
            </w:pPr>
            <w:r>
              <w:rPr>
                <w:noProof/>
                <w:sz w:val="20"/>
              </w:rPr>
              <w:t>Номер на бюджетния ред 11.0301</w:t>
            </w: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0,700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2,870</w:t>
            </w:r>
          </w:p>
        </w:tc>
      </w:tr>
      <w:tr>
        <w:tc>
          <w:tcPr>
            <w:tcW w:w="3960" w:type="dxa"/>
            <w:vMerge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(2)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0,700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2,870</w:t>
            </w:r>
          </w:p>
        </w:tc>
      </w:tr>
      <w:tr>
        <w:tc>
          <w:tcPr>
            <w:tcW w:w="3960" w:type="dxa"/>
            <w:vMerge w:val="restart"/>
            <w:vAlign w:val="center"/>
          </w:tcPr>
          <w:p>
            <w:pPr>
              <w:rPr>
                <w:noProof/>
              </w:rPr>
            </w:pPr>
            <w:r>
              <w:rPr>
                <w:noProof/>
                <w:sz w:val="20"/>
              </w:rPr>
              <w:t>Номер на бюджетния ред</w:t>
            </w: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(1a)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c>
          <w:tcPr>
            <w:tcW w:w="3960" w:type="dxa"/>
            <w:vMerge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(2a)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rPr>
          <w:trHeight w:val="231"/>
        </w:trPr>
        <w:tc>
          <w:tcPr>
            <w:tcW w:w="6054" w:type="dxa"/>
            <w:gridSpan w:val="4"/>
            <w:vAlign w:val="center"/>
          </w:tcPr>
          <w:p>
            <w:pPr>
              <w:spacing w:before="20" w:after="20"/>
              <w:rPr>
                <w:noProof/>
              </w:rPr>
            </w:pPr>
            <w:r>
              <w:rPr>
                <w:noProof/>
                <w:sz w:val="21"/>
              </w:rPr>
              <w:t>Бюджетни кредити за административни разходи, финансирани от пакета за определени програми</w:t>
            </w:r>
            <w:r>
              <w:rPr>
                <w:rStyle w:val="FootnoteReference"/>
                <w:noProof/>
                <w:sz w:val="21"/>
              </w:rPr>
              <w:footnoteReference w:id="9"/>
            </w:r>
            <w:r>
              <w:rPr>
                <w:noProof/>
                <w:sz w:val="21"/>
              </w:rPr>
              <w:t xml:space="preserve"> </w:t>
            </w:r>
          </w:p>
          <w:p>
            <w:pPr>
              <w:spacing w:before="0" w:after="0"/>
              <w:rPr>
                <w:noProof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rPr>
                <w:b/>
                <w:noProof/>
                <w:sz w:val="20"/>
              </w:rPr>
            </w:pPr>
          </w:p>
        </w:tc>
      </w:tr>
      <w:tr>
        <w:trPr>
          <w:trHeight w:val="319"/>
        </w:trPr>
        <w:tc>
          <w:tcPr>
            <w:tcW w:w="3960" w:type="dxa"/>
            <w:vAlign w:val="center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  <w:sz w:val="20"/>
              </w:rPr>
              <w:t>Номер на бюджетния ред 11.010401</w:t>
            </w:r>
          </w:p>
        </w:tc>
        <w:tc>
          <w:tcPr>
            <w:tcW w:w="1440" w:type="dxa"/>
            <w:vAlign w:val="center"/>
          </w:tcPr>
          <w:p>
            <w:pPr>
              <w:spacing w:before="40" w:after="40"/>
              <w:jc w:val="right"/>
              <w:rPr>
                <w:noProof/>
                <w:sz w:val="18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(3)</w:t>
            </w: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0,037</w:t>
            </w: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0,037</w:t>
            </w: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0,037</w:t>
            </w: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0,037</w:t>
            </w:r>
          </w:p>
        </w:tc>
        <w:tc>
          <w:tcPr>
            <w:tcW w:w="1777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0,148</w:t>
            </w:r>
          </w:p>
        </w:tc>
      </w:tr>
      <w:tr>
        <w:tc>
          <w:tcPr>
            <w:tcW w:w="3960" w:type="dxa"/>
            <w:vMerge w:val="restart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 xml:space="preserve">за ГД </w:t>
            </w:r>
            <w:r>
              <w:rPr>
                <w:noProof/>
                <w:sz w:val="22"/>
              </w:rPr>
              <w:t>&lt;…….&gt;</w:t>
            </w: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=1+1а +3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0,772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0,772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0,737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0,737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3,018</w:t>
            </w:r>
          </w:p>
        </w:tc>
      </w:tr>
      <w:tr>
        <w:tc>
          <w:tcPr>
            <w:tcW w:w="3960" w:type="dxa"/>
            <w:vMerge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=2+2а</w:t>
            </w:r>
          </w:p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+3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0,772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0,772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0,737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0,737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3,018</w:t>
            </w:r>
          </w:p>
        </w:tc>
      </w:tr>
    </w:tbl>
    <w:p>
      <w:pPr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654"/>
        <w:gridCol w:w="868"/>
        <w:gridCol w:w="868"/>
        <w:gridCol w:w="868"/>
        <w:gridCol w:w="868"/>
        <w:gridCol w:w="1777"/>
      </w:tblGrid>
      <w:tr>
        <w:trPr>
          <w:trHeight w:val="277"/>
        </w:trPr>
        <w:tc>
          <w:tcPr>
            <w:tcW w:w="3960" w:type="dxa"/>
            <w:vMerge w:val="restart"/>
            <w:vAlign w:val="center"/>
          </w:tcPr>
          <w:p>
            <w:pPr>
              <w:spacing w:before="20" w:after="20"/>
              <w:rPr>
                <w:noProof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</w:rPr>
              <w:t xml:space="preserve"> ОБЩО бюджетни кредити за оперативни разходи</w:t>
            </w:r>
          </w:p>
        </w:tc>
        <w:tc>
          <w:tcPr>
            <w:tcW w:w="1440" w:type="dxa"/>
            <w:vAlign w:val="center"/>
          </w:tcPr>
          <w:p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(4)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0,700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2,870</w:t>
            </w:r>
          </w:p>
        </w:tc>
      </w:tr>
      <w:tr>
        <w:tc>
          <w:tcPr>
            <w:tcW w:w="3960" w:type="dxa"/>
            <w:vMerge/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(5)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0,635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0,700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0,700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2,870</w:t>
            </w:r>
          </w:p>
        </w:tc>
      </w:tr>
      <w:tr>
        <w:trPr>
          <w:trHeight w:val="533"/>
        </w:trPr>
        <w:tc>
          <w:tcPr>
            <w:tcW w:w="5400" w:type="dxa"/>
            <w:gridSpan w:val="2"/>
            <w:vAlign w:val="center"/>
          </w:tcPr>
          <w:p>
            <w:pPr>
              <w:spacing w:beforeLines="20" w:before="48" w:afterLines="20" w:after="48"/>
              <w:rPr>
                <w:noProof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 xml:space="preserve"> ОБЩО бюджетни кредити за административни разходи, финансирани от пакета за определени програми </w:t>
            </w:r>
          </w:p>
        </w:tc>
        <w:tc>
          <w:tcPr>
            <w:tcW w:w="654" w:type="dxa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(6)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0,037</w:t>
            </w: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0,037</w:t>
            </w: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0,037</w:t>
            </w:r>
          </w:p>
        </w:tc>
        <w:tc>
          <w:tcPr>
            <w:tcW w:w="868" w:type="dxa"/>
            <w:vAlign w:val="center"/>
          </w:tcPr>
          <w:p>
            <w:pPr>
              <w:spacing w:before="40" w:after="4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0,037</w:t>
            </w:r>
          </w:p>
        </w:tc>
        <w:tc>
          <w:tcPr>
            <w:tcW w:w="1777" w:type="dxa"/>
            <w:vAlign w:val="center"/>
          </w:tcPr>
          <w:p>
            <w:pPr>
              <w:spacing w:before="40" w:after="4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0,148</w:t>
            </w:r>
          </w:p>
        </w:tc>
      </w:tr>
      <w:tr>
        <w:tc>
          <w:tcPr>
            <w:tcW w:w="3960" w:type="dxa"/>
            <w:vMerge w:val="restart"/>
            <w:shd w:val="thinDiagStripe" w:color="C0C0C0" w:fill="auto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за ФУНКЦИЯ 2&gt;</w:t>
            </w:r>
            <w:r>
              <w:rPr>
                <w:noProof/>
                <w:sz w:val="22"/>
              </w:rPr>
              <w:br/>
              <w:t>от многогодишната финансова рамка</w:t>
            </w: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=4+ 6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0,772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0,772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0,737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0,737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3,018</w:t>
            </w:r>
          </w:p>
        </w:tc>
      </w:tr>
      <w:tr>
        <w:tc>
          <w:tcPr>
            <w:tcW w:w="3960" w:type="dxa"/>
            <w:vMerge/>
            <w:shd w:val="thinDiagStripe" w:color="C0C0C0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=5+ 6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0,772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0,772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0,737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0,737</w:t>
            </w: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3,018</w:t>
            </w:r>
          </w:p>
        </w:tc>
      </w:tr>
    </w:tbl>
    <w:p>
      <w:pPr>
        <w:spacing w:after="40"/>
        <w:rPr>
          <w:b/>
          <w:noProof/>
          <w:sz w:val="22"/>
          <w:u w:val="single"/>
        </w:rPr>
      </w:pPr>
      <w:r>
        <w:rPr>
          <w:b/>
          <w:noProof/>
          <w:sz w:val="22"/>
          <w:u w:val="single"/>
        </w:rPr>
        <w:t>Ако предложението/инициативата има отражение върху повече от една функция:</w:t>
      </w:r>
    </w:p>
    <w:tbl>
      <w:tblPr>
        <w:tblW w:w="0" w:type="auto"/>
        <w:tblInd w:w="-25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654"/>
        <w:gridCol w:w="868"/>
        <w:gridCol w:w="868"/>
        <w:gridCol w:w="868"/>
        <w:gridCol w:w="868"/>
        <w:gridCol w:w="868"/>
        <w:gridCol w:w="1777"/>
      </w:tblGrid>
      <w:tr>
        <w:trPr>
          <w:trHeight w:val="27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rPr>
                <w:noProof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 xml:space="preserve"> ОБЩО бюджетни кредити за оперативни разходи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(4)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0000"/>
            </w:tcBorders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tcBorders>
              <w:top w:val="single" w:sz="4" w:space="0" w:color="auto"/>
            </w:tcBorders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(5)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3"/>
        </w:trPr>
        <w:tc>
          <w:tcPr>
            <w:tcW w:w="540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beforeLines="20" w:before="48" w:afterLines="20" w:after="48"/>
              <w:rPr>
                <w:noProof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 xml:space="preserve"> ОБЩО бюджетни кредити за административни разходи, финансирани от пакета за определени програми 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(6)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0000"/>
            </w:tcBorders>
            <w:shd w:val="thinDiagStripe" w:color="C0C0C0" w:fill="auto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за ФУНКЦИИ 1—4</w:t>
            </w:r>
            <w:r>
              <w:rPr>
                <w:noProof/>
                <w:sz w:val="22"/>
              </w:rPr>
              <w:br/>
              <w:t>от многогодишната финансова рамка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20"/>
              </w:rPr>
              <w:t>(Референтна стойност)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=4+ 6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>
        <w:tc>
          <w:tcPr>
            <w:tcW w:w="3960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</w:tcBorders>
            <w:shd w:val="thinDiagStripe" w:color="C0C0C0" w:fill="auto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=5+ 6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tbl>
      <w:tblPr>
        <w:tblW w:w="0" w:type="auto"/>
        <w:jc w:val="center"/>
        <w:tblInd w:w="-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>
        <w:trPr>
          <w:jc w:val="center"/>
        </w:trPr>
        <w:tc>
          <w:tcPr>
            <w:tcW w:w="4744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b/>
                <w:noProof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</w:rPr>
              <w:t>Функция от многогодишната финансова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 xml:space="preserve">рамка </w:t>
            </w:r>
          </w:p>
        </w:tc>
        <w:tc>
          <w:tcPr>
            <w:tcW w:w="1080" w:type="dxa"/>
            <w:shd w:val="thinDiagStripe" w:color="C0C0C0" w:fill="auto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b/>
                <w:noProof/>
                <w:sz w:val="22"/>
              </w:rPr>
              <w:t>5</w:t>
            </w:r>
          </w:p>
        </w:tc>
        <w:tc>
          <w:tcPr>
            <w:tcW w:w="7817" w:type="dxa"/>
            <w:vAlign w:val="center"/>
          </w:tcPr>
          <w:p>
            <w:pPr>
              <w:spacing w:before="60" w:after="60"/>
              <w:rPr>
                <w:noProof/>
              </w:rPr>
            </w:pPr>
            <w:r>
              <w:rPr>
                <w:noProof/>
                <w:sz w:val="22"/>
              </w:rPr>
              <w:t>„Административни разходи“</w:t>
            </w:r>
          </w:p>
        </w:tc>
      </w:tr>
    </w:tbl>
    <w:p>
      <w:pPr>
        <w:jc w:val="right"/>
        <w:rPr>
          <w:noProof/>
          <w:sz w:val="20"/>
        </w:rPr>
      </w:pPr>
      <w:r>
        <w:rPr>
          <w:noProof/>
          <w:sz w:val="20"/>
        </w:rPr>
        <w:t>млн. евро (до третия знак след десетичната запетая)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560"/>
        <w:gridCol w:w="534"/>
        <w:gridCol w:w="868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</w:tcBorders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</w:t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N+1</w:t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N+2</w:t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2018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N+3</w:t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2019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</w:tr>
      <w:tr>
        <w:trPr>
          <w:gridAfter w:val="8"/>
          <w:wAfter w:w="8211" w:type="dxa"/>
        </w:trPr>
        <w:tc>
          <w:tcPr>
            <w:tcW w:w="3960" w:type="dxa"/>
            <w:vAlign w:val="center"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  <w:sz w:val="22"/>
              </w:rPr>
              <w:t>ГД: „Морско дело и рибарство“</w:t>
            </w:r>
          </w:p>
        </w:tc>
      </w:tr>
      <w:tr>
        <w:trPr>
          <w:trHeight w:val="313"/>
        </w:trPr>
        <w:tc>
          <w:tcPr>
            <w:tcW w:w="6054" w:type="dxa"/>
            <w:gridSpan w:val="3"/>
            <w:vAlign w:val="center"/>
          </w:tcPr>
          <w:p>
            <w:pPr>
              <w:spacing w:before="20" w:after="20"/>
              <w:rPr>
                <w:noProof/>
              </w:rPr>
            </w:pPr>
            <w:r>
              <w:rPr>
                <w:noProof/>
                <w:sz w:val="22"/>
              </w:rPr>
              <w:sym w:font="Wingdings" w:char="F09F"/>
            </w:r>
            <w:r>
              <w:rPr>
                <w:noProof/>
              </w:rPr>
              <w:t xml:space="preserve"> Човешки ресурси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0,113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0,113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0,113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0,113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0,452</w:t>
            </w:r>
          </w:p>
        </w:tc>
      </w:tr>
      <w:tr>
        <w:trPr>
          <w:trHeight w:val="351"/>
        </w:trPr>
        <w:tc>
          <w:tcPr>
            <w:tcW w:w="6054" w:type="dxa"/>
            <w:gridSpan w:val="3"/>
            <w:vAlign w:val="center"/>
          </w:tcPr>
          <w:p>
            <w:pPr>
              <w:spacing w:before="20" w:after="20"/>
              <w:rPr>
                <w:noProof/>
              </w:rPr>
            </w:pPr>
            <w:r>
              <w:rPr>
                <w:noProof/>
                <w:sz w:val="22"/>
              </w:rPr>
              <w:sym w:font="Wingdings" w:char="F09F"/>
            </w:r>
            <w:r>
              <w:rPr>
                <w:noProof/>
              </w:rPr>
              <w:t xml:space="preserve"> Други административни разходи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0,009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0,009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0,009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0,009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0,036</w:t>
            </w:r>
          </w:p>
        </w:tc>
      </w:tr>
      <w:tr>
        <w:tc>
          <w:tcPr>
            <w:tcW w:w="3960" w:type="dxa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ОБЩО ГД</w:t>
            </w:r>
            <w:r>
              <w:rPr>
                <w:noProof/>
              </w:rPr>
              <w:t xml:space="preserve"> „Морско дело и рибарство“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rPr>
                <w:noProof/>
                <w:sz w:val="14"/>
              </w:rPr>
            </w:pPr>
            <w:r>
              <w:rPr>
                <w:noProof/>
                <w:sz w:val="18"/>
              </w:rPr>
              <w:t xml:space="preserve">Бюджетни кредити 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0,122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0,122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0,122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0,122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0,488</w:t>
            </w:r>
          </w:p>
        </w:tc>
      </w:tr>
    </w:tbl>
    <w:p>
      <w:pPr>
        <w:rPr>
          <w:noProof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2094"/>
        <w:gridCol w:w="868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shd w:val="thinDiagStripe" w:color="C0C0C0" w:fill="auto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за ФУНКЦИЯ 5</w:t>
            </w:r>
            <w:r>
              <w:rPr>
                <w:noProof/>
                <w:sz w:val="22"/>
              </w:rPr>
              <w:br/>
              <w:t>от многогодишната финансова рамка</w:t>
            </w:r>
            <w:r>
              <w:rPr>
                <w:b/>
                <w:noProof/>
                <w:sz w:val="22"/>
              </w:rPr>
              <w:t xml:space="preserve"> </w:t>
            </w:r>
          </w:p>
        </w:tc>
        <w:tc>
          <w:tcPr>
            <w:tcW w:w="2094" w:type="dxa"/>
            <w:vAlign w:val="center"/>
          </w:tcPr>
          <w:p>
            <w:pPr>
              <w:spacing w:before="40" w:after="40"/>
              <w:rPr>
                <w:noProof/>
              </w:rPr>
            </w:pPr>
            <w:r>
              <w:rPr>
                <w:noProof/>
                <w:sz w:val="18"/>
              </w:rPr>
              <w:t>(Общо поети задължения = oбщо плащания)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0,122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0,122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0,122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0,122</w:t>
            </w:r>
          </w:p>
        </w:tc>
        <w:tc>
          <w:tcPr>
            <w:tcW w:w="868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0,488</w:t>
            </w:r>
          </w:p>
        </w:tc>
      </w:tr>
    </w:tbl>
    <w:p>
      <w:pPr>
        <w:jc w:val="right"/>
        <w:rPr>
          <w:noProof/>
          <w:sz w:val="20"/>
        </w:rPr>
      </w:pPr>
      <w:r>
        <w:rPr>
          <w:noProof/>
          <w:sz w:val="20"/>
        </w:rPr>
        <w:t>млн. евро (до третия знак след десетичната запетая)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560"/>
        <w:gridCol w:w="534"/>
        <w:gridCol w:w="868"/>
        <w:gridCol w:w="868"/>
        <w:gridCol w:w="868"/>
        <w:gridCol w:w="868"/>
        <w:gridCol w:w="868"/>
        <w:gridCol w:w="1777"/>
      </w:tblGrid>
      <w:tr>
        <w:tc>
          <w:tcPr>
            <w:tcW w:w="39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>
            <w:pPr>
              <w:rPr>
                <w:noProof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</w:tcBorders>
          </w:tcPr>
          <w:p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</w:t>
            </w:r>
            <w:r>
              <w:rPr>
                <w:rStyle w:val="FootnoteReference"/>
                <w:b/>
                <w:noProof/>
                <w:sz w:val="20"/>
              </w:rPr>
              <w:footnoteReference w:id="10"/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N+1</w:t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N+2</w:t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2018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N+3</w:t>
            </w:r>
          </w:p>
          <w:p>
            <w:pPr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2019 г.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</w:tr>
      <w:tr>
        <w:tc>
          <w:tcPr>
            <w:tcW w:w="3960" w:type="dxa"/>
            <w:vMerge w:val="restart"/>
            <w:shd w:val="clear" w:color="auto" w:fill="C0C0C0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за ФУНКЦИИ 1—5</w:t>
            </w:r>
            <w:r>
              <w:rPr>
                <w:noProof/>
                <w:sz w:val="22"/>
              </w:rPr>
              <w:br/>
              <w:t>от многогодишната финансова рамка</w:t>
            </w:r>
            <w:r>
              <w:rPr>
                <w:b/>
                <w:noProof/>
                <w:sz w:val="22"/>
              </w:rPr>
              <w:t xml:space="preserve"> 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rPr>
                <w:noProof/>
                <w:sz w:val="14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0,894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0,894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0,859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0,859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60" w:after="6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3,506</w:t>
            </w:r>
          </w:p>
        </w:tc>
      </w:tr>
      <w:tr>
        <w:tc>
          <w:tcPr>
            <w:tcW w:w="3960" w:type="dxa"/>
            <w:vMerge/>
            <w:shd w:val="clear" w:color="auto" w:fill="C0C0C0"/>
          </w:tcPr>
          <w:p>
            <w:pPr>
              <w:rPr>
                <w:noProof/>
                <w:sz w:val="20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rPr>
                <w:noProof/>
                <w:sz w:val="14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0,894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0,894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0,859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0,859</w:t>
            </w:r>
          </w:p>
        </w:tc>
        <w:tc>
          <w:tcPr>
            <w:tcW w:w="868" w:type="dxa"/>
            <w:vAlign w:val="center"/>
          </w:tcPr>
          <w:p>
            <w:pPr>
              <w:spacing w:before="60" w:after="6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before="60" w:after="6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3,506</w:t>
            </w:r>
          </w:p>
        </w:tc>
      </w:tr>
    </w:tbl>
    <w:p>
      <w:pPr>
        <w:rPr>
          <w:noProof/>
        </w:rPr>
        <w:sectPr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7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3"/>
        <w:rPr>
          <w:bCs/>
          <w:noProof/>
          <w:szCs w:val="24"/>
        </w:rPr>
      </w:pPr>
      <w:r>
        <w:t>3.2.2.</w:t>
      </w:r>
      <w:r>
        <w:tab/>
      </w:r>
      <w:r>
        <w:rPr>
          <w:noProof/>
        </w:rPr>
        <w:t xml:space="preserve">Очаквано отражение върху бюджетните кредити за оперативни разходи 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Предложението/инициативата не налага използване на бюджетни кредити за оперативни разходи. </w:t>
      </w:r>
    </w:p>
    <w:p>
      <w:pPr>
        <w:pStyle w:val="ListDash1"/>
        <w:rPr>
          <w:noProof/>
        </w:rPr>
      </w:pPr>
      <w:r>
        <w:rPr>
          <w:noProof/>
        </w:rPr>
        <w:t>X</w:t>
      </w:r>
      <w:r>
        <w:rPr>
          <w:noProof/>
        </w:rPr>
        <w:tab/>
        <w:t>Предложението/инициативата налага използване на бюджетни кредити за оперативни разходи съгласно обяснението по-долу:</w:t>
      </w:r>
    </w:p>
    <w:p>
      <w:pPr>
        <w:jc w:val="right"/>
        <w:rPr>
          <w:noProof/>
          <w:sz w:val="20"/>
        </w:rPr>
      </w:pPr>
      <w:r>
        <w:rPr>
          <w:noProof/>
          <w:sz w:val="20"/>
        </w:rPr>
        <w:t>Бюджетни кредити за поети задължения в млн. евро (до третия знак след десетичната запетая)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720"/>
        <w:gridCol w:w="701"/>
        <w:gridCol w:w="504"/>
        <w:gridCol w:w="720"/>
        <w:gridCol w:w="540"/>
        <w:gridCol w:w="720"/>
        <w:gridCol w:w="720"/>
        <w:gridCol w:w="720"/>
        <w:gridCol w:w="900"/>
        <w:gridCol w:w="51"/>
        <w:gridCol w:w="669"/>
        <w:gridCol w:w="540"/>
        <w:gridCol w:w="648"/>
        <w:gridCol w:w="12"/>
        <w:gridCol w:w="420"/>
        <w:gridCol w:w="720"/>
        <w:gridCol w:w="60"/>
        <w:gridCol w:w="480"/>
        <w:gridCol w:w="720"/>
        <w:gridCol w:w="720"/>
        <w:gridCol w:w="900"/>
      </w:tblGrid>
      <w:tr>
        <w:trPr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ind w:right="-29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Да се посочат целите и резултатите </w:t>
            </w:r>
          </w:p>
          <w:p>
            <w:pPr>
              <w:ind w:right="-29"/>
              <w:jc w:val="center"/>
              <w:rPr>
                <w:b/>
                <w:noProof/>
                <w:sz w:val="18"/>
                <w:szCs w:val="18"/>
              </w:rPr>
            </w:pPr>
          </w:p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sym w:font="Wingdings" w:char="F0F2"/>
            </w:r>
          </w:p>
        </w:tc>
        <w:tc>
          <w:tcPr>
            <w:tcW w:w="720" w:type="dxa"/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tcBorders>
              <w:left w:val="nil"/>
            </w:tcBorders>
            <w:vAlign w:val="center"/>
          </w:tcPr>
          <w:p>
            <w:pPr>
              <w:ind w:right="-29"/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</w:t>
            </w:r>
          </w:p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2016 г.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right="-29"/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N+1</w:t>
            </w:r>
          </w:p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2017 г.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right="-29"/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N+2</w:t>
            </w:r>
          </w:p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2018 г.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ind w:right="-29"/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N+3</w:t>
            </w:r>
          </w:p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2019 г.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ОБЩО</w:t>
            </w:r>
          </w:p>
        </w:tc>
      </w:tr>
      <w:tr>
        <w:trPr>
          <w:jc w:val="center"/>
        </w:trPr>
        <w:tc>
          <w:tcPr>
            <w:tcW w:w="1423" w:type="dxa"/>
            <w:vMerge/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185" w:type="dxa"/>
            <w:gridSpan w:val="21"/>
            <w:vAlign w:val="center"/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РЕЗУЛТАТИ</w:t>
            </w:r>
          </w:p>
        </w:tc>
      </w:tr>
      <w:tr>
        <w:trPr>
          <w:cantSplit/>
          <w:trHeight w:val="1134"/>
          <w:jc w:val="center"/>
        </w:trPr>
        <w:tc>
          <w:tcPr>
            <w:tcW w:w="1423" w:type="dxa"/>
            <w:vMerge/>
            <w:vAlign w:val="center"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Вид резултат</w:t>
            </w:r>
            <w:r>
              <w:rPr>
                <w:rStyle w:val="FootnoteReference"/>
                <w:noProof/>
                <w:sz w:val="18"/>
              </w:rPr>
              <w:footnoteReference w:id="11"/>
            </w:r>
          </w:p>
          <w:p>
            <w:pPr>
              <w:spacing w:before="0" w:after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Среден разход за резултата</w:t>
            </w:r>
          </w:p>
        </w:tc>
        <w:tc>
          <w:tcPr>
            <w:tcW w:w="504" w:type="dxa"/>
            <w:tcBorders>
              <w:left w:val="nil"/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резултати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резултати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резултати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90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резултати</w:t>
            </w:r>
          </w:p>
        </w:tc>
        <w:tc>
          <w:tcPr>
            <w:tcW w:w="720" w:type="dxa"/>
            <w:gridSpan w:val="2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резултати</w:t>
            </w:r>
          </w:p>
        </w:tc>
        <w:tc>
          <w:tcPr>
            <w:tcW w:w="648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432" w:type="dxa"/>
            <w:gridSpan w:val="2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резултати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540" w:type="dxa"/>
            <w:gridSpan w:val="2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резултати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Общ брой на резултатите</w:t>
            </w:r>
          </w:p>
        </w:tc>
        <w:tc>
          <w:tcPr>
            <w:tcW w:w="90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Общо разходи</w:t>
            </w:r>
          </w:p>
        </w:tc>
      </w:tr>
      <w:tr>
        <w:trPr>
          <w:jc w:val="center"/>
        </w:trPr>
        <w:tc>
          <w:tcPr>
            <w:tcW w:w="2844" w:type="dxa"/>
            <w:gridSpan w:val="3"/>
            <w:vAlign w:val="center"/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КОНКРЕТНА ЦЕЛ № 1</w:t>
            </w:r>
            <w:r>
              <w:rPr>
                <w:rStyle w:val="FootnoteReference"/>
                <w:noProof/>
                <w:sz w:val="18"/>
              </w:rPr>
              <w:footnoteReference w:id="12"/>
            </w:r>
            <w:r>
              <w:rPr>
                <w:noProof/>
                <w:sz w:val="18"/>
              </w:rPr>
              <w:t>…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1423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- разрешения за кораби</w:t>
            </w: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t/година</w:t>
            </w:r>
          </w:p>
        </w:tc>
        <w:tc>
          <w:tcPr>
            <w:tcW w:w="701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rStyle w:val="FootnoteReference"/>
                <w:noProof/>
                <w:sz w:val="18"/>
              </w:rPr>
              <w:footnoteReference w:id="13"/>
            </w:r>
          </w:p>
        </w:tc>
        <w:tc>
          <w:tcPr>
            <w:tcW w:w="504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0,385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0,385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0,350</w:t>
            </w:r>
          </w:p>
        </w:tc>
        <w:tc>
          <w:tcPr>
            <w:tcW w:w="90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0,350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1,470</w:t>
            </w:r>
          </w:p>
        </w:tc>
      </w:tr>
      <w:tr>
        <w:trPr>
          <w:trHeight w:hRule="exact" w:val="369"/>
          <w:jc w:val="center"/>
        </w:trPr>
        <w:tc>
          <w:tcPr>
            <w:tcW w:w="1423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- секторна подкрепа</w:t>
            </w: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годишно</w:t>
            </w:r>
          </w:p>
        </w:tc>
        <w:tc>
          <w:tcPr>
            <w:tcW w:w="701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0,325</w:t>
            </w:r>
          </w:p>
        </w:tc>
        <w:tc>
          <w:tcPr>
            <w:tcW w:w="504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0,350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0,350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0,350</w:t>
            </w:r>
          </w:p>
        </w:tc>
        <w:tc>
          <w:tcPr>
            <w:tcW w:w="90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0,350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righ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1,400</w:t>
            </w:r>
          </w:p>
        </w:tc>
      </w:tr>
      <w:tr>
        <w:trPr>
          <w:trHeight w:hRule="exact" w:val="369"/>
          <w:jc w:val="center"/>
        </w:trPr>
        <w:tc>
          <w:tcPr>
            <w:tcW w:w="1423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04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gridSpan w:val="2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2844" w:type="dxa"/>
            <w:gridSpan w:val="3"/>
            <w:tcBorders>
              <w:bottom w:val="single" w:sz="12" w:space="0" w:color="auto"/>
            </w:tcBorders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Междинен сбор за конкретна цел № 1</w:t>
            </w:r>
          </w:p>
        </w:tc>
        <w:tc>
          <w:tcPr>
            <w:tcW w:w="504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0,735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0,735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0,700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0,700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2,870</w:t>
            </w:r>
          </w:p>
        </w:tc>
      </w:tr>
      <w:tr>
        <w:trPr>
          <w:jc w:val="center"/>
        </w:trPr>
        <w:tc>
          <w:tcPr>
            <w:tcW w:w="2844" w:type="dxa"/>
            <w:gridSpan w:val="3"/>
            <w:vAlign w:val="center"/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КОНКРЕТНА ЦЕЛ № 2 …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1423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- Резултат</w:t>
            </w: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04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gridSpan w:val="2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2844" w:type="dxa"/>
            <w:gridSpan w:val="3"/>
            <w:tcBorders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Междинен сбор за конкретна цел № 2</w:t>
            </w:r>
          </w:p>
        </w:tc>
        <w:tc>
          <w:tcPr>
            <w:tcW w:w="504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jc w:val="center"/>
        </w:trPr>
        <w:tc>
          <w:tcPr>
            <w:tcW w:w="2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ОБЩО РАЗХОДИ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0,735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0,735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0,700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0,700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180" w:after="18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2,870</w:t>
            </w:r>
          </w:p>
        </w:tc>
      </w:tr>
    </w:tbl>
    <w:p>
      <w:pPr>
        <w:rPr>
          <w:noProof/>
        </w:rPr>
        <w:sectPr>
          <w:pgSz w:w="16840" w:h="11907" w:orient="landscape" w:code="9"/>
          <w:pgMar w:top="1134" w:right="1418" w:bottom="567" w:left="1418" w:header="709" w:footer="709" w:gutter="0"/>
          <w:cols w:space="708"/>
          <w:docGrid w:linePitch="360"/>
        </w:sectPr>
      </w:pPr>
    </w:p>
    <w:p>
      <w:pPr>
        <w:pStyle w:val="ManualHeading3"/>
        <w:rPr>
          <w:bCs/>
          <w:noProof/>
          <w:szCs w:val="24"/>
        </w:rPr>
      </w:pPr>
      <w:r>
        <w:t>3.2.3.</w:t>
      </w:r>
      <w:r>
        <w:tab/>
      </w:r>
      <w:r>
        <w:rPr>
          <w:noProof/>
        </w:rPr>
        <w:t>Очаквано отражение върху бюджетните кредити за административни разходи</w:t>
      </w:r>
    </w:p>
    <w:p>
      <w:pPr>
        <w:pStyle w:val="ManualHeading4"/>
        <w:rPr>
          <w:noProof/>
        </w:rPr>
      </w:pPr>
      <w:r>
        <w:t>3.2.3.1.</w:t>
      </w:r>
      <w:r>
        <w:tab/>
      </w:r>
      <w:r>
        <w:rPr>
          <w:noProof/>
        </w:rPr>
        <w:t xml:space="preserve">Обобщение 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Предложението/инициативата не налага използване на бюджетни кредити за административни разходи. </w:t>
      </w:r>
    </w:p>
    <w:p>
      <w:pPr>
        <w:pStyle w:val="ListDash1"/>
        <w:rPr>
          <w:noProof/>
        </w:rPr>
      </w:pPr>
      <w:r>
        <w:rPr>
          <w:noProof/>
        </w:rPr>
        <w:t>X</w:t>
      </w:r>
      <w:r>
        <w:rPr>
          <w:noProof/>
        </w:rPr>
        <w:tab/>
        <w:t>Предложението/инициативата налага използване на бюджетни кредити за административни разходи съгласно обяснението по-долу:</w:t>
      </w:r>
    </w:p>
    <w:p>
      <w:pPr>
        <w:rPr>
          <w:noProof/>
          <w:sz w:val="20"/>
        </w:rPr>
      </w:pPr>
      <w:r>
        <w:rPr>
          <w:noProof/>
          <w:sz w:val="20"/>
        </w:rPr>
        <w:t>млн. евро (до третия знак след десетичната запетая)</w:t>
      </w: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</w:tcPr>
          <w:p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N </w:t>
            </w:r>
            <w:r>
              <w:rPr>
                <w:rStyle w:val="FootnoteReference"/>
                <w:b/>
                <w:noProof/>
                <w:sz w:val="16"/>
              </w:rPr>
              <w:footnoteReference w:id="14"/>
            </w:r>
          </w:p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2016 г.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N+1</w:t>
            </w:r>
          </w:p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2017 г.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N+2</w:t>
            </w:r>
          </w:p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2018 г.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N+3</w:t>
            </w:r>
          </w:p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2019 г.</w:t>
            </w:r>
          </w:p>
        </w:tc>
        <w:tc>
          <w:tcPr>
            <w:tcW w:w="1080" w:type="dxa"/>
            <w:vAlign w:val="center"/>
          </w:tcPr>
          <w:p>
            <w:pPr>
              <w:spacing w:line="200" w:lineRule="exact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00" w:lineRule="exact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00" w:lineRule="exact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</w:tr>
    </w:tbl>
    <w:p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ФУНКЦИЯ 5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от многогодишната финансова рамка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Човешки ресурси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0,113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0,113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0,113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0,113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0,452</w:t>
            </w: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Други административни разходи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0,009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0,009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0,009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0,009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0,036</w:t>
            </w:r>
          </w:p>
        </w:tc>
      </w:tr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Междинен сбор за ФУНКЦИЯ 5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от многогодишната финансова рамка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0,122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0,122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0,122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0,122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0,488</w:t>
            </w:r>
          </w:p>
        </w:tc>
      </w:tr>
    </w:tbl>
    <w:p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Извън ФУНКЦИЯ 5</w:t>
            </w:r>
            <w:r>
              <w:rPr>
                <w:rStyle w:val="FootnoteReference"/>
                <w:b/>
                <w:noProof/>
                <w:sz w:val="16"/>
              </w:rPr>
              <w:footnoteReference w:id="15"/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от многогодишната финансова рамка </w:t>
            </w:r>
          </w:p>
          <w:p>
            <w:pPr>
              <w:spacing w:before="0" w:after="0" w:line="200" w:lineRule="exact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Човешки ресурси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0,031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0,031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0,031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0,031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0,124</w:t>
            </w:r>
          </w:p>
        </w:tc>
      </w:tr>
      <w:tr>
        <w:trPr>
          <w:trHeight w:val="585"/>
        </w:trPr>
        <w:tc>
          <w:tcPr>
            <w:tcW w:w="1980" w:type="dxa"/>
            <w:vAlign w:val="center"/>
          </w:tcPr>
          <w:p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Други разходи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16"/>
              </w:rPr>
              <w:t>с административен характер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0,006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0,006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0,006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0,006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0,024</w:t>
            </w:r>
          </w:p>
        </w:tc>
      </w:tr>
      <w:tr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 xml:space="preserve">Междинен сбор 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извън ФУНКЦИЯ 5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от многогодишната финансова рамка 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0,037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0,037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0,037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0,037</w:t>
            </w: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0,148</w:t>
            </w:r>
          </w:p>
        </w:tc>
      </w:tr>
    </w:tbl>
    <w:p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58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0,159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0,159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0,159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0,159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0,636</w:t>
            </w:r>
          </w:p>
        </w:tc>
      </w:tr>
    </w:tbl>
    <w:p>
      <w:pPr>
        <w:rPr>
          <w:noProof/>
          <w:sz w:val="18"/>
        </w:rPr>
        <w:sectPr>
          <w:headerReference w:type="default" r:id="rId17"/>
          <w:footerReference w:type="default" r:id="rId18"/>
          <w:headerReference w:type="first" r:id="rId19"/>
          <w:footerReference w:type="first" r:id="rId20"/>
          <w:pgSz w:w="11907" w:h="16840"/>
          <w:pgMar w:top="1134" w:right="1418" w:bottom="1134" w:left="1418" w:header="709" w:footer="709" w:gutter="0"/>
          <w:cols w:space="708"/>
          <w:docGrid w:linePitch="360"/>
        </w:sectPr>
      </w:pPr>
      <w:r>
        <w:rPr>
          <w:noProof/>
          <w:sz w:val="18"/>
        </w:rPr>
        <w:t>Нуждите от бюджетни кредити за човешки ресурси и за другите разходи с административен характер ще бъдат покрити с бюджетните кредити на ГД, които вече са отпуснати за управлението на дейността и/или които са преразпределени в рамките на ГД, при необходимост заедно с всички допълнителни ресурси,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ограничения.</w:t>
      </w:r>
    </w:p>
    <w:p>
      <w:pPr>
        <w:pStyle w:val="ManualHeading4"/>
        <w:rPr>
          <w:bCs/>
          <w:noProof/>
          <w:szCs w:val="24"/>
        </w:rPr>
      </w:pPr>
      <w:r>
        <w:t>3.2.3.2.</w:t>
      </w:r>
      <w:r>
        <w:tab/>
      </w:r>
      <w:r>
        <w:rPr>
          <w:noProof/>
        </w:rPr>
        <w:t>Очаквани нужди от човешки ресурси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Предложението/инициативата не налага използване на човешки ресурси. </w:t>
      </w:r>
    </w:p>
    <w:p>
      <w:pPr>
        <w:pStyle w:val="ListDash1"/>
        <w:rPr>
          <w:noProof/>
        </w:rPr>
      </w:pPr>
      <w:r>
        <w:rPr>
          <w:noProof/>
        </w:rPr>
        <w:t>X</w:t>
      </w:r>
      <w:r>
        <w:rPr>
          <w:noProof/>
        </w:rPr>
        <w:tab/>
        <w:t>Предложението/инициативата налага използване на човешки ресурси съгласно обяснението по-долу:</w:t>
      </w:r>
    </w:p>
    <w:p>
      <w:pPr>
        <w:spacing w:after="60"/>
        <w:jc w:val="right"/>
        <w:rPr>
          <w:i/>
          <w:noProof/>
          <w:sz w:val="20"/>
        </w:rPr>
      </w:pPr>
      <w:r>
        <w:rPr>
          <w:i/>
          <w:noProof/>
          <w:sz w:val="20"/>
        </w:rPr>
        <w:t>Оценката се посочва в еквиваленти на пълно работно време</w:t>
      </w:r>
    </w:p>
    <w:tbl>
      <w:tblPr>
        <w:tblW w:w="5544" w:type="pct"/>
        <w:jc w:val="center"/>
        <w:tblInd w:w="-2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953"/>
        <w:gridCol w:w="1954"/>
        <w:gridCol w:w="655"/>
        <w:gridCol w:w="655"/>
        <w:gridCol w:w="632"/>
        <w:gridCol w:w="710"/>
        <w:gridCol w:w="710"/>
        <w:gridCol w:w="1699"/>
        <w:gridCol w:w="1318"/>
      </w:tblGrid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</w:tcPr>
          <w:p>
            <w:pPr>
              <w:pStyle w:val="Text1"/>
              <w:spacing w:before="40" w:after="40"/>
              <w:ind w:left="0"/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</w:t>
            </w:r>
          </w:p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2016 г.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N+1</w:t>
            </w:r>
          </w:p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2017 г.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 N+2</w:t>
            </w:r>
          </w:p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2018 г.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 N+3</w:t>
            </w:r>
          </w:p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2019 г.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2840" w:type="pct"/>
            <w:gridSpan w:val="5"/>
            <w:shd w:val="clear" w:color="auto" w:fill="auto"/>
          </w:tcPr>
          <w:p>
            <w:pPr>
              <w:spacing w:before="20" w:after="2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sym w:font="Wingdings" w:char="F09F"/>
            </w:r>
            <w:r>
              <w:rPr>
                <w:b/>
                <w:noProof/>
                <w:sz w:val="16"/>
              </w:rPr>
              <w:t xml:space="preserve"> Длъжности в щатното разписание (длъжностни лица и временно наети лица)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1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11 01 01 01 (Централа и представителства на Комисията)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0,099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0,099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0,099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0,099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0,396</w:t>
            </w: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11 01 01 02 (Делегации)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05 01 (Непреки научни изследвания)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 01 05 01 (Преки научни изследвания)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After w:val="4"/>
          <w:wAfter w:w="2155" w:type="pct"/>
          <w:trHeight w:val="248"/>
          <w:jc w:val="center"/>
        </w:trPr>
        <w:tc>
          <w:tcPr>
            <w:tcW w:w="2845" w:type="pct"/>
            <w:gridSpan w:val="6"/>
            <w:shd w:val="clear" w:color="auto" w:fill="auto"/>
            <w:vAlign w:val="center"/>
          </w:tcPr>
          <w:p>
            <w:pPr>
              <w:pStyle w:val="Text1"/>
              <w:spacing w:before="60" w:after="60"/>
              <w:ind w:left="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sym w:font="Wingdings" w:char="F09F"/>
            </w:r>
            <w:r>
              <w:rPr>
                <w:b/>
                <w:noProof/>
                <w:sz w:val="16"/>
              </w:rPr>
              <w:t xml:space="preserve"> Външен персонал (в еквивалент на пълно работно време — ЕПРВ)</w:t>
            </w:r>
            <w:r>
              <w:rPr>
                <w:rStyle w:val="FootnoteReference"/>
                <w:b/>
                <w:noProof/>
                <w:sz w:val="16"/>
              </w:rPr>
              <w:footnoteReference w:id="16"/>
            </w:r>
          </w:p>
          <w:p>
            <w:pPr>
              <w:pStyle w:val="Text1"/>
              <w:spacing w:before="0" w:after="0"/>
              <w:ind w:left="0"/>
              <w:jc w:val="left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02 01 (ДНП, КНЕ, ПНА от общия финансов пакет)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0,014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0,014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0,014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0,014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0,056</w:t>
            </w: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02 02 (ДНП, МП, КНЕ, ПНА и МЕД в делегациите)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948" w:type="pct"/>
            <w:vMerge w:val="restar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11 01 04 01</w:t>
            </w:r>
            <w:r>
              <w:rPr>
                <w:b/>
                <w:i/>
                <w:noProof/>
                <w:sz w:val="16"/>
              </w:rPr>
              <w:t xml:space="preserve"> </w:t>
            </w:r>
            <w:r>
              <w:rPr>
                <w:rStyle w:val="FootnoteReference"/>
                <w:b/>
                <w:i/>
                <w:noProof/>
                <w:sz w:val="16"/>
              </w:rPr>
              <w:footnoteReference w:id="17"/>
            </w:r>
          </w:p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- в централата</w:t>
            </w:r>
          </w:p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0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948" w:type="pct"/>
            <w:vMerge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– в делегациите 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0,031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0,031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0,031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0,031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0,124</w:t>
            </w: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XX</w:t>
            </w:r>
            <w:r>
              <w:rPr>
                <w:noProof/>
                <w:sz w:val="16"/>
              </w:rPr>
              <w:t xml:space="preserve"> 01 05 02 (ДНП, КНЕ, ПНА — Непреки научни изследвания)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 01 05 02 (ДНП, ПНА, КНЕ — Преки научни изследвания)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Други бюджетни редове (да се посочат)</w:t>
            </w:r>
          </w:p>
        </w:tc>
        <w:tc>
          <w:tcPr>
            <w:tcW w:w="31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0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4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>
        <w:trPr>
          <w:gridBefore w:val="1"/>
          <w:wBefore w:w="5" w:type="pct"/>
          <w:trHeight w:val="289"/>
          <w:jc w:val="center"/>
        </w:trPr>
        <w:tc>
          <w:tcPr>
            <w:tcW w:w="1897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  <w:tc>
          <w:tcPr>
            <w:tcW w:w="31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0,144</w:t>
            </w:r>
          </w:p>
        </w:tc>
        <w:tc>
          <w:tcPr>
            <w:tcW w:w="31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0,144</w:t>
            </w:r>
          </w:p>
        </w:tc>
        <w:tc>
          <w:tcPr>
            <w:tcW w:w="30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0,144</w:t>
            </w:r>
          </w:p>
        </w:tc>
        <w:tc>
          <w:tcPr>
            <w:tcW w:w="34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0,144</w:t>
            </w:r>
          </w:p>
        </w:tc>
        <w:tc>
          <w:tcPr>
            <w:tcW w:w="34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0,576</w:t>
            </w:r>
          </w:p>
        </w:tc>
      </w:tr>
    </w:tbl>
    <w:p>
      <w:pPr>
        <w:pStyle w:val="Text1"/>
        <w:spacing w:before="60" w:after="60"/>
        <w:ind w:left="851"/>
        <w:rPr>
          <w:noProof/>
          <w:sz w:val="18"/>
          <w:szCs w:val="18"/>
        </w:rPr>
      </w:pPr>
      <w:r>
        <w:rPr>
          <w:b/>
          <w:noProof/>
          <w:sz w:val="18"/>
        </w:rPr>
        <w:t>XX</w:t>
      </w:r>
      <w:r>
        <w:rPr>
          <w:noProof/>
          <w:sz w:val="18"/>
        </w:rPr>
        <w:t xml:space="preserve"> е съответната област на политиката или бюджетен дял.</w:t>
      </w:r>
    </w:p>
    <w:p>
      <w:pPr>
        <w:pStyle w:val="Text1"/>
        <w:rPr>
          <w:noProof/>
          <w:sz w:val="18"/>
          <w:szCs w:val="18"/>
        </w:rPr>
      </w:pPr>
      <w:r>
        <w:rPr>
          <w:noProof/>
          <w:sz w:val="18"/>
        </w:rPr>
        <w:t>Нуждите от човешки ресурси ще бъдат покрити от персонала на ГД, на който вече е възложено управлението на дейността и/или който е преразпределен в рамките на ГД, при необходимост заедно с всички допълнителни отпуснати ресурси,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ограничения.</w:t>
      </w:r>
    </w:p>
    <w:p>
      <w:pPr>
        <w:rPr>
          <w:noProof/>
          <w:sz w:val="20"/>
        </w:rPr>
      </w:pPr>
      <w:r>
        <w:rPr>
          <w:noProof/>
          <w:sz w:val="20"/>
        </w:rPr>
        <w:t>Описание на задачите, които трябва да се изпълнят:</w:t>
      </w:r>
    </w:p>
    <w:tbl>
      <w:tblPr>
        <w:tblW w:w="10440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200"/>
      </w:tblGrid>
      <w:tr>
        <w:tc>
          <w:tcPr>
            <w:tcW w:w="3240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Длъжностни лица и временно наети лица</w:t>
            </w:r>
          </w:p>
        </w:tc>
        <w:tc>
          <w:tcPr>
            <w:tcW w:w="7200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Управление и наблюдение на процеса на (пре)договарянето на СПОУР и одобряване на резултатите от преговорите от страна на институциите; управление на настоящото СПОУР, включително постоянен финансов контрол и наблюдение на работата; непрекъснат мониторинг на осъществяването на секторната подкрепа, управление на разрешенията.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Отговорен служител от ГД „Морско дело и рибарство“ + началник на отдел/заместник-началник на отдел + управител на разрешенията + секретариат: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обща прогнозна оценка 0,75 ЕПРВ / год.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Разходи за единица: 132 000 EUR / год.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Изчисляване на разходите: 0,75 ЕПРВ x 132 000 EUR / год.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Общо разходи: 99 000 EUR =&gt; 0,099 млн. евро</w:t>
            </w:r>
          </w:p>
        </w:tc>
      </w:tr>
      <w:tr>
        <w:tc>
          <w:tcPr>
            <w:tcW w:w="3240" w:type="dxa"/>
          </w:tcPr>
          <w:p>
            <w:pPr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Външен персонал</w:t>
            </w:r>
          </w:p>
        </w:tc>
        <w:tc>
          <w:tcPr>
            <w:tcW w:w="7200" w:type="dxa"/>
          </w:tcPr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1) финансов асистент ГД „Морско дело и рибарство“: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обща прогнозна оценка 0,2 ЕПРВ / год.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Разходи за единица: 70 000 EUR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Изчисляване на разходите: 0,2 ЕПРВ x 70 000 EUR / год.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Общо разходи: 14 000 EUR =&gt; 0,014 млн. евро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2) договорно наето лице в делегацията на ЕС: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обща прогнозна оценка 0,25 ЕПРВ / год.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Разходи за единица: 125 000 EUR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Изчисляване на разходите: 0,25 ЕПРВ x 125 000 EUR / год.</w:t>
            </w:r>
          </w:p>
          <w:p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Общо разходи: 31 250 EUR =&gt; 0,031 млн. евро</w:t>
            </w:r>
          </w:p>
        </w:tc>
      </w:tr>
    </w:tbl>
    <w:p>
      <w:pPr>
        <w:rPr>
          <w:noProof/>
        </w:rPr>
        <w:sectPr>
          <w:pgSz w:w="11907" w:h="16840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ManualHeading3"/>
        <w:rPr>
          <w:bCs/>
          <w:noProof/>
          <w:szCs w:val="24"/>
        </w:rPr>
      </w:pPr>
      <w:r>
        <w:t>3.2.4.</w:t>
      </w:r>
      <w:r>
        <w:tab/>
      </w:r>
      <w:r>
        <w:rPr>
          <w:noProof/>
        </w:rPr>
        <w:t xml:space="preserve">Съвместимост с настоящата многогодишна финансова рамка </w:t>
      </w:r>
    </w:p>
    <w:p>
      <w:pPr>
        <w:pStyle w:val="ListDash1"/>
        <w:rPr>
          <w:noProof/>
        </w:rPr>
      </w:pPr>
      <w:r>
        <w:rPr>
          <w:noProof/>
        </w:rPr>
        <w:t>X</w:t>
      </w:r>
      <w:r>
        <w:rPr>
          <w:noProof/>
        </w:rPr>
        <w:tab/>
        <w:t>Предложението/инициативата е съвместимо(а) с настоящата многогодишна финансова рамка.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налага препрограмиране на съответната функция от многогодишната финансова рамка.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0"/>
        </w:rPr>
      </w:pPr>
      <w:r>
        <w:rPr>
          <w:noProof/>
          <w:sz w:val="20"/>
        </w:rPr>
        <w:t>Обяснете какво препрограмиране е необходимо, като посочите съответните бюджетни редове и суми.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налага да се използва Инструментът за гъвкавост или да се преразгледа многогодишната финансова рамка.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0"/>
        </w:rPr>
      </w:pPr>
      <w:r>
        <w:rPr>
          <w:noProof/>
          <w:sz w:val="20"/>
        </w:rPr>
        <w:t>Обяснете какво е необходимо, като посочите съответните функции, бюджетни редове и суми.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>
      <w:pPr>
        <w:pStyle w:val="ManualHeading3"/>
        <w:rPr>
          <w:bCs/>
          <w:noProof/>
          <w:szCs w:val="24"/>
        </w:rPr>
      </w:pPr>
      <w:r>
        <w:t>3.2.5.</w:t>
      </w:r>
      <w:r>
        <w:tab/>
      </w:r>
      <w:r>
        <w:rPr>
          <w:noProof/>
        </w:rPr>
        <w:t xml:space="preserve">Участие на трети страни във финансирането </w:t>
      </w:r>
    </w:p>
    <w:p>
      <w:pPr>
        <w:pStyle w:val="ListDash1"/>
        <w:rPr>
          <w:noProof/>
        </w:rPr>
      </w:pPr>
      <w:r>
        <w:rPr>
          <w:noProof/>
        </w:rPr>
        <w:t xml:space="preserve">Предложението/инициативата не предвижда съфинансиране от трети страни. </w:t>
      </w:r>
    </w:p>
    <w:p>
      <w:pPr>
        <w:pStyle w:val="ListDash1"/>
        <w:rPr>
          <w:noProof/>
        </w:rPr>
      </w:pPr>
      <w:r>
        <w:rPr>
          <w:noProof/>
        </w:rPr>
        <w:t>Предложението/инициативата предвижда съфинансиране съгласно следните прогнози:</w:t>
      </w:r>
    </w:p>
    <w:p>
      <w:pPr>
        <w:jc w:val="right"/>
        <w:rPr>
          <w:noProof/>
          <w:sz w:val="20"/>
        </w:rPr>
      </w:pPr>
      <w:r>
        <w:rPr>
          <w:noProof/>
          <w:sz w:val="20"/>
        </w:rPr>
        <w:t>Бюджетни кредити в млн. евро (до третия знак след десетичната запетая)</w:t>
      </w:r>
    </w:p>
    <w:tbl>
      <w:tblPr>
        <w:tblW w:w="10246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964"/>
        <w:gridCol w:w="964"/>
        <w:gridCol w:w="964"/>
        <w:gridCol w:w="964"/>
        <w:gridCol w:w="964"/>
        <w:gridCol w:w="964"/>
        <w:gridCol w:w="964"/>
        <w:gridCol w:w="1158"/>
      </w:tblGrid>
      <w:tr>
        <w:trPr>
          <w:cantSplit/>
        </w:trPr>
        <w:tc>
          <w:tcPr>
            <w:tcW w:w="2340" w:type="dxa"/>
          </w:tcPr>
          <w:p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N+3</w:t>
            </w:r>
          </w:p>
        </w:tc>
        <w:tc>
          <w:tcPr>
            <w:tcW w:w="2892" w:type="dxa"/>
            <w:gridSpan w:val="3"/>
            <w:vAlign w:val="center"/>
          </w:tcPr>
          <w:p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  <w:tc>
          <w:tcPr>
            <w:tcW w:w="1158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Общо</w:t>
            </w:r>
          </w:p>
        </w:tc>
      </w:tr>
      <w:tr>
        <w:trPr>
          <w:cantSplit/>
        </w:trPr>
        <w:tc>
          <w:tcPr>
            <w:tcW w:w="2340" w:type="dxa"/>
          </w:tcPr>
          <w:p>
            <w:pPr>
              <w:rPr>
                <w:noProof/>
              </w:rPr>
            </w:pPr>
            <w:r>
              <w:rPr>
                <w:noProof/>
                <w:sz w:val="20"/>
              </w:rPr>
              <w:t>Да се посочи съфинансиращият орган</w:t>
            </w:r>
            <w:r>
              <w:rPr>
                <w:i/>
                <w:noProof/>
                <w:sz w:val="20"/>
              </w:rPr>
              <w:t xml:space="preserve"> </w:t>
            </w: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>
        <w:trPr>
          <w:cantSplit/>
        </w:trPr>
        <w:tc>
          <w:tcPr>
            <w:tcW w:w="2340" w:type="dxa"/>
          </w:tcPr>
          <w:p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ОБЩО съфинансирани бюджетни кредити </w:t>
            </w: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  <w:r>
        <w:rPr>
          <w:noProof/>
        </w:rPr>
        <w:br/>
      </w:r>
    </w:p>
    <w:p>
      <w:pPr>
        <w:pStyle w:val="ManualHeading2"/>
        <w:rPr>
          <w:bCs/>
          <w:noProof/>
          <w:szCs w:val="24"/>
        </w:rPr>
      </w:pPr>
      <w:r>
        <w:rPr>
          <w:noProof/>
        </w:rPr>
        <w:br w:type="page"/>
      </w:r>
      <w:r>
        <w:t>3.3.</w:t>
      </w:r>
      <w:r>
        <w:tab/>
      </w:r>
      <w:r>
        <w:rPr>
          <w:noProof/>
        </w:rPr>
        <w:t xml:space="preserve">Очаквано отражение върху приходите </w:t>
      </w:r>
    </w:p>
    <w:p>
      <w:pPr>
        <w:pStyle w:val="ListDash1"/>
        <w:rPr>
          <w:noProof/>
        </w:rPr>
      </w:pPr>
      <w:r>
        <w:rPr>
          <w:noProof/>
        </w:rPr>
        <w:t>X</w:t>
      </w:r>
      <w:r>
        <w:rPr>
          <w:noProof/>
        </w:rPr>
        <w:tab/>
        <w:t>Предложението/инициативата няма финансово отражение върху приходите.</w:t>
      </w:r>
    </w:p>
    <w:p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>Предложението/инициативата има следното финансово отражение:</w:t>
      </w:r>
    </w:p>
    <w:p>
      <w:pPr>
        <w:pStyle w:val="ListNumberLevel3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върху собствените ресурси </w:t>
      </w:r>
    </w:p>
    <w:p>
      <w:pPr>
        <w:pStyle w:val="ListNumberLevel3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върху разните приходи </w:t>
      </w:r>
    </w:p>
    <w:p>
      <w:pPr>
        <w:jc w:val="right"/>
        <w:rPr>
          <w:i/>
          <w:noProof/>
          <w:sz w:val="20"/>
        </w:rPr>
      </w:pPr>
      <w:r>
        <w:rPr>
          <w:noProof/>
        </w:rPr>
        <w:t>млн. евро (до третия знак след десетичната запетая)</w:t>
      </w:r>
    </w:p>
    <w:tbl>
      <w:tblPr>
        <w:tblW w:w="106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1276"/>
        <w:gridCol w:w="1080"/>
        <w:gridCol w:w="900"/>
        <w:gridCol w:w="900"/>
        <w:gridCol w:w="1080"/>
        <w:gridCol w:w="1080"/>
        <w:gridCol w:w="1080"/>
        <w:gridCol w:w="1080"/>
      </w:tblGrid>
      <w:tr>
        <w:trPr>
          <w:trHeight w:val="388"/>
        </w:trPr>
        <w:tc>
          <w:tcPr>
            <w:tcW w:w="2144" w:type="dxa"/>
            <w:vMerge w:val="restart"/>
            <w:vAlign w:val="center"/>
          </w:tcPr>
          <w:p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Приходен бюджетен ред: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Налични бюджетни кредити за текущата бюджетна година</w:t>
            </w:r>
          </w:p>
        </w:tc>
        <w:tc>
          <w:tcPr>
            <w:tcW w:w="7200" w:type="dxa"/>
            <w:gridSpan w:val="7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Отражение на предложението/инициативата</w:t>
            </w:r>
            <w:r>
              <w:rPr>
                <w:rStyle w:val="FootnoteReference"/>
                <w:noProof/>
                <w:sz w:val="18"/>
              </w:rPr>
              <w:footnoteReference w:id="18"/>
            </w:r>
          </w:p>
        </w:tc>
      </w:tr>
      <w:tr>
        <w:trPr>
          <w:trHeight w:val="388"/>
        </w:trPr>
        <w:tc>
          <w:tcPr>
            <w:tcW w:w="2144" w:type="dxa"/>
            <w:vMerge/>
          </w:tcPr>
          <w:p>
            <w:pPr>
              <w:spacing w:before="40" w:after="40"/>
              <w:rPr>
                <w:noProof/>
                <w:sz w:val="18"/>
              </w:rPr>
            </w:pPr>
          </w:p>
        </w:tc>
        <w:tc>
          <w:tcPr>
            <w:tcW w:w="1276" w:type="dxa"/>
            <w:vMerge/>
          </w:tcPr>
          <w:p>
            <w:pPr>
              <w:spacing w:beforeLines="40" w:before="96" w:afterLines="40" w:after="96"/>
              <w:rPr>
                <w:i/>
                <w:noProof/>
                <w:sz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N+3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</w:tr>
      <w:tr>
        <w:trPr>
          <w:trHeight w:val="388"/>
        </w:trPr>
        <w:tc>
          <w:tcPr>
            <w:tcW w:w="2144" w:type="dxa"/>
            <w:vAlign w:val="center"/>
          </w:tcPr>
          <w:p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Статия ........….</w:t>
            </w:r>
          </w:p>
        </w:tc>
        <w:tc>
          <w:tcPr>
            <w:tcW w:w="1276" w:type="dxa"/>
          </w:tcPr>
          <w:p>
            <w:pPr>
              <w:spacing w:beforeLines="40" w:before="96" w:afterLines="40" w:after="96"/>
              <w:jc w:val="center"/>
              <w:rPr>
                <w:i/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90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90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</w:tr>
    </w:tbl>
    <w:p>
      <w:pPr>
        <w:pStyle w:val="Text1"/>
        <w:rPr>
          <w:noProof/>
          <w:sz w:val="20"/>
        </w:rPr>
      </w:pPr>
      <w:r>
        <w:rPr>
          <w:noProof/>
          <w:sz w:val="20"/>
        </w:rPr>
        <w:t>За разните целеви приходи да се посочат съответните разходни бюджетни редове.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t>[...]</w:t>
      </w:r>
    </w:p>
    <w:p>
      <w:pPr>
        <w:pStyle w:val="Text1"/>
        <w:rPr>
          <w:noProof/>
          <w:sz w:val="20"/>
        </w:rPr>
      </w:pPr>
      <w:r>
        <w:rPr>
          <w:noProof/>
          <w:sz w:val="20"/>
        </w:rPr>
        <w:t>Да се посочи методът за изчисляване на отражението върху приходите.</w:t>
      </w:r>
    </w:p>
    <w:p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t>[...]</w:t>
      </w:r>
    </w:p>
    <w:sectPr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Приети на 3253-ото заседание на Съвета (по селско стопанство и рибарство) на 15 юли 2013 г.</w:t>
      </w:r>
    </w:p>
  </w:footnote>
  <w:footnote w:id="2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УД: управление по дейности; БД: бюджетиране по дейности.</w:t>
      </w:r>
    </w:p>
  </w:footnote>
  <w:footnote w:id="3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Съгласно член 54, параграф 2, буква а) или б) от Финансовия регламент.</w:t>
      </w:r>
    </w:p>
  </w:footnote>
  <w:footnote w:id="4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Подробности във връзка с методите на управление и позоваванията на Финансовия регламент могат да бъдат намерени на уебсайта BudgWeb: </w:t>
      </w:r>
      <w:hyperlink r:id="rId1">
        <w:r>
          <w:rPr>
            <w:rStyle w:val="Hyperlink"/>
            <w:sz w:val="18"/>
          </w:rPr>
          <w:t>http://www.cc.cec/budg/man/budgmanag/budgmanag_en.html</w:t>
        </w:r>
      </w:hyperlink>
    </w:p>
  </w:footnote>
  <w:footnote w:id="5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Многогод. = многогодишни бюджетни кредити / едногод. = едногодишни бюджетни кредити.</w:t>
      </w:r>
    </w:p>
  </w:footnote>
  <w:footnote w:id="6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ЕАСТ: Европейска асоциация за свободна търговия. </w:t>
      </w:r>
    </w:p>
  </w:footnote>
  <w:footnote w:id="7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Държави кандидатки и, ако е приложимо, държави потенциални кандидатки от Западните Балкани.</w:t>
      </w:r>
    </w:p>
  </w:footnote>
  <w:footnote w:id="8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Година N е годината, през която започва да се осъществява предложението/инициативата.</w:t>
      </w:r>
    </w:p>
  </w:footnote>
  <w:footnote w:id="9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Техническа и/или административна помощ и разходи в подкрепа на изпълнението на програми и/или дейности на ЕС (предишни редове „BA“), непреки научни изследвания, преки научни изследвания.</w:t>
      </w:r>
    </w:p>
  </w:footnote>
  <w:footnote w:id="10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Година N е годината, през която започва да се осъществява предложението/инициативата.</w:t>
      </w:r>
    </w:p>
  </w:footnote>
  <w:footnote w:id="11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Резултатите са продуктите и услугите, които ще бъдат доставени (напр. брой финансирани обмени на учащи се, дължина на построените пътища в километри и т.н.).</w:t>
      </w:r>
    </w:p>
  </w:footnote>
  <w:footnote w:id="12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Съгласно описанието в част 1.4.2. „Конкретни цели…“. 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  <w:t>Цена за тон, базирана на референтен тонаж от 7000 тона/година: 55 EUR през първата и втората година (общо 385 000 EUR) и 50 EUR през третата и четвъртата година (общо 350 000 EUR на година).</w:t>
      </w:r>
    </w:p>
  </w:footnote>
  <w:footnote w:id="14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Година N е годината, през която започва да се осъществява предложението/инициативата.</w:t>
      </w:r>
    </w:p>
  </w:footnote>
  <w:footnote w:id="15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Техническа и/или административна помощ и разходи в подкрепа на изпълнението на програми и/или дейности на ЕС (предишни редове „BA“), непреки научни изследвания, преки научни изследвания.</w:t>
      </w:r>
    </w:p>
  </w:footnote>
  <w:footnote w:id="16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 xml:space="preserve">ДНП = договорно нает персонал; МП = местен персонал; КНЕ = командирован национален експерт; ПНА = персонал, нает чрез агенции за временна заетост; МЕД = младши експерт в делегация. </w:t>
      </w:r>
    </w:p>
  </w:footnote>
  <w:footnote w:id="17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Подтаван за външния персонал, покрит с бюджетните кредити за оперативни разходи (предишни редове „BA“).</w:t>
      </w:r>
    </w:p>
  </w:footnote>
  <w:footnote w:id="18">
    <w:p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Що се отнася до традиционните собствени ресурси (мита, налози върху захарта), посочените суми трябва да бъдат нетни, т.е. брутни суми, от които са приспаднати 25 % за разходи по събирането.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70CA5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13A86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1FA1C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BF896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1E8CB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062C6A95"/>
    <w:multiLevelType w:val="singleLevel"/>
    <w:tmpl w:val="02BAFA82"/>
    <w:name w:val="List Bullet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9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2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3">
    <w:nsid w:val="489D74ED"/>
    <w:multiLevelType w:val="singleLevel"/>
    <w:tmpl w:val="C2E2F936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4">
    <w:nsid w:val="4D0C058A"/>
    <w:multiLevelType w:val="singleLevel"/>
    <w:tmpl w:val="BAE8D90E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5DF84969"/>
    <w:multiLevelType w:val="singleLevel"/>
    <w:tmpl w:val="1E12021A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1F06166"/>
    <w:multiLevelType w:val="multilevel"/>
    <w:tmpl w:val="C08066D2"/>
    <w:name w:val="0.671989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3D73F7A"/>
    <w:multiLevelType w:val="singleLevel"/>
    <w:tmpl w:val="26365734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22"/>
  </w:num>
  <w:num w:numId="5">
    <w:abstractNumId w:val="19"/>
  </w:num>
  <w:num w:numId="6">
    <w:abstractNumId w:val="23"/>
  </w:num>
  <w:num w:numId="7">
    <w:abstractNumId w:val="4"/>
  </w:num>
  <w:num w:numId="8">
    <w:abstractNumId w:val="3"/>
  </w:num>
  <w:num w:numId="9">
    <w:abstractNumId w:val="24"/>
    <w:lvlOverride w:ilvl="0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0"/>
  </w:num>
  <w:num w:numId="16">
    <w:abstractNumId w:val="21"/>
  </w:num>
  <w:num w:numId="17">
    <w:abstractNumId w:val="9"/>
  </w:num>
  <w:num w:numId="18">
    <w:abstractNumId w:val="11"/>
  </w:num>
  <w:num w:numId="19">
    <w:abstractNumId w:val="7"/>
  </w:num>
  <w:num w:numId="20">
    <w:abstractNumId w:val="20"/>
  </w:num>
  <w:num w:numId="21">
    <w:abstractNumId w:val="6"/>
  </w:num>
  <w:num w:numId="22">
    <w:abstractNumId w:val="12"/>
  </w:num>
  <w:num w:numId="23">
    <w:abstractNumId w:val="16"/>
  </w:num>
  <w:num w:numId="24">
    <w:abstractNumId w:val="17"/>
  </w:num>
  <w:num w:numId="25">
    <w:abstractNumId w:val="8"/>
  </w:num>
  <w:num w:numId="26">
    <w:abstractNumId w:val="15"/>
  </w:num>
  <w:num w:numId="27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3-18 14:22:57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19AD22AF53A841F386B87F518B51FA54"/>
    <w:docVar w:name="LW_CROSSREFERENCE" w:val="&lt;UNUSED&gt;"/>
    <w:docVar w:name="LW_DocType" w:val="COM"/>
    <w:docVar w:name="LW_EMISSION" w:val="22.3.2016"/>
    <w:docVar w:name="LW_EMISSION_ISODATE" w:val="2016-03-22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79"/>
    <w:docVar w:name="LW_REF.II.NEW.CP_YEAR" w:val="2016"/>
    <w:docVar w:name="LW_REF.INST.NEW" w:val="COM"/>
    <w:docVar w:name="LW_REF.INST.NEW_ADOPTED" w:val="final"/>
    <w:docVar w:name="LW_REF.INST.NEW_TEXT" w:val="(2016) 143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7?\u1086?\u1076?\u1087?\u1080?\u1089?\u1074?\u1072?\u1085?\u1077? \u1086?\u1090? \u1080?\u1084?\u1077?\u1090?\u1086? \u1085?\u1072? \u1045?\u1074?\u1088?\u1086?\u1087?\u1077?\u1081?\u1089?\u1082?\u1080?\u1103? \u1089?\u1098?\u1102?\u1079? \u1080? \u1079?\u1072? \u1074?\u1088?\u1077?\u1084?\u1077?\u1085?\u1085?\u1086? \u1087?\u1088?\u1080?\u1083?\u1072?\u1075?\u1072?\u1085?\u1077? \u1085?\u1072? \u1089?\u1087?\u1086?\u1088?\u1072?\u1079?\u1091?\u1084?\u1077?\u1085?\u1080?\u1077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4?\u1077?\u1078?\u1076?\u1091? \u1045?\u1074?\u1088?\u1086?\u1087?\u1077?\u1081?\u1089?\u1082?\u1080?\u1103? \u1089?\u1098?\u1102?\u1079? \u1080? \u1087?\u1088?\u1072?\u1074?\u1080?\u1090?\u1077?\u1083?\u1089?\u1090?\u1074?\u1086?\u1090?\u1086? \u1085?\u1072? \u1086?\u1089?\u1090?\u1088?\u1086?\u1074?\u1080?\u1090?\u1077? \u1050?\u1091?\u1082? \u1080? \u1087?\u1088?\u1086?\u1090?\u1086?\u1082?\u1086?\u1083?\u1072? \u1079?\u1072? \u1087?\u1088?\u1080?\u1083?\u1072?\u1075?\u1072?\u1085?\u1077? \u1082?\u1098?\u1084? \u1085?\u1077?\u1075?\u1086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4"/>
      </w:numPr>
    </w:pPr>
    <w:rPr>
      <w:rFonts w:eastAsia="Times New Roman"/>
    </w:rPr>
  </w:style>
  <w:style w:type="paragraph" w:customStyle="1" w:styleId="ListBullet1">
    <w:name w:val="List Bullet 1"/>
    <w:basedOn w:val="Normal"/>
    <w:pPr>
      <w:numPr>
        <w:numId w:val="1"/>
      </w:numPr>
    </w:pPr>
    <w:rPr>
      <w:rFonts w:eastAsia="Times New Roman"/>
    </w:rPr>
  </w:style>
  <w:style w:type="paragraph" w:customStyle="1" w:styleId="ListDash1">
    <w:name w:val="List Dash 1"/>
    <w:basedOn w:val="Normal"/>
    <w:pPr>
      <w:numPr>
        <w:numId w:val="2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3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numPr>
        <w:ilvl w:val="1"/>
        <w:numId w:val="4"/>
      </w:numPr>
    </w:pPr>
    <w:rPr>
      <w:rFonts w:eastAsia="Times New Roman"/>
    </w:rPr>
  </w:style>
  <w:style w:type="paragraph" w:customStyle="1" w:styleId="ListNumberLevel3">
    <w:name w:val="List Number (Level 3)"/>
    <w:basedOn w:val="Normal"/>
    <w:pPr>
      <w:numPr>
        <w:ilvl w:val="2"/>
        <w:numId w:val="4"/>
      </w:numPr>
    </w:pPr>
    <w:rPr>
      <w:rFonts w:eastAsia="Times New Roman"/>
    </w:rPr>
  </w:style>
  <w:style w:type="paragraph" w:customStyle="1" w:styleId="ListNumberLevel4">
    <w:name w:val="List Number (Level 4)"/>
    <w:basedOn w:val="Normal"/>
    <w:pPr>
      <w:numPr>
        <w:ilvl w:val="3"/>
        <w:numId w:val="4"/>
      </w:numPr>
    </w:pPr>
    <w:rPr>
      <w:rFonts w:eastAsia="Times New Roman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5"/>
      </w:numPr>
    </w:pPr>
    <w:rPr>
      <w:rFonts w:eastAsia="Times New Roman"/>
    </w:rPr>
  </w:style>
  <w:style w:type="paragraph" w:styleId="ListBullet2">
    <w:name w:val="List Bullet 2"/>
    <w:basedOn w:val="Normal"/>
    <w:pPr>
      <w:numPr>
        <w:numId w:val="6"/>
      </w:numPr>
    </w:pPr>
    <w:rPr>
      <w:rFonts w:eastAsia="Times New Roman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nhideWhenUsed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3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.cec/budg/man/budgmanag/budgmanag_e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825B-0191-4EE1-80C5-58F8431D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27</Pages>
  <Words>4470</Words>
  <Characters>26106</Characters>
  <Application>Microsoft Office Word</Application>
  <DocSecurity>0</DocSecurity>
  <Lines>1450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29865</CharactersWithSpaces>
  <SharedDoc>false</SharedDoc>
  <HLinks>
    <vt:vector size="6" baseType="variant">
      <vt:variant>
        <vt:i4>7209039</vt:i4>
      </vt:variant>
      <vt:variant>
        <vt:i4>0</vt:i4>
      </vt:variant>
      <vt:variant>
        <vt:i4>0</vt:i4>
      </vt:variant>
      <vt:variant>
        <vt:i4>5</vt:i4>
      </vt:variant>
      <vt:variant>
        <vt:lpwstr>http://www.cc.cec/budg/man/budgmanag/budgmanag_en.html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cp:lastPrinted>2015-11-10T11:30:00Z</cp:lastPrinted>
  <dcterms:created xsi:type="dcterms:W3CDTF">2016-03-11T09:14:00Z</dcterms:created>
  <dcterms:modified xsi:type="dcterms:W3CDTF">2016-03-18T13:22:00Z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