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DBEAC2592A42849121E382CCDAD63C" style="width:451pt;height:40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Спогодбата за международни случайни превози на пътници, извършвани с автобуси (Интербус)</w:t>
      </w:r>
      <w:r>
        <w:rPr>
          <w:rStyle w:val="FootnoteReference"/>
          <w:noProof/>
        </w:rPr>
        <w:footnoteReference w:id="1"/>
      </w:r>
      <w:r>
        <w:rPr>
          <w:noProof/>
        </w:rPr>
        <w:t xml:space="preserve"> е в сила от 1 януари 2003 г. Тя беше впоследствие актуализирана с Решение № 1/2011 на Смесения комитет</w:t>
      </w:r>
      <w:r>
        <w:rPr>
          <w:rStyle w:val="FootnoteReference"/>
          <w:noProof/>
        </w:rPr>
        <w:footnoteReference w:id="2"/>
      </w:r>
      <w:r>
        <w:rPr>
          <w:noProof/>
        </w:rPr>
        <w:t xml:space="preserve"> Смесеният комитет също така прие Препоръка № 1/2011</w:t>
      </w:r>
      <w:r>
        <w:rPr>
          <w:rStyle w:val="FootnoteReference"/>
          <w:noProof/>
        </w:rPr>
        <w:footnoteReference w:id="3"/>
      </w:r>
      <w:r>
        <w:rPr>
          <w:noProof/>
        </w:rPr>
        <w:t>, която се отнася до използването на технически доклад за автобусите.</w:t>
      </w:r>
    </w:p>
    <w:p>
      <w:pPr>
        <w:pBdr>
          <w:top w:val="nil"/>
          <w:left w:val="nil"/>
          <w:bottom w:val="nil"/>
          <w:right w:val="nil"/>
          <w:between w:val="nil"/>
          <w:bar w:val="nil"/>
        </w:pBdr>
        <w:spacing w:before="0" w:after="240"/>
        <w:rPr>
          <w:noProof/>
        </w:rPr>
      </w:pPr>
      <w:r>
        <w:rPr>
          <w:noProof/>
        </w:rPr>
        <w:t>Време е Спогодбата отново да се актуализира и да се добавят невключвани в нея досега актове, по-специално обхванатите от Решение № 1/2011 на Смесения комитет.</w:t>
      </w:r>
    </w:p>
    <w:p>
      <w:pPr>
        <w:pBdr>
          <w:top w:val="nil"/>
          <w:left w:val="nil"/>
          <w:bottom w:val="nil"/>
          <w:right w:val="nil"/>
          <w:between w:val="nil"/>
          <w:bar w:val="nil"/>
        </w:pBdr>
        <w:spacing w:before="0" w:after="240"/>
        <w:rPr>
          <w:rFonts w:eastAsia="Arial Unicode MS"/>
          <w:noProof/>
        </w:rPr>
      </w:pPr>
      <w:r>
        <w:rPr>
          <w:noProof/>
        </w:rPr>
        <w:t>Настоящото предложение за решение на Съвета има за цел да установи позицията на Съюза по отношение на проекта за Решение № 1/2016 на Смесения комитет, създаден съгласно член 23 от Спогодбата.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Законодателната актуализация е в съответствие с транспортната политика на ЕС, тъй като чрез нея на практика се прилага най-новото законодателство на ЕС в областта на пътническия транспорт, което се отнася за сектора, включително спрямо договарящи страни извън Европейския съюз</w:t>
      </w:r>
      <w:r>
        <w:rPr>
          <w:rStyle w:val="FootnoteReference"/>
          <w:noProof/>
        </w:rPr>
        <w:footnoteReference w:id="4"/>
      </w:r>
      <w:r>
        <w:rPr>
          <w:noProof/>
        </w:rPr>
        <w:t>, като по този начин се подобрява пътната безопасност, техническата изправност и социалните условия за водачите във връзка с превози, които попадат в обхвата на Спогодбата.</w:t>
      </w:r>
    </w:p>
    <w:p>
      <w:pPr>
        <w:pBdr>
          <w:top w:val="nil"/>
          <w:left w:val="nil"/>
          <w:bottom w:val="nil"/>
          <w:right w:val="nil"/>
          <w:between w:val="nil"/>
          <w:bar w:val="nil"/>
        </w:pBdr>
        <w:spacing w:before="0" w:after="240"/>
        <w:rPr>
          <w:noProof/>
        </w:rPr>
      </w:pPr>
      <w:r>
        <w:rPr>
          <w:noProof/>
        </w:rPr>
        <w:t>С оглед да се гарантира прилагането на общи правила в контекста на такива превози, по-специално в горепосочените области, е действително от съществено значение законодателството на ЕС, което все още не е включено, да бъде обхванато от планираното решение на Смесения комитет.</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Предложената законодателна актуализация е съобразена с европейската политика на съседство и външни отношения.</w:t>
      </w:r>
    </w:p>
    <w:p>
      <w:pPr>
        <w:pBdr>
          <w:top w:val="nil"/>
          <w:left w:val="nil"/>
          <w:bottom w:val="nil"/>
          <w:right w:val="nil"/>
          <w:between w:val="nil"/>
          <w:bar w:val="nil"/>
        </w:pBdr>
        <w:spacing w:before="0" w:after="240"/>
        <w:rPr>
          <w:noProof/>
        </w:rPr>
      </w:pPr>
      <w:r>
        <w:rPr>
          <w:noProof/>
        </w:rPr>
        <w:t>Проектът на решение на Смесения комитет в приложението е изцяло в съответствие с някои споразумения, като например споразуменията за митнически съюз, предприсъединителните споразумения и споразуменията за асоцииране, и има за цел да актуализира законодателството, по силата на което съседни на ЕС държави получават достъп до европейския пазар за пътнически транспорт (и обратно).</w:t>
      </w:r>
    </w:p>
    <w:p>
      <w:pPr>
        <w:pStyle w:val="ManualHeading1"/>
        <w:rPr>
          <w:noProof/>
        </w:rPr>
      </w:pPr>
      <w:r>
        <w:rPr>
          <w:noProof/>
        </w:rPr>
        <w:t>2.</w:t>
      </w:r>
      <w:r>
        <w:rPr>
          <w:noProof/>
        </w:rPr>
        <w:tab/>
        <w:t>Правни елементи</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В отсъствието на правомощия на Комисията съгласно член 218, параграф 7 от Договора за функционирането на ЕС (ДФЕС)</w:t>
      </w:r>
      <w:r>
        <w:rPr>
          <w:rStyle w:val="FootnoteReference"/>
          <w:noProof/>
        </w:rPr>
        <w:footnoteReference w:id="5"/>
      </w:r>
      <w:r>
        <w:rPr>
          <w:noProof/>
        </w:rPr>
        <w:t>, за правно основание се прилага член 218, параграф 9 от ДФЕС в съчетание с материалноправното основание, т.е. член 91 от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Позицията на Европейския съюз като страна по Спогодбата може да бъде приета само от самия Съюз, който при това положение е единствено компетентен по въпроса. </w:t>
      </w:r>
    </w:p>
    <w:p>
      <w:pPr>
        <w:pStyle w:val="ManualHeading2"/>
        <w:rPr>
          <w:rFonts w:eastAsia="Arial Unicode MS"/>
          <w:noProof/>
          <w:u w:color="000000"/>
          <w:bdr w:val="nil"/>
        </w:rPr>
      </w:pPr>
      <w:r>
        <w:rPr>
          <w:noProof/>
        </w:rPr>
        <w:t>•</w:t>
      </w:r>
      <w:r>
        <w:rPr>
          <w:noProof/>
        </w:rPr>
        <w:tab/>
        <w:t>Пропорционалност</w:t>
      </w:r>
    </w:p>
    <w:p>
      <w:pPr>
        <w:spacing w:line="280" w:lineRule="atLeast"/>
        <w:rPr>
          <w:noProof/>
        </w:rPr>
      </w:pPr>
      <w:r>
        <w:rPr>
          <w:noProof/>
        </w:rPr>
        <w:t xml:space="preserve">Планираното решение на Смесения комитет се ограничава до включването на действащо законодателство на ЕС в Спогодбата, което е необходимо за адаптиране на правилата, приложими в рамките на Спогодбата, към разпоредбите на ЕС, по-специално по отношение на изискванията към превозвачите, извършващи превоз на пътници, техническите изисквания, приложими към превозните средства, както и социалните разпоредби.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член 218, параграф 9 от ДФЕС се предвижда използването на решение на Съвета като приложим инструмент.</w:t>
      </w:r>
    </w:p>
    <w:p>
      <w:pPr>
        <w:pStyle w:val="ManualHeading1"/>
        <w:rPr>
          <w:noProof/>
        </w:rPr>
      </w:pPr>
      <w:r>
        <w:rPr>
          <w:noProof/>
        </w:rPr>
        <w:t>3.</w:t>
      </w:r>
      <w:r>
        <w:rPr>
          <w:noProof/>
        </w:rPr>
        <w:tab/>
        <w:t>СЪБИРАНЕ И ИЗПОЛЗВАНЕ НА ЕКСПЕРТНИ СТАНОВИЩА И ОЦЕНКА НА ВЪЗДЕЙСТВИЕТО/ОПРОСТЯВАНЕ</w:t>
      </w:r>
    </w:p>
    <w:p>
      <w:pPr>
        <w:pStyle w:val="ManualHeading2"/>
        <w:rPr>
          <w:rFonts w:eastAsia="Arial Unicode MS"/>
          <w:noProof/>
          <w:u w:color="000000"/>
          <w:bdr w:val="nil"/>
        </w:rPr>
      </w:pPr>
      <w:r>
        <w:rPr>
          <w:noProof/>
        </w:rPr>
        <w:t>•</w:t>
      </w:r>
      <w:r>
        <w:rPr>
          <w:noProof/>
        </w:rPr>
        <w:tab/>
        <w:t>Събиране и използване на експертни становища и оценка на въздействието</w:t>
      </w:r>
    </w:p>
    <w:p>
      <w:pPr>
        <w:pBdr>
          <w:top w:val="nil"/>
          <w:left w:val="nil"/>
          <w:bottom w:val="nil"/>
          <w:right w:val="nil"/>
          <w:between w:val="nil"/>
          <w:bar w:val="nil"/>
        </w:pBdr>
        <w:spacing w:before="0" w:after="240"/>
        <w:rPr>
          <w:noProof/>
        </w:rPr>
      </w:pPr>
      <w:r>
        <w:rPr>
          <w:noProof/>
        </w:rPr>
        <w:t xml:space="preserve">Комисията не е извършила оценка на въздействието, нито е използвала външен експертен опит. ЕС вече прилага законодателството, което е обект на предложението за включване в Спогодбата, така че то да се прилага за всички превози, извършвани съгласно тази спогодба. </w:t>
      </w:r>
    </w:p>
    <w:p>
      <w:pPr>
        <w:pBdr>
          <w:top w:val="nil"/>
          <w:left w:val="nil"/>
          <w:bottom w:val="nil"/>
          <w:right w:val="nil"/>
          <w:between w:val="nil"/>
          <w:bar w:val="nil"/>
        </w:pBdr>
        <w:spacing w:before="0" w:after="240"/>
        <w:rPr>
          <w:noProof/>
        </w:rPr>
      </w:pPr>
      <w:r>
        <w:rPr>
          <w:noProof/>
        </w:rPr>
        <w:t>Включването на съществуващите достижения на правото на ЕС не променя съществуващите права за превози съгласно Спогодбата. Това ще има положително въздействие върху техническите, икономическите и социалните условия, при които се извършват съответните дейности.</w:t>
      </w:r>
    </w:p>
    <w:p>
      <w:pPr>
        <w:pStyle w:val="ManualHeading2"/>
        <w:rPr>
          <w:rFonts w:eastAsia="Arial Unicode MS"/>
          <w:noProof/>
          <w:u w:color="000000"/>
          <w:bdr w:val="nil"/>
        </w:rPr>
      </w:pPr>
      <w:r>
        <w:rPr>
          <w:noProof/>
        </w:rPr>
        <w:t>•</w:t>
      </w:r>
      <w:r>
        <w:rPr>
          <w:noProof/>
        </w:rPr>
        <w:tab/>
        <w:t>Опростяване</w:t>
      </w:r>
    </w:p>
    <w:p>
      <w:pPr>
        <w:pBdr>
          <w:top w:val="nil"/>
          <w:left w:val="nil"/>
          <w:bottom w:val="nil"/>
          <w:right w:val="nil"/>
          <w:between w:val="nil"/>
          <w:bar w:val="nil"/>
        </w:pBdr>
        <w:spacing w:before="0" w:after="240"/>
        <w:rPr>
          <w:noProof/>
        </w:rPr>
      </w:pPr>
      <w:r>
        <w:rPr>
          <w:noProof/>
        </w:rPr>
        <w:t>Адаптирането на разпоредбите, приложими за превозите по Спогодбата, към достиженията на правото на ЕС ще улесни извършаването на тези превози.</w:t>
      </w:r>
    </w:p>
    <w:p>
      <w:pPr>
        <w:pBdr>
          <w:top w:val="nil"/>
          <w:left w:val="nil"/>
          <w:bottom w:val="nil"/>
          <w:right w:val="nil"/>
          <w:between w:val="nil"/>
          <w:bar w:val="nil"/>
        </w:pBdr>
        <w:spacing w:before="0" w:after="240"/>
        <w:rPr>
          <w:noProof/>
        </w:rPr>
      </w:pPr>
      <w:r>
        <w:rPr>
          <w:noProof/>
        </w:rPr>
        <w:t>Както и досега, превозвачите могат да бъдат МСП с по-малък парк от автобуси или по-големи дружества с по-голям парк.</w:t>
      </w:r>
    </w:p>
    <w:p>
      <w:pPr>
        <w:pBdr>
          <w:top w:val="nil"/>
          <w:left w:val="nil"/>
          <w:bottom w:val="nil"/>
          <w:right w:val="nil"/>
          <w:between w:val="nil"/>
          <w:bar w:val="nil"/>
        </w:pBdr>
        <w:spacing w:before="0" w:after="240"/>
        <w:rPr>
          <w:noProof/>
        </w:rPr>
      </w:pPr>
      <w:r>
        <w:rPr>
          <w:noProof/>
        </w:rPr>
        <w:t>Препоръка № 1/2011 на Смесения комитет следва да бъде отменена след включването в Спогодбата на Директива 2000/30/ЕО на Европейския парламент и на Съвета от 6 юни 2000 г. относно крайпътните технически проверки на движещите се на територията на Общността търговски превозни средства</w:t>
      </w:r>
      <w:r>
        <w:rPr>
          <w:rStyle w:val="FootnoteReference"/>
          <w:noProof/>
        </w:rPr>
        <w:footnoteReference w:id="6"/>
      </w:r>
      <w:r>
        <w:rPr>
          <w:noProof/>
        </w:rPr>
        <w:t>. Тази директива съдържа образец на протокол за крайпътна техническа проверка, включващ списък на проверяваните елементи, подобен на този, препоръчан от Смесения комитет в неговата Препоръка № 1/2011. Освен това някои актове на Съюза, посочени в препоръката, вече не се прилагат.</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rPr>
          <w:noProof/>
        </w:rPr>
      </w:pPr>
      <w:r>
        <w:rPr>
          <w:noProof/>
        </w:rPr>
        <w:t>В проекта на решение на Съвета се установява правното основание за позицията на Съюза в рамките на Смесения комитет, създаден съгласно член 23 от Спогодбата.</w:t>
      </w:r>
    </w:p>
    <w:p>
      <w:pPr>
        <w:pBdr>
          <w:top w:val="nil"/>
          <w:left w:val="nil"/>
          <w:bottom w:val="nil"/>
          <w:right w:val="nil"/>
          <w:between w:val="nil"/>
          <w:bar w:val="nil"/>
        </w:pBdr>
        <w:spacing w:before="0" w:after="240"/>
        <w:rPr>
          <w:noProof/>
        </w:rPr>
      </w:pPr>
      <w:r>
        <w:rPr>
          <w:noProof/>
        </w:rPr>
        <w:t>В проекта на решение на Смесения комитет в приложението се вземат предвид правните актове на Съюза, приети до юни 2015 г.</w:t>
      </w:r>
    </w:p>
    <w:p>
      <w:pPr>
        <w:pBdr>
          <w:top w:val="nil"/>
          <w:left w:val="nil"/>
          <w:bottom w:val="nil"/>
          <w:right w:val="nil"/>
          <w:between w:val="nil"/>
          <w:bar w:val="nil"/>
        </w:pBdr>
        <w:spacing w:before="0" w:after="0"/>
        <w:rPr>
          <w:noProof/>
        </w:rPr>
      </w:pPr>
      <w:r>
        <w:rPr>
          <w:noProof/>
        </w:rPr>
        <w:t>По-специално, то има за цел да адаптира:</w:t>
      </w:r>
    </w:p>
    <w:p>
      <w:pPr>
        <w:pBdr>
          <w:top w:val="nil"/>
          <w:left w:val="nil"/>
          <w:bottom w:val="nil"/>
          <w:right w:val="nil"/>
          <w:between w:val="nil"/>
          <w:bar w:val="nil"/>
        </w:pBdr>
        <w:spacing w:before="0" w:after="0"/>
        <w:rPr>
          <w:noProof/>
        </w:rPr>
      </w:pPr>
    </w:p>
    <w:p>
      <w:pPr>
        <w:pStyle w:val="Bullet0"/>
        <w:numPr>
          <w:ilvl w:val="0"/>
          <w:numId w:val="10"/>
        </w:numPr>
        <w:spacing w:before="0"/>
        <w:rPr>
          <w:noProof/>
        </w:rPr>
      </w:pPr>
      <w:r>
        <w:rPr>
          <w:noProof/>
        </w:rPr>
        <w:t>изискванията по отношение на социалните разпоредби, посочени в член 8 от Спогодбата;</w:t>
      </w:r>
    </w:p>
    <w:p>
      <w:pPr>
        <w:pStyle w:val="Bullet0"/>
        <w:rPr>
          <w:noProof/>
        </w:rPr>
      </w:pPr>
      <w:r>
        <w:rPr>
          <w:noProof/>
        </w:rPr>
        <w:t>изискванията към превозвачите, извършващи превоз на пътници, посочени в приложение 1 към Спогодбата;</w:t>
      </w:r>
    </w:p>
    <w:p>
      <w:pPr>
        <w:pStyle w:val="Bullet0"/>
        <w:rPr>
          <w:noProof/>
        </w:rPr>
      </w:pPr>
      <w:r>
        <w:rPr>
          <w:noProof/>
        </w:rPr>
        <w:t>техническите изисквания към автобусите, посочени в членове 1 и 2 от приложение 2 към Спогодбата;</w:t>
      </w:r>
    </w:p>
    <w:p>
      <w:pPr>
        <w:pStyle w:val="Bullet0"/>
        <w:rPr>
          <w:noProof/>
          <w:color w:val="000000"/>
        </w:rPr>
      </w:pPr>
      <w:r>
        <w:rPr>
          <w:noProof/>
        </w:rPr>
        <w:t>образеца на контролни документи за случайните превози, освободени от разрешителни, посочени в приложение 3 към Спогодбата;</w:t>
      </w:r>
    </w:p>
    <w:p>
      <w:pPr>
        <w:pStyle w:val="Bullet0"/>
        <w:rPr>
          <w:noProof/>
        </w:rPr>
      </w:pPr>
      <w:r>
        <w:rPr>
          <w:noProof/>
        </w:rPr>
        <w:t>образеца на разрешително за нелиберализираните случайни превози и образеца на декларация, посочени в приложение 5 към Спогодбата;</w:t>
      </w:r>
    </w:p>
    <w:p>
      <w:pPr>
        <w:pStyle w:val="Bullet0"/>
        <w:rPr>
          <w:noProof/>
        </w:rPr>
      </w:pPr>
      <w:r>
        <w:rPr>
          <w:noProof/>
        </w:rPr>
        <w:t>образеца на декларация във връзка с член 4 и приложение 1.</w:t>
      </w:r>
    </w:p>
    <w:p>
      <w:pPr>
        <w:spacing w:before="0" w:after="0"/>
        <w:rPr>
          <w:noProof/>
        </w:rPr>
      </w:pPr>
    </w:p>
    <w:p>
      <w:pPr>
        <w:spacing w:before="0"/>
        <w:rPr>
          <w:noProof/>
        </w:rPr>
      </w:pPr>
      <w:r>
        <w:rPr>
          <w:noProof/>
        </w:rPr>
        <w:t>Освен това в него се предвижда отмяна на Препоръка № 1/2011 на Смесения комитет.</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2016/0085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Проект за решение № 1/2016 на Смесения комитет, създаден съгласно Спогодбата за международни случайни превози на пътници, извършвани с автобуси (Интербус)</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p>
    <w:p>
      <w:pPr>
        <w:rPr>
          <w:noProof/>
        </w:rPr>
      </w:pPr>
      <w:r>
        <w:rPr>
          <w:noProof/>
        </w:rPr>
        <w:t>като има предвид, че:</w:t>
      </w:r>
    </w:p>
    <w:p>
      <w:pPr>
        <w:pStyle w:val="ManualConsidrant"/>
        <w:rPr>
          <w:noProof/>
        </w:rPr>
      </w:pPr>
      <w:r>
        <w:t>(1)</w:t>
      </w:r>
      <w:r>
        <w:tab/>
      </w:r>
      <w:r>
        <w:rPr>
          <w:noProof/>
        </w:rPr>
        <w:t>Спогодбата за международни случайни превози на пътници, извършвани с автобуси (Интербус) (наричана по-нататък „Спогодбата“) е в сила от 1 януари 2003 г.</w:t>
      </w:r>
    </w:p>
    <w:p>
      <w:pPr>
        <w:pStyle w:val="ManualConsidrant"/>
        <w:rPr>
          <w:noProof/>
        </w:rPr>
      </w:pPr>
      <w:r>
        <w:t>(2)</w:t>
      </w:r>
      <w:r>
        <w:tab/>
      </w:r>
      <w:r>
        <w:rPr>
          <w:noProof/>
        </w:rPr>
        <w:t>При последната актуализация на Спогодбата за международни случайни превози на пътници, извършвани с автобуси (Интербус), осъществена с Решение № 1/2011 на Смесения комитет</w:t>
      </w:r>
      <w:r>
        <w:rPr>
          <w:rStyle w:val="FootnoteReference"/>
          <w:noProof/>
          <w:color w:val="000000"/>
        </w:rPr>
        <w:footnoteReference w:id="7"/>
      </w:r>
      <w:r>
        <w:rPr>
          <w:noProof/>
        </w:rPr>
        <w:t>, са взети предвид актовете на Съюза, приети до края на 2009 г. Време е да се включат и новите мерки, приети от Съюза впоследствие.</w:t>
      </w:r>
    </w:p>
    <w:p>
      <w:pPr>
        <w:pStyle w:val="ManualConsidrant"/>
        <w:rPr>
          <w:noProof/>
        </w:rPr>
      </w:pPr>
      <w:r>
        <w:t>(3)</w:t>
      </w:r>
      <w:r>
        <w:tab/>
      </w:r>
      <w:r>
        <w:rPr>
          <w:noProof/>
        </w:rPr>
        <w:t>В съответствие с член 24, параграф 2, точка б) от Спогодбата, Смесеният комитет изменя или адаптира контролните документи и другите образци на документи, утвърдени в приложенията към спогодбата. За въвеждането на приетите от Съюза нови мерки и в съответствие с член 24, параграф 2, буква в) от Спогодбата, Смесеният комитет изменя или адаптира приложенията за техническите изисквания към автобусите, както и приложение № 1 за изискванията към превозвачите, извършващи превоз на пътници. В съответствие с член 24, параграф 2, буква д) от Спогодбата, Смесеният комитет също така променя или адаптира изискванията на социалните разпоредби. За тази цел Смесеният комитет следва да предприеме действия, когато възникне необходимост спогодбата да бъде актуализирана с оглед на техническия напредък и промените в законодателството.</w:t>
      </w:r>
    </w:p>
    <w:p>
      <w:pPr>
        <w:pStyle w:val="ManualConsidrant"/>
        <w:rPr>
          <w:noProof/>
        </w:rPr>
      </w:pPr>
      <w:r>
        <w:t>(4)</w:t>
      </w:r>
      <w:r>
        <w:tab/>
      </w:r>
      <w:r>
        <w:rPr>
          <w:noProof/>
        </w:rPr>
        <w:t>Препоръка № 1/2011 на Смесения комитет</w:t>
      </w:r>
      <w:r>
        <w:rPr>
          <w:rStyle w:val="FootnoteReference"/>
          <w:noProof/>
        </w:rPr>
        <w:footnoteReference w:id="8"/>
      </w:r>
      <w:r>
        <w:rPr>
          <w:noProof/>
        </w:rPr>
        <w:t xml:space="preserve"> съдържа образец на технически доклад, предназначен за крайпътни проверки на автобуси. Тя е изгубила своята актуалност и следва да бъде отменена,</w:t>
      </w:r>
    </w:p>
    <w:p>
      <w:pPr>
        <w:pStyle w:val="ManualConsidrant"/>
        <w:rPr>
          <w:noProof/>
        </w:rPr>
      </w:pPr>
      <w:r>
        <w:t>(5)</w:t>
      </w:r>
      <w:r>
        <w:tab/>
      </w:r>
      <w:r>
        <w:rPr>
          <w:noProof/>
        </w:rPr>
        <w:t>Предвидената в настоящото решение позиция на Съюза следва да бъде приета.</w:t>
      </w:r>
    </w:p>
    <w:p>
      <w:pPr>
        <w:spacing w:before="0" w:after="0"/>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на Съюза в рамките на Смесения комитет, създаден съгласно член 23 от Спогодбата за международни случайни превози на пътници, извършвани с автобуси (Интербус), следва да изразява съгласие с приемането на приложения проект за решение на Смесения комитет.</w:t>
      </w:r>
    </w:p>
    <w:p>
      <w:pPr>
        <w:pStyle w:val="Titrearticle"/>
        <w:keepNext w:val="0"/>
        <w:rPr>
          <w:noProof/>
          <w:szCs w:val="24"/>
        </w:rPr>
      </w:pPr>
      <w:r>
        <w:rPr>
          <w:noProof/>
        </w:rPr>
        <w:t>Член 2</w:t>
      </w:r>
    </w:p>
    <w:p>
      <w:pPr>
        <w:rPr>
          <w:noProof/>
        </w:rPr>
      </w:pPr>
      <w:r>
        <w:rPr>
          <w:noProof/>
        </w:rPr>
        <w:t xml:space="preserve">След като бъде прието, решението на Смесения комитет се публикува в </w:t>
      </w:r>
      <w:r>
        <w:rPr>
          <w:i/>
          <w:noProof/>
        </w:rPr>
        <w:t>Официален вестник на Европейския съюз</w:t>
      </w:r>
      <w:r>
        <w:rPr>
          <w:noProof/>
        </w:rPr>
        <w:t>.</w:t>
      </w:r>
    </w:p>
    <w:p>
      <w:pPr>
        <w:pStyle w:val="Titrearticle"/>
        <w:keepNext w:val="0"/>
        <w:rPr>
          <w:noProof/>
          <w:szCs w:val="24"/>
        </w:rPr>
      </w:pPr>
      <w:r>
        <w:rPr>
          <w:noProof/>
        </w:rPr>
        <w:t>Член 3</w:t>
      </w:r>
    </w:p>
    <w:p>
      <w:pPr>
        <w:rPr>
          <w:noProof/>
        </w:rPr>
      </w:pPr>
      <w:r>
        <w:rPr>
          <w:noProof/>
        </w:rPr>
        <w:t>Настоящото решение влиза в сила в деня на приемането му.</w:t>
      </w:r>
    </w:p>
    <w:p>
      <w:pPr>
        <w:rPr>
          <w:noProof/>
        </w:rPr>
      </w:pP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r>
      <w:r>
        <w:rPr>
          <w:rStyle w:val="FootnoteReference"/>
        </w:rPr>
        <w:footnoteRef/>
      </w:r>
      <w:r>
        <w:t>ОВ L 321, 26.11.2002 г., стр. 11.</w:t>
      </w:r>
    </w:p>
  </w:footnote>
  <w:footnote w:id="2">
    <w:p>
      <w:pPr>
        <w:pStyle w:val="FootnoteText"/>
        <w:rPr>
          <w:lang w:val="pl-PL"/>
        </w:rPr>
      </w:pPr>
      <w:r>
        <w:rPr>
          <w:rStyle w:val="FootnoteReference"/>
        </w:rPr>
        <w:footnoteRef/>
      </w:r>
      <w:r>
        <w:tab/>
      </w:r>
      <w:r>
        <w:rPr>
          <w:rStyle w:val="FootnoteReference"/>
        </w:rPr>
        <w:footnoteRef/>
      </w:r>
      <w:r>
        <w:t>ОВ L 8, 12.1.2012 г., стр. 38.</w:t>
      </w:r>
    </w:p>
  </w:footnote>
  <w:footnote w:id="3">
    <w:p>
      <w:pPr>
        <w:pStyle w:val="FootnoteText"/>
        <w:rPr>
          <w:lang w:val="pl-PL"/>
        </w:rPr>
      </w:pPr>
      <w:r>
        <w:rPr>
          <w:rStyle w:val="FootnoteReference"/>
        </w:rPr>
        <w:footnoteRef/>
      </w:r>
      <w:r>
        <w:tab/>
      </w:r>
      <w:r>
        <w:rPr>
          <w:rStyle w:val="FootnoteReference"/>
        </w:rPr>
        <w:footnoteRef/>
      </w:r>
      <w:r>
        <w:t>ОВ L 8, 12.2.2012 г., стр. 46.</w:t>
      </w:r>
    </w:p>
  </w:footnote>
  <w:footnote w:id="4">
    <w:p>
      <w:pPr>
        <w:pStyle w:val="FootnoteText"/>
      </w:pPr>
      <w:r>
        <w:rPr>
          <w:rStyle w:val="FootnoteReference"/>
        </w:rPr>
        <w:footnoteRef/>
      </w:r>
      <w:r>
        <w:tab/>
        <w:t>Договарящите страни по Спогодбата за международни случайни превози на пътници, извършвани с автобуси (Интербус), са Албания, бивша югославска република Македония, Босна и Херцеговина, ЕС, Молдова, Турция, Украйна и Черна гора.</w:t>
      </w:r>
    </w:p>
  </w:footnote>
  <w:footnote w:id="5">
    <w:p>
      <w:pPr>
        <w:pStyle w:val="FootnoteText"/>
      </w:pPr>
      <w:r>
        <w:rPr>
          <w:rStyle w:val="FootnoteReference"/>
        </w:rPr>
        <w:footnoteRef/>
      </w:r>
      <w:r>
        <w:tab/>
        <w:t>Вж. член 3 от Решение № 2002/917/ЕО на Съвета, ОВ L 321, 26.11.2002 г., стр. 11.</w:t>
      </w:r>
    </w:p>
  </w:footnote>
  <w:footnote w:id="6">
    <w:p>
      <w:pPr>
        <w:pStyle w:val="FootnoteText"/>
      </w:pPr>
      <w:r>
        <w:rPr>
          <w:rStyle w:val="FootnoteReference"/>
        </w:rPr>
        <w:footnoteRef/>
      </w:r>
      <w:r>
        <w:tab/>
        <w:t>ОВ L 203, 10.8.2000 г., стр. 1.</w:t>
      </w:r>
    </w:p>
  </w:footnote>
  <w:footnote w:id="7">
    <w:p>
      <w:pPr>
        <w:pStyle w:val="FootnoteText"/>
      </w:pPr>
      <w:r>
        <w:rPr>
          <w:rStyle w:val="FootnoteReference"/>
        </w:rPr>
        <w:footnoteRef/>
      </w:r>
      <w:r>
        <w:tab/>
      </w:r>
      <w:r>
        <w:rPr>
          <w:rStyle w:val="FootnoteReference"/>
        </w:rPr>
        <w:footnoteRef/>
      </w:r>
      <w:r>
        <w:t>ОВ L 8, 12.1.2012 г., стр. 38.</w:t>
      </w:r>
    </w:p>
  </w:footnote>
  <w:footnote w:id="8">
    <w:p>
      <w:pPr>
        <w:pStyle w:val="FootnoteText"/>
        <w:rPr>
          <w:lang w:val="pl-PL"/>
        </w:rPr>
      </w:pPr>
      <w:r>
        <w:rPr>
          <w:rStyle w:val="FootnoteReference"/>
        </w:rPr>
        <w:footnoteRef/>
      </w:r>
      <w:r>
        <w:tab/>
      </w:r>
      <w:r>
        <w:rPr>
          <w:rStyle w:val="FootnoteReference"/>
        </w:rPr>
        <w:footnoteRef/>
      </w:r>
      <w:r>
        <w:t>ОВ L 8, 12.1.2012 г., стр.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685D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2450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74EA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28D4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980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7AAD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748E70"/>
    <w:lvl w:ilvl="0">
      <w:start w:val="1"/>
      <w:numFmt w:val="decimal"/>
      <w:pStyle w:val="ListNumber"/>
      <w:lvlText w:val="%1."/>
      <w:lvlJc w:val="left"/>
      <w:pPr>
        <w:tabs>
          <w:tab w:val="num" w:pos="360"/>
        </w:tabs>
        <w:ind w:left="360" w:hanging="360"/>
      </w:pPr>
    </w:lvl>
  </w:abstractNum>
  <w:abstractNum w:abstractNumId="7">
    <w:nsid w:val="FFFFFF89"/>
    <w:multiLevelType w:val="singleLevel"/>
    <w:tmpl w:val="92543A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1 12:10: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7DBEAC2592A42849121E382CCDAD63C"/>
    <w:docVar w:name="LW_CROSSREFERENCE" w:val="&lt;UNUSED&gt;"/>
    <w:docVar w:name="LW_DocType" w:val="COM"/>
    <w:docVar w:name="LW_EMISSION" w:val="18.3.2016"/>
    <w:docVar w:name="LW_EMISSION_ISODATE" w:val="2016-03-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5"/>
    <w:docVar w:name="LW_REF.II.NEW.CP_YEAR" w:val="2016"/>
    <w:docVar w:name="LW_REF.INST.NEW" w:val="COM"/>
    <w:docVar w:name="LW_REF.INST.NEW_ADOPTED" w:val="final"/>
    <w:docVar w:name="LW_REF.INST.NEW_TEXT" w:val="(2016) 156"/>
    <w:docVar w:name="LW_REF.INTERNE" w:val="&lt;UNUSED&gt;"/>
    <w:docVar w:name="LW_SOUS.TITRE.OBJ.CP" w:val="&lt;UNUSED&gt;"/>
    <w:docVar w:name="LW_STATUT.CP" w:val="\u1055?\u1088?\u1077?\u1076?\u1083?\u1086?\u1078?\u1077?\u1085?\u1080?\u1077? \u1079?\u1072?"/>
    <w:docVar w:name="LW_SUPERTITRE" w:val="&lt;UNUSED&gt;"/>
    <w:docVar w:name="LW_TITRE.OBJ.CP" w:val="\u1055?\u1088?\u1086?\u1077?\u1082?\u1090? \u1079?\u1072? \u1088?\u1077?\u1096?\u1077?\u1085?\u1080?\u1077? \u8470? 1/2016 \u1085?\u1072? \u1057?\u1084?\u1077?\u1089?\u1077?\u1085?\u1080?\u1103? \u1082?\u1086?\u1084?\u1080?\u1090?\u1077?\u1090?, \u1089?\u1098?\u1079?\u1076?\u1072?\u1076?\u1077?\u1085? \u1089?\u1098?\u1075?\u1083?\u1072?\u1089?\u1085?\u1086?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99E1-C089-43A3-9CB0-CE9B94DF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1218</Words>
  <Characters>7118</Characters>
  <Application>Microsoft Office Word</Application>
  <DocSecurity>0</DocSecurity>
  <Lines>161</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2015-12-21T16:08:00Z</cp:lastPrinted>
  <dcterms:created xsi:type="dcterms:W3CDTF">2016-03-07T15:50:00Z</dcterms:created>
  <dcterms:modified xsi:type="dcterms:W3CDTF">2016-03-11T11:10:00Z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