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B3" w:rsidRDefault="00362F0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D51044D7814036AC838A2405D09D8A" style="width:450.3pt;height:396.55pt">
            <v:imagedata r:id="rId9" o:title=""/>
          </v:shape>
        </w:pict>
      </w:r>
    </w:p>
    <w:p w:rsidR="00F275B3" w:rsidRDefault="00F275B3">
      <w:pPr>
        <w:rPr>
          <w:noProof/>
        </w:rPr>
        <w:sectPr w:rsidR="00F275B3">
          <w:footerReference w:type="default" r:id="rId10"/>
          <w:pgSz w:w="11907" w:h="16839"/>
          <w:pgMar w:top="1134" w:right="1417" w:bottom="1134" w:left="1417" w:header="709" w:footer="709" w:gutter="0"/>
          <w:pgNumType w:start="1"/>
          <w:cols w:space="720"/>
          <w:docGrid w:linePitch="360"/>
        </w:sectPr>
      </w:pPr>
    </w:p>
    <w:p w:rsidR="00F275B3" w:rsidRDefault="00362F0A">
      <w:pPr>
        <w:pStyle w:val="Typedudocument"/>
        <w:rPr>
          <w:noProof/>
        </w:rPr>
      </w:pPr>
      <w:r>
        <w:rPr>
          <w:noProof/>
        </w:rPr>
        <w:lastRenderedPageBreak/>
        <w:t>ANNEXES</w:t>
      </w:r>
    </w:p>
    <w:p w:rsidR="00F275B3" w:rsidRDefault="00362F0A">
      <w:pPr>
        <w:pStyle w:val="Accompagnant"/>
        <w:rPr>
          <w:noProof/>
        </w:rPr>
      </w:pPr>
      <w:r>
        <w:rPr>
          <w:noProof/>
        </w:rPr>
        <w:t>à la proposition de</w:t>
      </w:r>
    </w:p>
    <w:p w:rsidR="00F275B3" w:rsidRDefault="00362F0A">
      <w:pPr>
        <w:pStyle w:val="Typeacteprincipal"/>
        <w:rPr>
          <w:noProof/>
        </w:rPr>
      </w:pPr>
      <w:r>
        <w:rPr>
          <w:noProof/>
        </w:rPr>
        <w:t>décision du Conseil</w:t>
      </w:r>
    </w:p>
    <w:p w:rsidR="00F275B3" w:rsidRDefault="00362F0A">
      <w:pPr>
        <w:pStyle w:val="Objetacteprincipal"/>
        <w:rPr>
          <w:noProof/>
        </w:rPr>
      </w:pPr>
      <w:r>
        <w:rPr>
          <w:noProof/>
        </w:rPr>
        <w:t>relative à la position à adopter, au nom de l'Union</w:t>
      </w:r>
      <w:r>
        <w:rPr>
          <w:noProof/>
        </w:rPr>
        <w:t xml:space="preserve"> européenne, concernant le projet de décision n° 1/2016 du comité mixte institué en vertu de l’accord relatif au transport international occasionnel de voyageurs par autocar ou par autobus (accord Interbus)</w:t>
      </w:r>
    </w:p>
    <w:p w:rsidR="00F275B3" w:rsidRDefault="00F275B3">
      <w:pPr>
        <w:pStyle w:val="Objetacteprincipal"/>
        <w:rPr>
          <w:noProof/>
        </w:rPr>
      </w:pPr>
    </w:p>
    <w:p w:rsidR="00F275B3" w:rsidRDefault="00362F0A">
      <w:pPr>
        <w:pStyle w:val="Titreobjet"/>
        <w:rPr>
          <w:noProof/>
        </w:rPr>
      </w:pPr>
      <w:r>
        <w:rPr>
          <w:noProof/>
        </w:rPr>
        <w:t>PROJET DE DÉCISION N° 1/2016 DU COMITÉ MIXTE INS</w:t>
      </w:r>
      <w:r>
        <w:rPr>
          <w:noProof/>
        </w:rPr>
        <w:t>TITUÉ EN VERTU DE L’ACCORD RELATIF AU TRANSPORT INTERNATIONAL OCCASIONNEL DE VOYAGEURS PAR AUTOCAR OU PAR AUTOBUS (ACCORD INTERBUS)</w:t>
      </w:r>
    </w:p>
    <w:p w:rsidR="00F275B3" w:rsidRDefault="00362F0A">
      <w:pPr>
        <w:pStyle w:val="Date"/>
        <w:jc w:val="center"/>
        <w:rPr>
          <w:b/>
          <w:noProof/>
        </w:rPr>
      </w:pPr>
      <w:r>
        <w:rPr>
          <w:b/>
          <w:noProof/>
        </w:rPr>
        <w:t>du [</w:t>
      </w:r>
      <w:r>
        <w:rPr>
          <w:b/>
          <w:noProof/>
          <w:highlight w:val="yellow"/>
        </w:rPr>
        <w:t>DATE</w:t>
      </w:r>
      <w:r>
        <w:rPr>
          <w:b/>
          <w:noProof/>
        </w:rPr>
        <w:t>]</w:t>
      </w:r>
    </w:p>
    <w:p w:rsidR="00F275B3" w:rsidRDefault="00362F0A">
      <w:pPr>
        <w:pStyle w:val="Sous-titreobjet"/>
        <w:rPr>
          <w:noProof/>
        </w:rPr>
      </w:pPr>
      <w:r>
        <w:rPr>
          <w:noProof/>
        </w:rPr>
        <w:t>portant adaptation de l’article 8 et des annexes 1, 2, 3 et 5 de l’accord, et abrogeant la recommandation n° 1/201</w:t>
      </w:r>
      <w:r>
        <w:rPr>
          <w:noProof/>
        </w:rPr>
        <w:t>1</w:t>
      </w:r>
    </w:p>
    <w:p w:rsidR="00F275B3" w:rsidRDefault="00362F0A">
      <w:pPr>
        <w:pStyle w:val="Institutionquiagit"/>
        <w:rPr>
          <w:noProof/>
        </w:rPr>
      </w:pPr>
      <w:r>
        <w:rPr>
          <w:noProof/>
        </w:rPr>
        <w:t xml:space="preserve">LE COMITÉ MIXTE, </w:t>
      </w:r>
    </w:p>
    <w:p w:rsidR="00F275B3" w:rsidRDefault="00F275B3">
      <w:pPr>
        <w:rPr>
          <w:noProof/>
        </w:rPr>
      </w:pPr>
    </w:p>
    <w:p w:rsidR="00F275B3" w:rsidRDefault="00362F0A">
      <w:pPr>
        <w:rPr>
          <w:noProof/>
        </w:rPr>
      </w:pPr>
      <w:r>
        <w:rPr>
          <w:noProof/>
        </w:rPr>
        <w:t>vu l’accord Interbus relatif au transport international occasionnel de voyageurs par autocar ou par autobus (accord Interbus)</w:t>
      </w:r>
      <w:r>
        <w:rPr>
          <w:rStyle w:val="FootnoteReference"/>
          <w:noProof/>
        </w:rPr>
        <w:footnoteReference w:id="1"/>
      </w:r>
      <w:r>
        <w:rPr>
          <w:noProof/>
        </w:rPr>
        <w:t>, et notamment son article 24,</w:t>
      </w:r>
    </w:p>
    <w:p w:rsidR="00F275B3" w:rsidRDefault="00F275B3">
      <w:pPr>
        <w:rPr>
          <w:noProof/>
        </w:rPr>
      </w:pPr>
    </w:p>
    <w:p w:rsidR="00F275B3" w:rsidRDefault="00362F0A">
      <w:pPr>
        <w:rPr>
          <w:noProof/>
          <w:color w:val="000000"/>
        </w:rPr>
      </w:pPr>
      <w:r>
        <w:rPr>
          <w:noProof/>
        </w:rPr>
        <w:t>considérant ce qui suit:</w:t>
      </w:r>
      <w:r>
        <w:rPr>
          <w:noProof/>
          <w:color w:val="000000"/>
        </w:rPr>
        <w:t xml:space="preserve"> </w:t>
      </w:r>
    </w:p>
    <w:p w:rsidR="00F275B3" w:rsidRDefault="00F275B3">
      <w:pPr>
        <w:rPr>
          <w:noProof/>
          <w:color w:val="000000"/>
        </w:rPr>
      </w:pPr>
    </w:p>
    <w:p w:rsidR="00F275B3" w:rsidRDefault="00362F0A">
      <w:pPr>
        <w:pStyle w:val="Considrant"/>
        <w:numPr>
          <w:ilvl w:val="0"/>
          <w:numId w:val="1"/>
        </w:numPr>
        <w:rPr>
          <w:noProof/>
        </w:rPr>
      </w:pPr>
      <w:r>
        <w:rPr>
          <w:noProof/>
        </w:rPr>
        <w:t xml:space="preserve">L’article 23 de l’accord Interbus institue un </w:t>
      </w:r>
      <w:r>
        <w:rPr>
          <w:noProof/>
        </w:rPr>
        <w:t>comité mixte dans le but de faciliter la gestion de l’accord.</w:t>
      </w:r>
    </w:p>
    <w:p w:rsidR="00F275B3" w:rsidRDefault="00362F0A">
      <w:pPr>
        <w:pStyle w:val="Considrant"/>
        <w:rPr>
          <w:noProof/>
          <w:color w:val="000000"/>
        </w:rPr>
      </w:pPr>
      <w:r>
        <w:rPr>
          <w:noProof/>
          <w:color w:val="000000"/>
        </w:rPr>
        <w:t>La dernière mise à jour de la législation de l’Union figurant dans l’accord Interbus, introduite par la décision n° 1/2011 du comité mixte</w:t>
      </w:r>
      <w:r>
        <w:rPr>
          <w:rStyle w:val="FootnoteReference"/>
          <w:noProof/>
          <w:color w:val="000000"/>
        </w:rPr>
        <w:footnoteReference w:id="2"/>
      </w:r>
      <w:r>
        <w:rPr>
          <w:noProof/>
          <w:color w:val="000000"/>
        </w:rPr>
        <w:t>, prend en considération les actes de l’Union adoptés a</w:t>
      </w:r>
      <w:r>
        <w:rPr>
          <w:noProof/>
          <w:color w:val="000000"/>
        </w:rPr>
        <w:t>vant la fin de 2009. Le moment est à présent venu d’intégrer les nouvelles mesures que l’Union a adoptées depuis lors.</w:t>
      </w:r>
    </w:p>
    <w:p w:rsidR="00F275B3" w:rsidRDefault="00362F0A">
      <w:pPr>
        <w:pStyle w:val="Considrant"/>
        <w:rPr>
          <w:noProof/>
          <w:color w:val="000000"/>
        </w:rPr>
      </w:pPr>
      <w:r>
        <w:rPr>
          <w:noProof/>
          <w:color w:val="000000"/>
        </w:rPr>
        <w:t>Conformément à l’article 24, paragraphe 2, point b), de l’accord Interbus, le comité mixte modifie ou adapte les documents de contrôle et</w:t>
      </w:r>
      <w:r>
        <w:rPr>
          <w:noProof/>
          <w:color w:val="000000"/>
        </w:rPr>
        <w:t xml:space="preserve"> autres modèles de documents établis dans les annexes de l’accord. Afin d’intégrer les nouvelles mesures prises au sein de l’Union, et conformément à l’article 24, paragraphe 2, point c), de l’accord Interbus, le comité mixte modifie ou adapte les annexes </w:t>
      </w:r>
      <w:r>
        <w:rPr>
          <w:noProof/>
          <w:color w:val="000000"/>
        </w:rPr>
        <w:t>concernant les normes techniques applicables aux autobus et aux autocars, ainsi que l’annexe 1 relative aux conditions applicables aux transporteurs routiers de voyageurs. Conformément à l’article 24, paragraphe 2, point e), de l’accord Interbus, le comité</w:t>
      </w:r>
      <w:r>
        <w:rPr>
          <w:noProof/>
          <w:color w:val="000000"/>
        </w:rPr>
        <w:t xml:space="preserve"> mixte modifie ou adapte également les prescriptions concernant les dispositions sociales. À cette fin, le </w:t>
      </w:r>
      <w:r>
        <w:rPr>
          <w:noProof/>
          <w:color w:val="000000"/>
        </w:rPr>
        <w:lastRenderedPageBreak/>
        <w:t>comité mixte devrait agir lorsque l’accord doit être mis à jour pour tenir compte des avancées techniques et législatives.</w:t>
      </w:r>
    </w:p>
    <w:p w:rsidR="00F275B3" w:rsidRDefault="00362F0A">
      <w:pPr>
        <w:pStyle w:val="Considrant"/>
        <w:rPr>
          <w:noProof/>
        </w:rPr>
      </w:pPr>
      <w:r>
        <w:rPr>
          <w:noProof/>
        </w:rPr>
        <w:t>La recommandation n° 1/201</w:t>
      </w:r>
      <w:r>
        <w:rPr>
          <w:noProof/>
        </w:rPr>
        <w:t>1 du comité mixte</w:t>
      </w:r>
      <w:r>
        <w:rPr>
          <w:rStyle w:val="FootnoteReference"/>
          <w:noProof/>
        </w:rPr>
        <w:footnoteReference w:id="3"/>
      </w:r>
      <w:r>
        <w:rPr>
          <w:noProof/>
        </w:rPr>
        <w:t xml:space="preserve"> prévoit l'utilisation d'un rapport technique pour les contrôles routiers des autocars et des autobus. Elle est maintenant obsolète et devrait donc être abrogée,</w:t>
      </w:r>
    </w:p>
    <w:p w:rsidR="00F275B3" w:rsidRDefault="00F275B3">
      <w:pPr>
        <w:rPr>
          <w:noProof/>
          <w:color w:val="000000"/>
        </w:rPr>
      </w:pPr>
    </w:p>
    <w:p w:rsidR="00F275B3" w:rsidRDefault="00362F0A">
      <w:pPr>
        <w:pStyle w:val="Formuledadoption"/>
        <w:rPr>
          <w:noProof/>
        </w:rPr>
      </w:pPr>
      <w:r>
        <w:rPr>
          <w:noProof/>
        </w:rPr>
        <w:t xml:space="preserve">A ADOPTÉ LA PRÉSENTE DÉCISION: </w:t>
      </w:r>
    </w:p>
    <w:p w:rsidR="00F275B3" w:rsidRDefault="00F275B3">
      <w:pPr>
        <w:rPr>
          <w:noProof/>
        </w:rPr>
      </w:pPr>
    </w:p>
    <w:p w:rsidR="00F275B3" w:rsidRDefault="00362F0A">
      <w:pPr>
        <w:pStyle w:val="Titrearticle"/>
        <w:rPr>
          <w:noProof/>
        </w:rPr>
      </w:pPr>
      <w:r>
        <w:rPr>
          <w:noProof/>
        </w:rPr>
        <w:t>Article premier</w:t>
      </w:r>
    </w:p>
    <w:p w:rsidR="00F275B3" w:rsidRDefault="00362F0A">
      <w:pPr>
        <w:rPr>
          <w:noProof/>
          <w:color w:val="000000"/>
        </w:rPr>
      </w:pPr>
      <w:r>
        <w:rPr>
          <w:noProof/>
        </w:rPr>
        <w:t xml:space="preserve">Les prescriptions </w:t>
      </w:r>
      <w:r>
        <w:rPr>
          <w:noProof/>
        </w:rPr>
        <w:t>concernant les dispositions sociales visées à l’article 8 de l’accord, les conditions applicables aux transporteurs routiers de voyageurs visées à l’annexe 1 de l’accord, les normes techniques applicables aux autobus et aux autocars figurant à l’annexe 2 d</w:t>
      </w:r>
      <w:r>
        <w:rPr>
          <w:noProof/>
        </w:rPr>
        <w:t>e l’accord, le modèle de document de contrôle pour les services occasionnels dispensés d’autorisation figurant à l’annexe 3 de l’accord, le modèle d’autorisation pour les services occasionnels non libéralisés et le modèle de déclaration figurant à l’annexe</w:t>
      </w:r>
      <w:r>
        <w:rPr>
          <w:noProof/>
        </w:rPr>
        <w:t> 5 de l’accord sont adaptés conformément à l’annexe de la présente décision.</w:t>
      </w:r>
    </w:p>
    <w:p w:rsidR="00F275B3" w:rsidRDefault="00F275B3">
      <w:pPr>
        <w:rPr>
          <w:noProof/>
          <w:color w:val="000000"/>
        </w:rPr>
      </w:pPr>
    </w:p>
    <w:p w:rsidR="00F275B3" w:rsidRDefault="00362F0A">
      <w:pPr>
        <w:pStyle w:val="Titrearticle"/>
        <w:rPr>
          <w:noProof/>
        </w:rPr>
      </w:pPr>
      <w:r>
        <w:rPr>
          <w:noProof/>
        </w:rPr>
        <w:t>Article 2</w:t>
      </w:r>
    </w:p>
    <w:p w:rsidR="00F275B3" w:rsidRDefault="00362F0A">
      <w:pPr>
        <w:rPr>
          <w:noProof/>
          <w:color w:val="000000"/>
        </w:rPr>
      </w:pPr>
      <w:r>
        <w:rPr>
          <w:noProof/>
          <w:color w:val="000000"/>
        </w:rPr>
        <w:t>La recommandation n° 1/2011 du comité mixte est abrogée.</w:t>
      </w:r>
    </w:p>
    <w:p w:rsidR="00F275B3" w:rsidRDefault="00F275B3">
      <w:pPr>
        <w:rPr>
          <w:noProof/>
          <w:color w:val="000000"/>
        </w:rPr>
      </w:pPr>
    </w:p>
    <w:p w:rsidR="00F275B3" w:rsidRDefault="00362F0A">
      <w:pPr>
        <w:pStyle w:val="Titrearticle"/>
        <w:rPr>
          <w:noProof/>
        </w:rPr>
      </w:pPr>
      <w:r>
        <w:rPr>
          <w:noProof/>
        </w:rPr>
        <w:t>Article 3</w:t>
      </w:r>
    </w:p>
    <w:p w:rsidR="00F275B3" w:rsidRDefault="00362F0A">
      <w:pPr>
        <w:rPr>
          <w:noProof/>
          <w:color w:val="000000"/>
        </w:rPr>
      </w:pPr>
      <w:r>
        <w:rPr>
          <w:noProof/>
          <w:color w:val="000000"/>
        </w:rPr>
        <w:t>La présente décision entre en vigueur le</w:t>
      </w:r>
      <w:r>
        <w:rPr>
          <w:noProof/>
        </w:rPr>
        <w:t xml:space="preserve"> [</w:t>
      </w:r>
      <w:r>
        <w:rPr>
          <w:noProof/>
          <w:highlight w:val="yellow"/>
        </w:rPr>
        <w:t>DATE</w:t>
      </w:r>
      <w:r>
        <w:rPr>
          <w:noProof/>
        </w:rPr>
        <w:t>].</w:t>
      </w:r>
    </w:p>
    <w:p w:rsidR="00F275B3" w:rsidRDefault="00F275B3">
      <w:pPr>
        <w:rPr>
          <w:noProof/>
          <w:color w:val="000000"/>
        </w:rPr>
      </w:pPr>
    </w:p>
    <w:p w:rsidR="00F275B3" w:rsidRDefault="00F275B3">
      <w:pPr>
        <w:rPr>
          <w:noProof/>
          <w:color w:val="000000"/>
        </w:rPr>
      </w:pPr>
    </w:p>
    <w:p w:rsidR="00F275B3" w:rsidRDefault="00362F0A">
      <w:pPr>
        <w:pStyle w:val="Fait"/>
        <w:rPr>
          <w:noProof/>
        </w:rPr>
      </w:pPr>
      <w:r>
        <w:rPr>
          <w:noProof/>
        </w:rPr>
        <w:t>Fait à Bruxelles, le [</w:t>
      </w:r>
      <w:r>
        <w:rPr>
          <w:noProof/>
          <w:highlight w:val="yellow"/>
        </w:rPr>
        <w:t>DATE</w:t>
      </w:r>
      <w:r>
        <w:rPr>
          <w:noProof/>
        </w:rPr>
        <w:t xml:space="preserve">]. </w:t>
      </w:r>
    </w:p>
    <w:p w:rsidR="00F275B3" w:rsidRDefault="00F275B3">
      <w:pPr>
        <w:rPr>
          <w:noProof/>
          <w:color w:val="000000"/>
        </w:rPr>
      </w:pPr>
    </w:p>
    <w:p w:rsidR="00F275B3" w:rsidRDefault="00F275B3">
      <w:pPr>
        <w:rPr>
          <w:noProof/>
          <w:color w:val="000000"/>
        </w:rPr>
      </w:pPr>
    </w:p>
    <w:p w:rsidR="00F275B3" w:rsidRDefault="00F275B3">
      <w:pPr>
        <w:rPr>
          <w:noProof/>
          <w:color w:val="000000"/>
        </w:rPr>
      </w:pPr>
    </w:p>
    <w:p w:rsidR="00F275B3" w:rsidRDefault="00362F0A">
      <w:pPr>
        <w:rPr>
          <w:noProof/>
          <w:color w:val="000000"/>
        </w:rPr>
      </w:pPr>
      <w:r>
        <w:rPr>
          <w:noProof/>
        </w:rPr>
        <w:tab/>
      </w:r>
      <w:r>
        <w:rPr>
          <w:noProof/>
        </w:rPr>
        <w:tab/>
      </w:r>
      <w:r>
        <w:rPr>
          <w:noProof/>
        </w:rPr>
        <w:tab/>
      </w:r>
      <w:r>
        <w:rPr>
          <w:noProof/>
        </w:rPr>
        <w:tab/>
      </w:r>
      <w:r>
        <w:rPr>
          <w:noProof/>
        </w:rPr>
        <w:tab/>
      </w:r>
      <w:r>
        <w:rPr>
          <w:noProof/>
        </w:rPr>
        <w:tab/>
      </w:r>
      <w:r>
        <w:rPr>
          <w:noProof/>
        </w:rPr>
        <w:tab/>
      </w:r>
      <w:r>
        <w:rPr>
          <w:noProof/>
          <w:color w:val="000000"/>
        </w:rPr>
        <w:t>Par le co</w:t>
      </w:r>
      <w:r>
        <w:rPr>
          <w:noProof/>
          <w:color w:val="000000"/>
        </w:rPr>
        <w:t>mité mixte</w:t>
      </w:r>
    </w:p>
    <w:p w:rsidR="00F275B3" w:rsidRDefault="00F275B3">
      <w:pPr>
        <w:rPr>
          <w:noProof/>
          <w:color w:val="000000"/>
        </w:rPr>
      </w:pPr>
    </w:p>
    <w:p w:rsidR="00F275B3" w:rsidRDefault="00F275B3">
      <w:pPr>
        <w:rPr>
          <w:noProof/>
          <w:color w:val="000000"/>
        </w:rPr>
      </w:pPr>
    </w:p>
    <w:p w:rsidR="00F275B3" w:rsidRDefault="00F275B3">
      <w:pPr>
        <w:rPr>
          <w:noProof/>
          <w:color w:val="000000"/>
        </w:rPr>
      </w:pPr>
    </w:p>
    <w:p w:rsidR="00F275B3" w:rsidRDefault="00362F0A">
      <w:pPr>
        <w:rPr>
          <w:i/>
          <w:iCs/>
          <w:noProof/>
          <w:color w:val="000000"/>
        </w:rPr>
      </w:pPr>
      <w:r>
        <w:rPr>
          <w:i/>
          <w:noProof/>
          <w:color w:val="000000"/>
        </w:rPr>
        <w:t xml:space="preserve">Le président </w:t>
      </w:r>
      <w:r>
        <w:rPr>
          <w:noProof/>
        </w:rPr>
        <w:tab/>
      </w:r>
      <w:r>
        <w:rPr>
          <w:noProof/>
        </w:rPr>
        <w:tab/>
      </w:r>
      <w:r>
        <w:rPr>
          <w:noProof/>
        </w:rPr>
        <w:tab/>
      </w:r>
      <w:r>
        <w:rPr>
          <w:noProof/>
        </w:rPr>
        <w:tab/>
      </w:r>
      <w:r>
        <w:rPr>
          <w:noProof/>
        </w:rPr>
        <w:tab/>
      </w:r>
      <w:r>
        <w:rPr>
          <w:noProof/>
        </w:rPr>
        <w:tab/>
      </w:r>
      <w:r>
        <w:rPr>
          <w:noProof/>
        </w:rPr>
        <w:tab/>
      </w:r>
      <w:r>
        <w:rPr>
          <w:i/>
          <w:noProof/>
          <w:color w:val="000000"/>
        </w:rPr>
        <w:t>Le secrétaire</w:t>
      </w:r>
    </w:p>
    <w:p w:rsidR="00F275B3" w:rsidRDefault="00F275B3">
      <w:pPr>
        <w:rPr>
          <w:noProof/>
          <w:sz w:val="21"/>
          <w:szCs w:val="21"/>
        </w:rPr>
        <w:sectPr w:rsidR="00F275B3">
          <w:footerReference w:type="default" r:id="rId11"/>
          <w:footerReference w:type="first" r:id="rId12"/>
          <w:pgSz w:w="11907" w:h="16839"/>
          <w:pgMar w:top="1134" w:right="1417" w:bottom="1134" w:left="1417" w:header="709" w:footer="709" w:gutter="0"/>
          <w:cols w:space="720"/>
          <w:docGrid w:linePitch="360"/>
        </w:sectPr>
      </w:pPr>
    </w:p>
    <w:p w:rsidR="00F275B3" w:rsidRDefault="00362F0A">
      <w:pPr>
        <w:jc w:val="center"/>
        <w:rPr>
          <w:noProof/>
        </w:rPr>
      </w:pPr>
      <w:r>
        <w:rPr>
          <w:noProof/>
        </w:rPr>
        <w:t>Annexe</w:t>
      </w:r>
    </w:p>
    <w:p w:rsidR="00F275B3" w:rsidRDefault="00F275B3">
      <w:pPr>
        <w:pStyle w:val="Default"/>
        <w:rPr>
          <w:rFonts w:cs="Times New Roman"/>
          <w:noProof/>
        </w:rPr>
      </w:pPr>
    </w:p>
    <w:p w:rsidR="00F275B3" w:rsidRDefault="00362F0A">
      <w:pPr>
        <w:pStyle w:val="CM4"/>
        <w:spacing w:before="60" w:after="60"/>
        <w:jc w:val="center"/>
        <w:rPr>
          <w:rFonts w:cs="Times New Roman"/>
          <w:noProof/>
          <w:color w:val="000000"/>
        </w:rPr>
      </w:pPr>
      <w:r>
        <w:rPr>
          <w:b/>
          <w:noProof/>
        </w:rPr>
        <w:t xml:space="preserve">Adaptation de l’article 8 concernant les dispositions sociales, de l’annexe 1 relative aux </w:t>
      </w:r>
      <w:r>
        <w:rPr>
          <w:b/>
          <w:noProof/>
        </w:rPr>
        <w:t>conditions applicables aux transporteurs routiers de voyageurs, de l’annexe 2 concernant les normes techniques applicables aux autobus et aux autocars, de l'annexe 3 concernant le modèle de document de contrôle pour les services occasionnels dispensés d’au</w:t>
      </w:r>
      <w:r>
        <w:rPr>
          <w:b/>
          <w:noProof/>
        </w:rPr>
        <w:t>torisation, de l'annexe 5 concernant le modèle d’autorisation pour les services occasionnels non libéralisés et le modèle de déclaration</w:t>
      </w:r>
      <w:r>
        <w:rPr>
          <w:rStyle w:val="FootnoteReference"/>
          <w:rFonts w:cs="Times New Roman"/>
          <w:b/>
          <w:noProof/>
        </w:rPr>
        <w:footnoteReference w:id="4"/>
      </w:r>
      <w:r>
        <w:rPr>
          <w:noProof/>
        </w:rPr>
        <w:t>.</w:t>
      </w:r>
    </w:p>
    <w:p w:rsidR="00F275B3" w:rsidRDefault="00F275B3">
      <w:pPr>
        <w:pStyle w:val="Default"/>
        <w:rPr>
          <w:rFonts w:cs="Times New Roman"/>
          <w:noProof/>
        </w:rPr>
      </w:pPr>
    </w:p>
    <w:p w:rsidR="00F275B3" w:rsidRDefault="00F275B3">
      <w:pPr>
        <w:pStyle w:val="Default"/>
        <w:rPr>
          <w:rFonts w:cs="Times New Roman"/>
          <w:noProof/>
        </w:rPr>
      </w:pPr>
    </w:p>
    <w:p w:rsidR="00F275B3" w:rsidRDefault="00362F0A">
      <w:pPr>
        <w:pStyle w:val="Default"/>
        <w:jc w:val="both"/>
        <w:rPr>
          <w:rFonts w:cs="Times New Roman"/>
          <w:i/>
          <w:noProof/>
        </w:rPr>
      </w:pPr>
      <w:r>
        <w:rPr>
          <w:i/>
          <w:noProof/>
        </w:rPr>
        <w:t>1. Adaptation de l’article 8 concernant les dispositions sociales</w:t>
      </w:r>
    </w:p>
    <w:p w:rsidR="00F275B3" w:rsidRDefault="00F275B3">
      <w:pPr>
        <w:pStyle w:val="Default"/>
        <w:rPr>
          <w:rFonts w:cs="Times New Roman"/>
          <w:noProof/>
        </w:rPr>
      </w:pPr>
    </w:p>
    <w:p w:rsidR="00F275B3" w:rsidRDefault="00362F0A">
      <w:pPr>
        <w:pStyle w:val="Default"/>
        <w:jc w:val="both"/>
        <w:rPr>
          <w:rFonts w:cs="Times New Roman"/>
          <w:noProof/>
          <w:u w:val="single"/>
        </w:rPr>
      </w:pPr>
      <w:r>
        <w:rPr>
          <w:noProof/>
          <w:u w:val="single"/>
        </w:rPr>
        <w:t>À l’article 8, la liste des actes de l’Union est</w:t>
      </w:r>
      <w:r>
        <w:rPr>
          <w:noProof/>
          <w:u w:val="single"/>
        </w:rPr>
        <w:t xml:space="preserve"> modifiée comme suit:</w:t>
      </w:r>
    </w:p>
    <w:p w:rsidR="00F275B3" w:rsidRDefault="00F275B3">
      <w:pPr>
        <w:pStyle w:val="Default"/>
        <w:jc w:val="both"/>
        <w:rPr>
          <w:rFonts w:cs="Times New Roman"/>
          <w:noProof/>
        </w:rPr>
      </w:pPr>
    </w:p>
    <w:p w:rsidR="00F275B3" w:rsidRDefault="00362F0A">
      <w:pPr>
        <w:pStyle w:val="Default"/>
        <w:jc w:val="both"/>
        <w:rPr>
          <w:rFonts w:cs="Times New Roman"/>
          <w:noProof/>
          <w:u w:val="single"/>
        </w:rPr>
      </w:pPr>
      <w:r>
        <w:rPr>
          <w:noProof/>
          <w:u w:val="single"/>
        </w:rPr>
        <w:t>a) la référence au règlement (CEE) n° 3821/85 du Conseil est remplacée par le texte suivant:</w:t>
      </w:r>
    </w:p>
    <w:p w:rsidR="00F275B3" w:rsidRDefault="00F275B3">
      <w:pPr>
        <w:pStyle w:val="Default"/>
        <w:jc w:val="both"/>
        <w:rPr>
          <w:rFonts w:cs="Times New Roman"/>
          <w:noProof/>
          <w:u w:val="single"/>
        </w:rPr>
      </w:pPr>
    </w:p>
    <w:p w:rsidR="00F275B3" w:rsidRDefault="00362F0A">
      <w:pPr>
        <w:pStyle w:val="Default"/>
        <w:ind w:left="720" w:hanging="720"/>
        <w:jc w:val="both"/>
        <w:rPr>
          <w:noProof/>
        </w:rPr>
      </w:pPr>
      <w:r>
        <w:rPr>
          <w:noProof/>
        </w:rPr>
        <w:t>«—</w:t>
      </w:r>
      <w:r>
        <w:rPr>
          <w:noProof/>
        </w:rPr>
        <w:tab/>
        <w:t xml:space="preserve">le règlement (CEE) n° 3821/85 du Conseil du 20 décembre 1985 concernant l’appareil de contrôle dans le domaine des transports par route </w:t>
      </w:r>
      <w:r>
        <w:rPr>
          <w:noProof/>
        </w:rPr>
        <w:t>(JO L 370 du 31.12.1985, p. 8), modifié en dernier lieu par le règlement (UE) n° 1161/2014 de la Commission du 30 octobre 2014 (JO L 311 du 31.10.2014, p. 19), qui est applicable jusqu’à ce que le règlement (UE) n° 165/2014 du Parlement européen et du Cons</w:t>
      </w:r>
      <w:r>
        <w:rPr>
          <w:noProof/>
        </w:rPr>
        <w:t>eil du 4 février 2014 (JO L 60 du 28.2.2014, p. 1) entre en vigueur.</w:t>
      </w:r>
    </w:p>
    <w:p w:rsidR="00F275B3" w:rsidRDefault="00F275B3">
      <w:pPr>
        <w:pStyle w:val="Default"/>
        <w:ind w:left="720" w:hanging="720"/>
        <w:jc w:val="both"/>
        <w:rPr>
          <w:noProof/>
        </w:rPr>
      </w:pPr>
    </w:p>
    <w:p w:rsidR="00F275B3" w:rsidRDefault="00362F0A">
      <w:pPr>
        <w:pStyle w:val="Default"/>
        <w:ind w:left="720"/>
        <w:jc w:val="both"/>
        <w:rPr>
          <w:rFonts w:eastAsia="Times New Roman"/>
          <w:noProof/>
        </w:rPr>
      </w:pPr>
      <w:r>
        <w:rPr>
          <w:noProof/>
        </w:rPr>
        <w:t>Au lieu du règlement (CEE) n° 3821/85 du Conseil, des règles équivalentes établies par l’accord AETR ainsi que ses protocoles peuvent être appliquées;»;</w:t>
      </w:r>
    </w:p>
    <w:p w:rsidR="00F275B3" w:rsidRDefault="00F275B3">
      <w:pPr>
        <w:pStyle w:val="Default"/>
        <w:jc w:val="both"/>
        <w:rPr>
          <w:rFonts w:cs="Times New Roman"/>
          <w:noProof/>
        </w:rPr>
      </w:pPr>
    </w:p>
    <w:p w:rsidR="00F275B3" w:rsidRDefault="00362F0A">
      <w:pPr>
        <w:pStyle w:val="Default"/>
        <w:jc w:val="both"/>
        <w:rPr>
          <w:rFonts w:cs="Times New Roman"/>
          <w:noProof/>
          <w:u w:val="single"/>
        </w:rPr>
      </w:pPr>
      <w:r>
        <w:rPr>
          <w:noProof/>
          <w:u w:val="single"/>
        </w:rPr>
        <w:t>b) l’acte de l’Union suivant est</w:t>
      </w:r>
      <w:r>
        <w:rPr>
          <w:noProof/>
          <w:u w:val="single"/>
        </w:rPr>
        <w:t xml:space="preserve"> ajouté:</w:t>
      </w:r>
    </w:p>
    <w:p w:rsidR="00F275B3" w:rsidRDefault="00F275B3">
      <w:pPr>
        <w:pStyle w:val="Default"/>
        <w:jc w:val="both"/>
        <w:rPr>
          <w:rFonts w:cs="Times New Roman"/>
          <w:noProof/>
          <w:u w:val="single"/>
        </w:rPr>
      </w:pPr>
    </w:p>
    <w:p w:rsidR="00F275B3" w:rsidRDefault="00362F0A">
      <w:pPr>
        <w:pStyle w:val="Default"/>
        <w:ind w:left="720" w:hanging="720"/>
        <w:jc w:val="both"/>
        <w:rPr>
          <w:noProof/>
        </w:rPr>
      </w:pPr>
      <w:r>
        <w:rPr>
          <w:noProof/>
        </w:rPr>
        <w:t>«—</w:t>
      </w:r>
      <w:r>
        <w:rPr>
          <w:noProof/>
        </w:rPr>
        <w:tab/>
        <w:t>Règlement (UE) n° 165/2014 du Parlement Européen et du Conseil du 4 février 2014 relatif aux tachygraphes dans les transports routiers, abrogeant le règlement (CEE) n° 3821/85 du Conseil concernant l’appareil de contrôle dans le domaine des tr</w:t>
      </w:r>
      <w:r>
        <w:rPr>
          <w:noProof/>
        </w:rPr>
        <w:t>ansports par route et modifiant le règlement (CE) n° 561/2006 du Parlement européen et du Conseil relatif à l’harmonisation de certaines dispositions de la législation sociale dans le domaine des transports par route (JO L 60 du 28.2.2014, p. 1), qui est a</w:t>
      </w:r>
      <w:r>
        <w:rPr>
          <w:noProof/>
        </w:rPr>
        <w:t>pplicable à partir de la date à laquelle les actes d'exécution visés à l'article 46 entrent en vigueur.</w:t>
      </w:r>
    </w:p>
    <w:p w:rsidR="00F275B3" w:rsidRDefault="00F275B3">
      <w:pPr>
        <w:pStyle w:val="Default"/>
        <w:jc w:val="both"/>
        <w:rPr>
          <w:rFonts w:cs="Times New Roman"/>
          <w:noProof/>
          <w:color w:val="000000" w:themeColor="text1"/>
        </w:rPr>
      </w:pPr>
    </w:p>
    <w:p w:rsidR="00F275B3" w:rsidRDefault="00362F0A">
      <w:pPr>
        <w:pStyle w:val="Default"/>
        <w:ind w:left="720"/>
        <w:jc w:val="both"/>
        <w:rPr>
          <w:rFonts w:cs="Times New Roman"/>
          <w:noProof/>
          <w:color w:val="000000" w:themeColor="text1"/>
        </w:rPr>
      </w:pPr>
      <w:r>
        <w:rPr>
          <w:noProof/>
        </w:rPr>
        <w:t xml:space="preserve">Au lieu du règlement (UE) n° 165/2014 du Conseil, des règles équivalentes établies par l’accord AETR ainsi que ses protocoles peuvent être </w:t>
      </w:r>
      <w:r>
        <w:rPr>
          <w:noProof/>
        </w:rPr>
        <w:t>appliquées.».</w:t>
      </w:r>
    </w:p>
    <w:p w:rsidR="00F275B3" w:rsidRDefault="00F275B3">
      <w:pPr>
        <w:pStyle w:val="Default"/>
        <w:jc w:val="both"/>
        <w:rPr>
          <w:rFonts w:cs="Times New Roman"/>
          <w:noProof/>
          <w:color w:val="000000" w:themeColor="text1"/>
        </w:rPr>
      </w:pPr>
    </w:p>
    <w:p w:rsidR="00F275B3" w:rsidRDefault="00362F0A">
      <w:pPr>
        <w:pStyle w:val="Default"/>
        <w:jc w:val="both"/>
        <w:rPr>
          <w:rFonts w:cs="Times New Roman"/>
          <w:i/>
          <w:noProof/>
        </w:rPr>
      </w:pPr>
      <w:r>
        <w:rPr>
          <w:i/>
          <w:noProof/>
        </w:rPr>
        <w:t xml:space="preserve">2. Adaptation de l’annexe 1 relative aux conditions applicables aux transporteurs routiers de voyageurs </w:t>
      </w:r>
    </w:p>
    <w:p w:rsidR="00F275B3" w:rsidRDefault="00F275B3">
      <w:pPr>
        <w:pStyle w:val="Default"/>
        <w:jc w:val="both"/>
        <w:rPr>
          <w:rFonts w:cs="Times New Roman"/>
          <w:noProof/>
        </w:rPr>
      </w:pPr>
    </w:p>
    <w:p w:rsidR="00F275B3" w:rsidRDefault="00362F0A">
      <w:pPr>
        <w:pStyle w:val="Default"/>
        <w:jc w:val="both"/>
        <w:rPr>
          <w:rFonts w:cs="Times New Roman"/>
          <w:noProof/>
          <w:u w:val="single"/>
        </w:rPr>
      </w:pPr>
      <w:r>
        <w:rPr>
          <w:noProof/>
          <w:u w:val="single"/>
        </w:rPr>
        <w:t>À l’annexe 1, la liste des actes de l’Union est remplacée par la liste suivante:</w:t>
      </w:r>
    </w:p>
    <w:p w:rsidR="00F275B3" w:rsidRDefault="00F275B3">
      <w:pPr>
        <w:pStyle w:val="Default"/>
        <w:jc w:val="both"/>
        <w:rPr>
          <w:rFonts w:cs="Times New Roman"/>
          <w:noProof/>
        </w:rPr>
      </w:pPr>
    </w:p>
    <w:p w:rsidR="00F275B3" w:rsidRDefault="00362F0A">
      <w:pPr>
        <w:pStyle w:val="Default"/>
        <w:ind w:left="720"/>
        <w:jc w:val="both"/>
        <w:rPr>
          <w:rFonts w:eastAsia="Times New Roman" w:cs="Times New Roman"/>
          <w:noProof/>
        </w:rPr>
      </w:pPr>
      <w:r>
        <w:rPr>
          <w:noProof/>
        </w:rPr>
        <w:t xml:space="preserve">«Règlement (CE) n° 561/2006 du Parlement européen et </w:t>
      </w:r>
      <w:r>
        <w:rPr>
          <w:noProof/>
        </w:rPr>
        <w:t>du Conseil du 15 mars 2006 relatif à l’harmonisation de certaines dispositions de la législation sociale dans le domaine des transports par route et modifiant les règlements (CEE) n° 3821/85 et (CE) n° 2135/98 du Conseil et abrogeant le règlement (CEE) n° </w:t>
      </w:r>
      <w:r>
        <w:rPr>
          <w:noProof/>
        </w:rPr>
        <w:t>3820/85 du Conseil (JO L 102 du 11.4.2016, p. 1), modifié en dernier lieu par le règlement (UE) n° 165/2014 du Parlement européen et du Conseil du 4 février 2014 (JO L 60 du 28.2.2014, p. 1);</w:t>
      </w:r>
    </w:p>
    <w:p w:rsidR="00F275B3" w:rsidRDefault="00F275B3">
      <w:pPr>
        <w:pStyle w:val="Default"/>
        <w:ind w:left="720"/>
        <w:jc w:val="both"/>
        <w:rPr>
          <w:rFonts w:eastAsia="Times New Roman" w:cs="Times New Roman"/>
          <w:noProof/>
        </w:rPr>
      </w:pPr>
    </w:p>
    <w:p w:rsidR="00F275B3" w:rsidRDefault="00362F0A">
      <w:pPr>
        <w:pStyle w:val="Default"/>
        <w:ind w:left="720"/>
        <w:jc w:val="both"/>
        <w:rPr>
          <w:rFonts w:cs="Times New Roman"/>
          <w:noProof/>
        </w:rPr>
      </w:pPr>
      <w:r>
        <w:rPr>
          <w:noProof/>
        </w:rPr>
        <w:t>Règlement (CE) n° 1071/2009 du Parlement européen et du Conseil</w:t>
      </w:r>
      <w:r>
        <w:rPr>
          <w:noProof/>
        </w:rPr>
        <w:t xml:space="preserve"> du 21 octobre 2009 établissant des règles communes sur les conditions à respecter pour exercer la profession de transporteur par route, et abrogeant la directive 96/26/CE du Conseil (JO L 300 du 14.11.2009, p. 51), modifié en dernier lieu par le règlement</w:t>
      </w:r>
      <w:r>
        <w:rPr>
          <w:noProof/>
        </w:rPr>
        <w:t xml:space="preserve"> (UE) n° 517/2013 du Conseil du 13 mai 2013 (JO L 158 du 10.6.2013, p. 1);</w:t>
      </w:r>
    </w:p>
    <w:p w:rsidR="00F275B3" w:rsidRDefault="00F275B3">
      <w:pPr>
        <w:pStyle w:val="Default"/>
        <w:ind w:left="720"/>
        <w:jc w:val="both"/>
        <w:rPr>
          <w:rFonts w:cs="Times New Roman"/>
          <w:noProof/>
        </w:rPr>
      </w:pPr>
    </w:p>
    <w:p w:rsidR="00F275B3" w:rsidRDefault="00362F0A">
      <w:pPr>
        <w:pStyle w:val="Default"/>
        <w:ind w:left="720"/>
        <w:jc w:val="both"/>
        <w:rPr>
          <w:rFonts w:eastAsia="Times New Roman" w:cs="Times New Roman"/>
          <w:noProof/>
          <w:color w:val="auto"/>
        </w:rPr>
      </w:pPr>
      <w:r>
        <w:rPr>
          <w:noProof/>
          <w:color w:val="auto"/>
        </w:rPr>
        <w:t>Règlement (CE) n° 1073/2009 du Parlement européen et du Conseil du 21 octobre 2009 établissant des règles communes pour l'accès au marché international des services de transport pa</w:t>
      </w:r>
      <w:r>
        <w:rPr>
          <w:noProof/>
          <w:color w:val="auto"/>
        </w:rPr>
        <w:t>r autocar et autobus, et modifiant le règlement (CE) n° 561/2006 (JO L 300 du 14.11.2009, p. 88), modifié en dernier lieu par le règlement (UE) n° 517/2013 du Conseil du 13 mai 2013 (JO L 158 du 10.6.2013, p. 1);</w:t>
      </w:r>
    </w:p>
    <w:p w:rsidR="00F275B3" w:rsidRDefault="00F275B3">
      <w:pPr>
        <w:pStyle w:val="Default"/>
        <w:ind w:left="720"/>
        <w:jc w:val="both"/>
        <w:rPr>
          <w:rFonts w:cs="Times New Roman"/>
          <w:noProof/>
          <w:color w:val="auto"/>
        </w:rPr>
      </w:pPr>
    </w:p>
    <w:p w:rsidR="00F275B3" w:rsidRDefault="00362F0A">
      <w:pPr>
        <w:pStyle w:val="Default"/>
        <w:ind w:left="720"/>
        <w:jc w:val="both"/>
        <w:rPr>
          <w:rFonts w:eastAsia="Times New Roman" w:cs="Times New Roman"/>
          <w:noProof/>
        </w:rPr>
      </w:pPr>
      <w:r>
        <w:rPr>
          <w:noProof/>
        </w:rPr>
        <w:t xml:space="preserve">Règlement (UE) n° 181/2011 du Parlement </w:t>
      </w:r>
      <w:r>
        <w:rPr>
          <w:noProof/>
        </w:rPr>
        <w:t>européen et du Conseil du 16 février 2011 concernant les droits des passagers dans le transport par autobus et autocar et modifiant le règlement (CE) n° 2006/2004 (JO L 55 du 28.2.2011, p. 1), en ce qui concerne les dispositions applicables aux services oc</w:t>
      </w:r>
      <w:r>
        <w:rPr>
          <w:noProof/>
        </w:rPr>
        <w:t>casionnels par autobus ou par autocar.».</w:t>
      </w:r>
    </w:p>
    <w:p w:rsidR="00F275B3" w:rsidRDefault="00F275B3">
      <w:pPr>
        <w:pStyle w:val="Default"/>
        <w:ind w:left="720"/>
        <w:jc w:val="both"/>
        <w:rPr>
          <w:rFonts w:eastAsia="Times New Roman" w:cs="Times New Roman"/>
          <w:noProof/>
        </w:rPr>
      </w:pPr>
    </w:p>
    <w:p w:rsidR="00F275B3" w:rsidRDefault="00F275B3">
      <w:pPr>
        <w:pStyle w:val="Default"/>
        <w:ind w:left="720"/>
        <w:jc w:val="both"/>
        <w:rPr>
          <w:rFonts w:cs="Times New Roman"/>
          <w:noProof/>
        </w:rPr>
      </w:pPr>
    </w:p>
    <w:p w:rsidR="00F275B3" w:rsidRDefault="00362F0A">
      <w:pPr>
        <w:pStyle w:val="Default"/>
        <w:jc w:val="both"/>
        <w:rPr>
          <w:rFonts w:cs="Times New Roman"/>
          <w:i/>
          <w:noProof/>
        </w:rPr>
      </w:pPr>
      <w:r>
        <w:rPr>
          <w:i/>
          <w:noProof/>
        </w:rPr>
        <w:t>3. Adaptation de l’annexe 2 concernant les normes techniques applicables aux autobus et aux autocars</w:t>
      </w:r>
    </w:p>
    <w:p w:rsidR="00F275B3" w:rsidRDefault="00F275B3">
      <w:pPr>
        <w:pStyle w:val="Default"/>
        <w:jc w:val="both"/>
        <w:rPr>
          <w:rFonts w:cs="Times New Roman"/>
          <w:noProof/>
        </w:rPr>
      </w:pPr>
    </w:p>
    <w:p w:rsidR="00F275B3" w:rsidRDefault="00362F0A">
      <w:pPr>
        <w:pStyle w:val="Default"/>
        <w:jc w:val="both"/>
        <w:rPr>
          <w:rFonts w:cs="Times New Roman"/>
          <w:noProof/>
          <w:u w:val="single"/>
        </w:rPr>
      </w:pPr>
      <w:r>
        <w:rPr>
          <w:noProof/>
          <w:u w:val="single"/>
        </w:rPr>
        <w:t>L'annexe 2 est modifiée comme suit:</w:t>
      </w:r>
    </w:p>
    <w:p w:rsidR="00F275B3" w:rsidRDefault="00F275B3">
      <w:pPr>
        <w:pStyle w:val="Default"/>
        <w:jc w:val="both"/>
        <w:rPr>
          <w:rFonts w:cs="Times New Roman"/>
          <w:noProof/>
          <w:u w:val="single"/>
        </w:rPr>
      </w:pPr>
    </w:p>
    <w:p w:rsidR="00F275B3" w:rsidRDefault="00362F0A">
      <w:pPr>
        <w:pStyle w:val="Default"/>
        <w:jc w:val="both"/>
        <w:rPr>
          <w:rFonts w:cs="Times New Roman"/>
          <w:noProof/>
          <w:u w:val="single"/>
        </w:rPr>
      </w:pPr>
      <w:r>
        <w:rPr>
          <w:noProof/>
          <w:u w:val="single"/>
        </w:rPr>
        <w:t>a) l’article 1</w:t>
      </w:r>
      <w:r>
        <w:rPr>
          <w:noProof/>
          <w:u w:val="single"/>
          <w:vertAlign w:val="superscript"/>
        </w:rPr>
        <w:t>er</w:t>
      </w:r>
      <w:r>
        <w:rPr>
          <w:noProof/>
          <w:u w:val="single"/>
        </w:rPr>
        <w:t xml:space="preserve"> est modifié comme suit:</w:t>
      </w:r>
    </w:p>
    <w:p w:rsidR="00F275B3" w:rsidRDefault="00F275B3">
      <w:pPr>
        <w:pStyle w:val="Default"/>
        <w:jc w:val="both"/>
        <w:rPr>
          <w:rFonts w:cs="Times New Roman"/>
          <w:noProof/>
          <w:u w:val="single"/>
        </w:rPr>
      </w:pPr>
    </w:p>
    <w:p w:rsidR="00F275B3" w:rsidRDefault="00362F0A">
      <w:pPr>
        <w:pStyle w:val="Default"/>
        <w:jc w:val="both"/>
        <w:rPr>
          <w:rFonts w:cs="Times New Roman"/>
          <w:noProof/>
          <w:u w:val="single"/>
        </w:rPr>
      </w:pPr>
      <w:r>
        <w:rPr>
          <w:noProof/>
          <w:u w:val="single"/>
        </w:rPr>
        <w:t xml:space="preserve">i) le point a) est remplacé par </w:t>
      </w:r>
      <w:r>
        <w:rPr>
          <w:noProof/>
          <w:u w:val="single"/>
        </w:rPr>
        <w:t>le texte suivant:</w:t>
      </w:r>
    </w:p>
    <w:p w:rsidR="00F275B3" w:rsidRDefault="00F275B3">
      <w:pPr>
        <w:pStyle w:val="Default"/>
        <w:jc w:val="both"/>
        <w:rPr>
          <w:rFonts w:cs="Times New Roman"/>
          <w:noProof/>
        </w:rPr>
      </w:pPr>
    </w:p>
    <w:p w:rsidR="00F275B3" w:rsidRDefault="00362F0A">
      <w:pPr>
        <w:spacing w:before="0" w:after="0"/>
        <w:ind w:firstLine="360"/>
        <w:rPr>
          <w:rFonts w:eastAsia="Times New Roman"/>
          <w:noProof/>
          <w:szCs w:val="24"/>
        </w:rPr>
      </w:pPr>
      <w:r>
        <w:rPr>
          <w:noProof/>
        </w:rPr>
        <w:t>«a) Contrôle technique des véhicules à moteur et de leurs remorques:</w:t>
      </w:r>
    </w:p>
    <w:p w:rsidR="00F275B3" w:rsidRDefault="00F275B3">
      <w:pPr>
        <w:spacing w:before="0" w:after="0"/>
        <w:ind w:firstLine="360"/>
        <w:rPr>
          <w:rFonts w:eastAsia="Times New Roman"/>
          <w:noProof/>
          <w:szCs w:val="24"/>
        </w:rPr>
      </w:pPr>
    </w:p>
    <w:p w:rsidR="00F275B3" w:rsidRDefault="00362F0A">
      <w:pPr>
        <w:pStyle w:val="Tiret1"/>
        <w:numPr>
          <w:ilvl w:val="0"/>
          <w:numId w:val="10"/>
        </w:numPr>
        <w:rPr>
          <w:noProof/>
        </w:rPr>
      </w:pPr>
      <w:r>
        <w:rPr>
          <w:noProof/>
        </w:rPr>
        <w:t xml:space="preserve">Directive 2009/40/CE du Parlement européen et du Conseil du 6 mai 2009 relative au contrôle technique des véhicules à moteur et de leurs remorques </w:t>
      </w:r>
      <w:hyperlink r:id="rId13" w:history="1">
        <w:r>
          <w:rPr>
            <w:rStyle w:val="Hyperlink"/>
            <w:noProof/>
          </w:rPr>
          <w:t>(JO L 141 du 6.6.2009, p. 12),</w:t>
        </w:r>
      </w:hyperlink>
      <w:r>
        <w:rPr>
          <w:noProof/>
        </w:rPr>
        <w:t xml:space="preserve"> modifiée en dernier lieu par la directive 2010/48/UE de la Commission du 5 juillet 2010 (JO L 173 du 8.7.2010, p. 47), qui es</w:t>
      </w:r>
      <w:r>
        <w:rPr>
          <w:noProof/>
        </w:rPr>
        <w:t>t applicable jusqu'au 19 mai 2018;</w:t>
      </w:r>
    </w:p>
    <w:p w:rsidR="00F275B3" w:rsidRDefault="00F275B3">
      <w:pPr>
        <w:pStyle w:val="Default"/>
        <w:ind w:left="720"/>
        <w:jc w:val="both"/>
        <w:rPr>
          <w:noProof/>
        </w:rPr>
      </w:pPr>
    </w:p>
    <w:p w:rsidR="00F275B3" w:rsidRDefault="00362F0A">
      <w:pPr>
        <w:pStyle w:val="Tiret1"/>
        <w:rPr>
          <w:noProof/>
        </w:rPr>
      </w:pPr>
      <w:r>
        <w:rPr>
          <w:noProof/>
        </w:rPr>
        <w:t>Directive 2014/45/UE du Parlement européen et du Conseil du 3 avril 2014 relative au contrôle technique des véhicules à moteur et de leurs remorques, et abrogeant la directive 2009/40/CE (JO L 127 du 29.4.2014, p. 51), q</w:t>
      </w:r>
      <w:r>
        <w:rPr>
          <w:noProof/>
        </w:rPr>
        <w:t>ui est applicable à partir du 20 mai 2018;</w:t>
      </w:r>
    </w:p>
    <w:p w:rsidR="00F275B3" w:rsidRDefault="00F275B3">
      <w:pPr>
        <w:pStyle w:val="Default"/>
        <w:ind w:left="720"/>
        <w:jc w:val="both"/>
        <w:rPr>
          <w:noProof/>
        </w:rPr>
      </w:pPr>
    </w:p>
    <w:p w:rsidR="00F275B3" w:rsidRDefault="00362F0A">
      <w:pPr>
        <w:pStyle w:val="Tiret1"/>
        <w:rPr>
          <w:noProof/>
        </w:rPr>
      </w:pPr>
      <w:r>
        <w:rPr>
          <w:noProof/>
        </w:rPr>
        <w:t>Directive 2000/30/CE du Parlement européen et du Conseil du 6 juin 2000 relative au contrôle technique routier des véhicules utilitaires circulant dans la Communauté (JO L 203 du 10.8.2000, p. 1), modifiée en der</w:t>
      </w:r>
      <w:r>
        <w:rPr>
          <w:noProof/>
        </w:rPr>
        <w:t>nier lieu par la directive 2010/47/UE de la Commission du 5 juillet 2010 (JO L 173 du 8.7.2010, p. 33), qui est applicable jusqu'au 19 mai 2018;</w:t>
      </w:r>
    </w:p>
    <w:p w:rsidR="00F275B3" w:rsidRDefault="00F275B3">
      <w:pPr>
        <w:pStyle w:val="Default"/>
        <w:ind w:left="720"/>
        <w:jc w:val="both"/>
        <w:rPr>
          <w:noProof/>
        </w:rPr>
      </w:pPr>
    </w:p>
    <w:p w:rsidR="00F275B3" w:rsidRDefault="00362F0A">
      <w:pPr>
        <w:pStyle w:val="Tiret1"/>
        <w:rPr>
          <w:noProof/>
        </w:rPr>
      </w:pPr>
      <w:r>
        <w:rPr>
          <w:noProof/>
        </w:rPr>
        <w:t>Directive 2014/47/UE du Parlement européen et du Conseil du 3 avril 2014 relative au contrôle technique routie</w:t>
      </w:r>
      <w:r>
        <w:rPr>
          <w:noProof/>
        </w:rPr>
        <w:t>r des véhicules utilitaires circulant dans l’Union, et abrogeant la directive 2000/30/CE (JO L 127 du 29.4.2014, p. 134), qui est applicable à partir du 20 mai 2018;»;</w:t>
      </w:r>
    </w:p>
    <w:p w:rsidR="00F275B3" w:rsidRDefault="00F275B3">
      <w:pPr>
        <w:spacing w:before="0" w:after="0"/>
        <w:rPr>
          <w:rFonts w:eastAsia="Times New Roman"/>
          <w:noProof/>
          <w:szCs w:val="24"/>
        </w:rPr>
      </w:pPr>
    </w:p>
    <w:p w:rsidR="00F275B3" w:rsidRDefault="00362F0A">
      <w:pPr>
        <w:spacing w:before="0" w:after="0"/>
        <w:rPr>
          <w:noProof/>
          <w:u w:val="single"/>
        </w:rPr>
      </w:pPr>
      <w:r>
        <w:rPr>
          <w:noProof/>
          <w:u w:val="single"/>
        </w:rPr>
        <w:t>ii) le point c) est remplacé par le texte suivant:</w:t>
      </w:r>
    </w:p>
    <w:p w:rsidR="00F275B3" w:rsidRDefault="00F275B3">
      <w:pPr>
        <w:pStyle w:val="normal2"/>
        <w:spacing w:before="0"/>
        <w:rPr>
          <w:noProof/>
        </w:rPr>
      </w:pPr>
    </w:p>
    <w:p w:rsidR="00F275B3" w:rsidRDefault="00362F0A">
      <w:pPr>
        <w:spacing w:before="0" w:after="0"/>
        <w:ind w:firstLine="360"/>
        <w:rPr>
          <w:noProof/>
          <w:szCs w:val="24"/>
        </w:rPr>
      </w:pPr>
      <w:r>
        <w:rPr>
          <w:noProof/>
        </w:rPr>
        <w:t>«c) Dimensions maximales et poids m</w:t>
      </w:r>
      <w:r>
        <w:rPr>
          <w:noProof/>
        </w:rPr>
        <w:t>aximaux:</w:t>
      </w:r>
    </w:p>
    <w:p w:rsidR="00F275B3" w:rsidRDefault="00F275B3">
      <w:pPr>
        <w:spacing w:before="0" w:after="0"/>
        <w:ind w:firstLine="360"/>
        <w:rPr>
          <w:noProof/>
          <w:szCs w:val="24"/>
        </w:rPr>
      </w:pPr>
    </w:p>
    <w:p w:rsidR="00F275B3" w:rsidRDefault="00362F0A">
      <w:pPr>
        <w:pStyle w:val="Tiret1"/>
        <w:rPr>
          <w:noProof/>
        </w:rPr>
      </w:pPr>
      <w:r>
        <w:rPr>
          <w:noProof/>
        </w:rPr>
        <w:t>Directive 96/53/CE du Conseil du 25 juillet 1996 fixant, pour certains véhicules routiers circulant dans la Communauté, les dimensions maximales autorisées en trafic national et international et les poids maximaux autorisés en trafic internationa</w:t>
      </w:r>
      <w:r>
        <w:rPr>
          <w:noProof/>
        </w:rPr>
        <w:t>l (</w:t>
      </w:r>
      <w:hyperlink r:id="rId14" w:history="1">
        <w:r>
          <w:rPr>
            <w:rStyle w:val="Hyperlink"/>
            <w:noProof/>
          </w:rPr>
          <w:t>JO L 235 du 17.9.1996, p. 59</w:t>
        </w:r>
      </w:hyperlink>
      <w:r>
        <w:rPr>
          <w:noProof/>
        </w:rPr>
        <w:t>), modifiée en dernier lieu par la directive (UE) 2015/719 du Parlement européen et du Conseil du 29 avril 2015 (JO L 115 d</w:t>
      </w:r>
      <w:r>
        <w:rPr>
          <w:noProof/>
        </w:rPr>
        <w:t>u 6.5.2015, p. 1).</w:t>
      </w:r>
    </w:p>
    <w:p w:rsidR="00F275B3" w:rsidRDefault="00F275B3">
      <w:pPr>
        <w:pStyle w:val="Text1"/>
        <w:spacing w:before="0" w:after="0"/>
        <w:rPr>
          <w:noProof/>
        </w:rPr>
      </w:pPr>
    </w:p>
    <w:p w:rsidR="00F275B3" w:rsidRDefault="00362F0A">
      <w:pPr>
        <w:pStyle w:val="Text2"/>
        <w:rPr>
          <w:noProof/>
        </w:rPr>
      </w:pPr>
      <w:r>
        <w:rPr>
          <w:noProof/>
        </w:rPr>
        <w:t>Les modifications introduites par la directive (UE) 2015/719 sont applicables à partir du 7 mai 2017;</w:t>
      </w:r>
    </w:p>
    <w:p w:rsidR="00F275B3" w:rsidRDefault="00F275B3">
      <w:pPr>
        <w:pStyle w:val="Text1"/>
        <w:spacing w:before="0" w:after="0"/>
        <w:rPr>
          <w:noProof/>
        </w:rPr>
      </w:pPr>
    </w:p>
    <w:p w:rsidR="00F275B3" w:rsidRDefault="00362F0A">
      <w:pPr>
        <w:pStyle w:val="Tiret1"/>
        <w:rPr>
          <w:rFonts w:eastAsia="Times New Roman"/>
          <w:noProof/>
        </w:rPr>
      </w:pPr>
      <w:r>
        <w:rPr>
          <w:noProof/>
        </w:rPr>
        <w:t xml:space="preserve">Règlement (CE) n° 661/2009 du Parlement européen et du Conseil du 13 juillet 2009 concernant les prescriptions pour l’homologation </w:t>
      </w:r>
      <w:r>
        <w:rPr>
          <w:noProof/>
        </w:rPr>
        <w:t>relatives à la sécurité générale des véhicules à moteur, de leurs remorques et des systèmes, composants et entités techniques distinctes qui leur sont destinés (JO L 200 du 31.7.2009, p. 1), modifié en dernier lieu par le règlement (UE) 2015/166 du 3 févri</w:t>
      </w:r>
      <w:r>
        <w:rPr>
          <w:noProof/>
        </w:rPr>
        <w:t>er 2015 (JO L 28 du 4.2.2015, p. 3);</w:t>
      </w:r>
    </w:p>
    <w:p w:rsidR="00F275B3" w:rsidRDefault="00F275B3">
      <w:pPr>
        <w:pStyle w:val="Default"/>
        <w:jc w:val="both"/>
        <w:rPr>
          <w:rFonts w:eastAsia="Times New Roman"/>
          <w:noProof/>
        </w:rPr>
      </w:pPr>
    </w:p>
    <w:p w:rsidR="00F275B3" w:rsidRDefault="00362F0A">
      <w:pPr>
        <w:pStyle w:val="Tiret1"/>
        <w:rPr>
          <w:noProof/>
        </w:rPr>
      </w:pPr>
      <w:r>
        <w:rPr>
          <w:noProof/>
        </w:rPr>
        <w:t>Règlement (UE) n° 1230/2012 de la Commission du 12 décembre 2012 portant application du règlement (CE) n° 661/2009 du Parlement européen et du Conseil en ce qui concerne les prescriptions pour la réception par type rel</w:t>
      </w:r>
      <w:r>
        <w:rPr>
          <w:noProof/>
        </w:rPr>
        <w:t>atives aux masses et dimensions des véhicules à moteur et de leurs remorques et modifiant la directive 2007/46/CE du Parlement européen et du Conseil (JO L 353 du 21.12.2012, p. 31);»;</w:t>
      </w:r>
    </w:p>
    <w:p w:rsidR="00F275B3" w:rsidRDefault="00F275B3">
      <w:pPr>
        <w:pStyle w:val="Default"/>
        <w:jc w:val="both"/>
        <w:rPr>
          <w:rFonts w:eastAsia="Times New Roman"/>
          <w:noProof/>
        </w:rPr>
      </w:pPr>
    </w:p>
    <w:p w:rsidR="00F275B3" w:rsidRDefault="00362F0A">
      <w:pPr>
        <w:pStyle w:val="Default"/>
        <w:jc w:val="both"/>
        <w:rPr>
          <w:rFonts w:cs="Times New Roman"/>
          <w:noProof/>
          <w:u w:val="single"/>
        </w:rPr>
      </w:pPr>
      <w:r>
        <w:rPr>
          <w:noProof/>
          <w:u w:val="single"/>
        </w:rPr>
        <w:t>iii) le point d) est remplacé par le texte suivant:</w:t>
      </w:r>
    </w:p>
    <w:p w:rsidR="00F275B3" w:rsidRDefault="00F275B3">
      <w:pPr>
        <w:pStyle w:val="Default"/>
        <w:jc w:val="both"/>
        <w:rPr>
          <w:rFonts w:cs="Times New Roman"/>
          <w:noProof/>
          <w:u w:val="single"/>
        </w:rPr>
      </w:pPr>
    </w:p>
    <w:p w:rsidR="00F275B3" w:rsidRDefault="00362F0A">
      <w:pPr>
        <w:spacing w:before="0" w:after="0"/>
        <w:ind w:firstLine="720"/>
        <w:rPr>
          <w:rFonts w:eastAsia="Times New Roman"/>
          <w:noProof/>
          <w:szCs w:val="24"/>
        </w:rPr>
      </w:pPr>
      <w:r>
        <w:rPr>
          <w:noProof/>
        </w:rPr>
        <w:t xml:space="preserve">«d) Appareil de </w:t>
      </w:r>
      <w:r>
        <w:rPr>
          <w:noProof/>
        </w:rPr>
        <w:t>contrôle dans le domaine du transport par route:</w:t>
      </w:r>
    </w:p>
    <w:p w:rsidR="00F275B3" w:rsidRDefault="00F275B3">
      <w:pPr>
        <w:spacing w:before="0" w:after="0"/>
        <w:ind w:firstLine="720"/>
        <w:rPr>
          <w:rFonts w:eastAsia="Times New Roman"/>
          <w:noProof/>
          <w:szCs w:val="24"/>
        </w:rPr>
      </w:pPr>
    </w:p>
    <w:p w:rsidR="00F275B3" w:rsidRDefault="00362F0A">
      <w:pPr>
        <w:pStyle w:val="Tiret1"/>
        <w:rPr>
          <w:rFonts w:eastAsia="Times New Roman"/>
          <w:noProof/>
        </w:rPr>
      </w:pPr>
      <w:r>
        <w:rPr>
          <w:noProof/>
        </w:rPr>
        <w:t xml:space="preserve">Règlement (CEE) n° 3821/85 du Conseil du 20 décembre 1985 concernant l’appareil de contrôle dans le domaine des transports par route (JO L 370 du 31.12.1985, p. 8), modifié en dernier lieu par le règlement </w:t>
      </w:r>
      <w:r>
        <w:rPr>
          <w:noProof/>
        </w:rPr>
        <w:t xml:space="preserve">(UE) n° 1161/2014 de la Commission du 30 octobre 2014 (JO L 311 du 31.10.2014, p. 19), qui est applicable jusqu’à ce que le règlement (UE) n° 165/2014 du Parlement européen et du Conseil du 4 février 2014 entre en vigueur. </w:t>
      </w:r>
    </w:p>
    <w:p w:rsidR="00F275B3" w:rsidRDefault="00362F0A">
      <w:pPr>
        <w:pStyle w:val="Text1"/>
        <w:ind w:left="1440" w:hanging="23"/>
        <w:rPr>
          <w:noProof/>
        </w:rPr>
      </w:pPr>
      <w:r>
        <w:rPr>
          <w:noProof/>
        </w:rPr>
        <w:t>Au lieu du règlement (CEE) n° 38</w:t>
      </w:r>
      <w:r>
        <w:rPr>
          <w:noProof/>
        </w:rPr>
        <w:t>21/85 du Conseil, des règles équivalentes établies par l’accord AETR ainsi que ses protocoles peuvent être appliquées;</w:t>
      </w:r>
    </w:p>
    <w:p w:rsidR="00F275B3" w:rsidRDefault="00F275B3">
      <w:pPr>
        <w:pStyle w:val="Text1"/>
        <w:ind w:left="1440" w:hanging="23"/>
        <w:rPr>
          <w:noProof/>
        </w:rPr>
      </w:pPr>
    </w:p>
    <w:p w:rsidR="00F275B3" w:rsidRDefault="00362F0A">
      <w:pPr>
        <w:pStyle w:val="Tiret1"/>
        <w:rPr>
          <w:rFonts w:eastAsia="Times New Roman"/>
          <w:noProof/>
        </w:rPr>
      </w:pPr>
      <w:r>
        <w:rPr>
          <w:noProof/>
        </w:rPr>
        <w:t xml:space="preserve">Règlement (UE) n° 165/2014 du Parlement Européen et du Conseil du 4 février 2014 relatif aux tachygraphes dans les transports routiers, </w:t>
      </w:r>
      <w:r>
        <w:rPr>
          <w:noProof/>
        </w:rPr>
        <w:t>abrogeant le règlement (CEE) n° 3821/85 du Conseil concernant l’appareil de contrôle dans le domaine des transports par route et modifiant le règlement (CE) n° 561/2006 du Parlement européen et du Conseil relatif à l’harmonisation de certaines dispositions</w:t>
      </w:r>
      <w:r>
        <w:rPr>
          <w:noProof/>
        </w:rPr>
        <w:t xml:space="preserve"> de la législation sociale dans le domaine des transports par route (JO L 60 du 28.2.2014, p. 1), qui est applicable à partir de la date à laquelle les actes d'exécution visés à l'article 46 entrent en vigueur.</w:t>
      </w:r>
    </w:p>
    <w:p w:rsidR="00F275B3" w:rsidRDefault="00362F0A">
      <w:pPr>
        <w:pStyle w:val="Text1"/>
        <w:ind w:left="1440" w:hanging="23"/>
        <w:rPr>
          <w:noProof/>
        </w:rPr>
      </w:pPr>
      <w:r>
        <w:rPr>
          <w:noProof/>
        </w:rPr>
        <w:t>Au lieu du règlement (UE) n° 165/2014 du Cons</w:t>
      </w:r>
      <w:r>
        <w:rPr>
          <w:noProof/>
        </w:rPr>
        <w:t>eil, des règles équivalentes établies par l’accord AETR ainsi que ses protocoles peuvent être appliquées.»;</w:t>
      </w:r>
    </w:p>
    <w:p w:rsidR="00F275B3" w:rsidRDefault="00F275B3">
      <w:pPr>
        <w:pStyle w:val="ListParagraph"/>
        <w:spacing w:after="0" w:line="240" w:lineRule="auto"/>
        <w:jc w:val="both"/>
        <w:rPr>
          <w:rFonts w:ascii="Times New Roman" w:eastAsia="Times New Roman" w:hAnsi="Times New Roman" w:cs="Times New Roman"/>
          <w:noProof/>
          <w:sz w:val="24"/>
          <w:szCs w:val="24"/>
        </w:rPr>
      </w:pPr>
    </w:p>
    <w:p w:rsidR="00F275B3" w:rsidRDefault="00F275B3">
      <w:pPr>
        <w:pStyle w:val="ListParagraph"/>
        <w:spacing w:after="0" w:line="240" w:lineRule="auto"/>
        <w:jc w:val="both"/>
        <w:rPr>
          <w:rFonts w:ascii="Times New Roman" w:eastAsia="Times New Roman" w:hAnsi="Times New Roman" w:cs="Times New Roman"/>
          <w:noProof/>
          <w:sz w:val="24"/>
          <w:szCs w:val="24"/>
        </w:rPr>
      </w:pPr>
    </w:p>
    <w:p w:rsidR="00F275B3" w:rsidRDefault="00362F0A">
      <w:pPr>
        <w:pStyle w:val="Default"/>
        <w:jc w:val="both"/>
        <w:rPr>
          <w:rFonts w:cs="Times New Roman"/>
          <w:noProof/>
          <w:u w:val="single"/>
        </w:rPr>
      </w:pPr>
      <w:r>
        <w:rPr>
          <w:noProof/>
          <w:u w:val="single"/>
        </w:rPr>
        <w:t>b) l’article 2 est modifié comme suit:</w:t>
      </w:r>
    </w:p>
    <w:p w:rsidR="00F275B3" w:rsidRDefault="00F275B3">
      <w:pPr>
        <w:pStyle w:val="Default"/>
        <w:jc w:val="both"/>
        <w:rPr>
          <w:rFonts w:cs="Times New Roman"/>
          <w:noProof/>
          <w:u w:val="single"/>
        </w:rPr>
      </w:pPr>
    </w:p>
    <w:p w:rsidR="00F275B3" w:rsidRDefault="00362F0A">
      <w:pPr>
        <w:pStyle w:val="Default"/>
        <w:jc w:val="both"/>
        <w:rPr>
          <w:rFonts w:cs="Times New Roman"/>
          <w:noProof/>
          <w:u w:val="single"/>
        </w:rPr>
      </w:pPr>
      <w:r>
        <w:rPr>
          <w:noProof/>
          <w:u w:val="single"/>
        </w:rPr>
        <w:t>i) les intitulés et références entre le premier alinéa et le tableau sont remplacés par le texte suivant:</w:t>
      </w:r>
    </w:p>
    <w:p w:rsidR="00F275B3" w:rsidRDefault="00F275B3">
      <w:pPr>
        <w:pStyle w:val="Default"/>
        <w:jc w:val="both"/>
        <w:rPr>
          <w:rFonts w:cs="Times New Roman"/>
          <w:noProof/>
          <w:u w:val="single"/>
        </w:rPr>
      </w:pPr>
    </w:p>
    <w:p w:rsidR="00F275B3" w:rsidRDefault="00362F0A">
      <w:pPr>
        <w:spacing w:before="0" w:after="0"/>
        <w:ind w:firstLine="360"/>
        <w:rPr>
          <w:rFonts w:eastAsia="Times New Roman"/>
          <w:noProof/>
          <w:szCs w:val="24"/>
        </w:rPr>
      </w:pPr>
      <w:r>
        <w:rPr>
          <w:noProof/>
        </w:rPr>
        <w:t>«Émissions à l’échappement:</w:t>
      </w:r>
    </w:p>
    <w:p w:rsidR="00F275B3" w:rsidRDefault="00F275B3">
      <w:pPr>
        <w:spacing w:before="0" w:after="0"/>
        <w:ind w:firstLine="360"/>
        <w:rPr>
          <w:rFonts w:eastAsia="Times New Roman"/>
          <w:noProof/>
          <w:szCs w:val="24"/>
        </w:rPr>
      </w:pPr>
    </w:p>
    <w:p w:rsidR="00F275B3" w:rsidRDefault="00362F0A">
      <w:pPr>
        <w:pStyle w:val="Tiret0"/>
        <w:numPr>
          <w:ilvl w:val="0"/>
          <w:numId w:val="11"/>
        </w:numPr>
        <w:spacing w:before="0" w:after="0"/>
        <w:rPr>
          <w:noProof/>
        </w:rPr>
      </w:pPr>
      <w:r>
        <w:rPr>
          <w:noProof/>
        </w:rPr>
        <w:t>Règlement (CE) n° 715/2007 du Parlement européen et du Conseil du 20 juin 2007 relatif à la réception des véhicules à moteur au regard des émissions des véhicules particuliers et utilitaires légers (Euro 5 et Euro 6) et aux in</w:t>
      </w:r>
      <w:r>
        <w:rPr>
          <w:noProof/>
        </w:rPr>
        <w:t>formations sur la réparation et l’entretien des véhicules (JO L 171 du 29.6.2007, p. 1), modifié en dernier lieu par le règlement (UE) n° 459/2012 de la Commission du 29 mai 2012 (JO L 142 du 1.6.2012, p. 16);</w:t>
      </w:r>
    </w:p>
    <w:p w:rsidR="00F275B3" w:rsidRDefault="00F275B3">
      <w:pPr>
        <w:spacing w:before="0" w:after="0"/>
        <w:ind w:left="720"/>
        <w:rPr>
          <w:noProof/>
        </w:rPr>
      </w:pPr>
    </w:p>
    <w:p w:rsidR="00F275B3" w:rsidRDefault="00362F0A">
      <w:pPr>
        <w:pStyle w:val="Tiret0"/>
        <w:spacing w:before="0" w:after="0"/>
        <w:rPr>
          <w:noProof/>
        </w:rPr>
      </w:pPr>
      <w:r>
        <w:rPr>
          <w:noProof/>
        </w:rPr>
        <w:t>Règlement (CE) n° 595/2009 du Parlement europ</w:t>
      </w:r>
      <w:r>
        <w:rPr>
          <w:noProof/>
        </w:rPr>
        <w:t xml:space="preserve">éen et du Conseil du 18 juin 2009 relatif à la réception des véhicules à moteur et des moteurs au regard des émissions des véhicules utilitaires lourds (Euro VI) et à l’accès aux informations sur la réparation et l’entretien des véhicules, et modifiant le </w:t>
      </w:r>
      <w:r>
        <w:rPr>
          <w:noProof/>
        </w:rPr>
        <w:t>règlement (CE) n° 715/2007 et la directive 2007/46/CE, et abrogeant les directives 80/1269/CEE, 2005/55/CE et 2005/78/CE (JO L 188 du 18.7.2009, p. 1), modifié en dernier lieu par le règlement (UE) n° 133/2014 de la Commission du 31 janvier 2014 (JO L 47 d</w:t>
      </w:r>
      <w:r>
        <w:rPr>
          <w:noProof/>
        </w:rPr>
        <w:t>u 18.2.2014, p. 1);</w:t>
      </w:r>
    </w:p>
    <w:p w:rsidR="00F275B3" w:rsidRDefault="00F275B3">
      <w:pPr>
        <w:spacing w:before="0" w:after="0"/>
        <w:ind w:left="720"/>
        <w:rPr>
          <w:rFonts w:eastAsia="Times New Roman"/>
          <w:noProof/>
          <w:color w:val="0F243E" w:themeColor="text2" w:themeShade="80"/>
          <w:szCs w:val="24"/>
        </w:rPr>
      </w:pPr>
    </w:p>
    <w:p w:rsidR="00F275B3" w:rsidRDefault="00362F0A">
      <w:pPr>
        <w:spacing w:before="0" w:after="0"/>
        <w:ind w:left="284"/>
        <w:rPr>
          <w:rFonts w:eastAsia="Times New Roman"/>
          <w:noProof/>
          <w:szCs w:val="24"/>
        </w:rPr>
      </w:pPr>
      <w:r>
        <w:rPr>
          <w:noProof/>
        </w:rPr>
        <w:t>Émissions sonores:</w:t>
      </w:r>
    </w:p>
    <w:p w:rsidR="00F275B3" w:rsidRDefault="00F275B3">
      <w:pPr>
        <w:spacing w:before="0" w:after="0"/>
        <w:ind w:left="284"/>
        <w:rPr>
          <w:rFonts w:eastAsia="Times New Roman"/>
          <w:noProof/>
          <w:szCs w:val="24"/>
          <w:u w:val="single"/>
        </w:rPr>
      </w:pPr>
    </w:p>
    <w:p w:rsidR="00F275B3" w:rsidRDefault="00362F0A">
      <w:pPr>
        <w:pStyle w:val="Tiret0"/>
        <w:spacing w:before="0" w:after="0"/>
        <w:rPr>
          <w:noProof/>
        </w:rPr>
      </w:pPr>
      <w:r>
        <w:rPr>
          <w:noProof/>
        </w:rPr>
        <w:t xml:space="preserve">Directive 70/157/CEE du Conseil du 6 février 1970 concernant le rapprochement des législations des États membres relatives au niveau sonore admissible et au dispositif d’échappement des véhicules à moteur (JO L 42 </w:t>
      </w:r>
      <w:r>
        <w:rPr>
          <w:noProof/>
        </w:rPr>
        <w:t xml:space="preserve">du 23.2.1970, p. 16), modifiée en dernier lieu par la directive 2013/15/UE du Conseil du 13 mai 2013 (JO L 158 du 10.6.2013, p. 172), qui est applicable jusqu'au 30 juin 2027 sous réserve de l'article 14 du règlement (UE) n° 540/2014 du Parlement européen </w:t>
      </w:r>
      <w:r>
        <w:rPr>
          <w:noProof/>
        </w:rPr>
        <w:t>et du Conseil du 16 avril 2014;</w:t>
      </w:r>
    </w:p>
    <w:p w:rsidR="00F275B3" w:rsidRDefault="00F275B3">
      <w:pPr>
        <w:pStyle w:val="Text1"/>
        <w:spacing w:before="0" w:after="0"/>
        <w:rPr>
          <w:noProof/>
        </w:rPr>
      </w:pPr>
    </w:p>
    <w:p w:rsidR="00F275B3" w:rsidRDefault="00362F0A">
      <w:pPr>
        <w:pStyle w:val="Tiret0"/>
        <w:spacing w:before="0" w:after="0"/>
        <w:rPr>
          <w:noProof/>
        </w:rPr>
      </w:pPr>
      <w:r>
        <w:rPr>
          <w:noProof/>
        </w:rPr>
        <w:t>Règlement (UE) n° 540/2014 du Parlement européen et du Conseil du 16 avril 2014 concernant le niveau sonore des véhicules à moteur et des systèmes de silencieux de remplacement, et modifiant la directive 2007/46/CE et abrog</w:t>
      </w:r>
      <w:r>
        <w:rPr>
          <w:noProof/>
        </w:rPr>
        <w:t>eant la directive 70/157/CEE (JO L 158 du 27.5.2014, p. 131), qui est applicable, en vertu de son article 15, à partir du 1</w:t>
      </w:r>
      <w:r>
        <w:rPr>
          <w:noProof/>
          <w:vertAlign w:val="superscript"/>
        </w:rPr>
        <w:t>er</w:t>
      </w:r>
      <w:r>
        <w:rPr>
          <w:noProof/>
        </w:rPr>
        <w:t> juillet 2016, du 1</w:t>
      </w:r>
      <w:r>
        <w:rPr>
          <w:noProof/>
          <w:vertAlign w:val="superscript"/>
        </w:rPr>
        <w:t>er</w:t>
      </w:r>
      <w:r>
        <w:rPr>
          <w:noProof/>
        </w:rPr>
        <w:t> juillet 2019 et du 1</w:t>
      </w:r>
      <w:r>
        <w:rPr>
          <w:noProof/>
          <w:vertAlign w:val="superscript"/>
        </w:rPr>
        <w:t>er</w:t>
      </w:r>
      <w:r>
        <w:rPr>
          <w:noProof/>
        </w:rPr>
        <w:t> juillet 2027;</w:t>
      </w:r>
    </w:p>
    <w:p w:rsidR="00F275B3" w:rsidRPr="00362F0A" w:rsidRDefault="00362F0A" w:rsidP="00362F0A">
      <w:pPr>
        <w:rPr>
          <w:noProof/>
        </w:rPr>
      </w:pPr>
      <w:r>
        <w:rPr>
          <w:noProof/>
        </w:rPr>
        <w:t xml:space="preserve">   </w:t>
      </w:r>
      <w:r>
        <w:rPr>
          <w:noProof/>
        </w:rPr>
        <w:t>Freinage:</w:t>
      </w:r>
    </w:p>
    <w:p w:rsidR="00F275B3" w:rsidRDefault="00F275B3">
      <w:pPr>
        <w:spacing w:before="0" w:after="0"/>
        <w:ind w:left="284"/>
        <w:rPr>
          <w:rFonts w:eastAsia="Times New Roman"/>
          <w:noProof/>
          <w:szCs w:val="24"/>
          <w:u w:val="single"/>
        </w:rPr>
      </w:pPr>
    </w:p>
    <w:p w:rsidR="00F275B3" w:rsidRDefault="00362F0A">
      <w:pPr>
        <w:pStyle w:val="Tiret0"/>
        <w:spacing w:before="0" w:after="0"/>
        <w:rPr>
          <w:noProof/>
        </w:rPr>
      </w:pPr>
      <w:r>
        <w:rPr>
          <w:noProof/>
        </w:rPr>
        <w:t>Règlement (CE) n° 661/2009 du Parlement européen et du Cons</w:t>
      </w:r>
      <w:r>
        <w:rPr>
          <w:noProof/>
        </w:rPr>
        <w:t xml:space="preserve">eil du 13 juillet 2009 concernant les prescriptions pour l’homologation relatives à la sécurité générale des véhicules à moteur, de leurs remorques et des systèmes, composants et entités techniques distinctes qui leur sont destinés (JO L 200 du 31.7.2009, </w:t>
      </w:r>
      <w:r>
        <w:rPr>
          <w:noProof/>
        </w:rPr>
        <w:t>p. 1), modifié en dernier lieu par le règlement (UE) 2015/166 du 3 février 2015 (JO L 28 du 4.2.2015, p. 3);</w:t>
      </w:r>
    </w:p>
    <w:p w:rsidR="00F275B3" w:rsidRDefault="00F275B3">
      <w:pPr>
        <w:pStyle w:val="Default"/>
        <w:ind w:left="130" w:firstLine="720"/>
        <w:rPr>
          <w:noProof/>
        </w:rPr>
      </w:pPr>
    </w:p>
    <w:p w:rsidR="00F275B3" w:rsidRDefault="00362F0A">
      <w:pPr>
        <w:spacing w:before="0" w:after="0"/>
        <w:ind w:left="360"/>
        <w:rPr>
          <w:rFonts w:eastAsia="Times New Roman"/>
          <w:noProof/>
          <w:szCs w:val="24"/>
        </w:rPr>
      </w:pPr>
      <w:r>
        <w:rPr>
          <w:noProof/>
        </w:rPr>
        <w:t>Pneumatiques:</w:t>
      </w:r>
    </w:p>
    <w:p w:rsidR="00F275B3" w:rsidRDefault="00F275B3">
      <w:pPr>
        <w:spacing w:before="0" w:after="0"/>
        <w:ind w:left="360"/>
        <w:rPr>
          <w:rFonts w:eastAsia="Times New Roman"/>
          <w:noProof/>
          <w:szCs w:val="24"/>
        </w:rPr>
      </w:pPr>
    </w:p>
    <w:p w:rsidR="00F275B3" w:rsidRDefault="00362F0A">
      <w:pPr>
        <w:pStyle w:val="Tiret0"/>
        <w:spacing w:before="0" w:after="0"/>
        <w:rPr>
          <w:noProof/>
        </w:rPr>
      </w:pPr>
      <w:r>
        <w:rPr>
          <w:noProof/>
        </w:rPr>
        <w:t xml:space="preserve">Règlement (CE) n° 661/2009 du Parlement européen et du Conseil du 13 juillet 2009 concernant les prescriptions pour l’homologation </w:t>
      </w:r>
      <w:r>
        <w:rPr>
          <w:noProof/>
        </w:rPr>
        <w:t>relatives à la sécurité générale des véhicules à moteur, de leurs remorques et des systèmes, composants et entités techniques distinctes qui leur sont destinés (JO L 200 du 31.7.2009, p. 1), modifié en dernier lieu par le règlement (UE) 2015/166 du 3 févri</w:t>
      </w:r>
      <w:r>
        <w:rPr>
          <w:noProof/>
        </w:rPr>
        <w:t>er 2015 (JO L 28 du 4.2.2015, p. 3);</w:t>
      </w:r>
    </w:p>
    <w:p w:rsidR="00F275B3" w:rsidRDefault="00F275B3">
      <w:pPr>
        <w:pStyle w:val="Default"/>
        <w:rPr>
          <w:noProof/>
        </w:rPr>
      </w:pPr>
    </w:p>
    <w:p w:rsidR="00F275B3" w:rsidRDefault="00362F0A">
      <w:pPr>
        <w:spacing w:before="0" w:after="0"/>
        <w:ind w:firstLine="360"/>
        <w:rPr>
          <w:rFonts w:eastAsia="Times New Roman"/>
          <w:noProof/>
          <w:szCs w:val="24"/>
        </w:rPr>
      </w:pPr>
      <w:r>
        <w:rPr>
          <w:noProof/>
        </w:rPr>
        <w:t xml:space="preserve">Dispositifs d’éclairage et signalisation lumineuse: </w:t>
      </w:r>
    </w:p>
    <w:p w:rsidR="00F275B3" w:rsidRDefault="00F275B3">
      <w:pPr>
        <w:spacing w:before="0" w:after="0"/>
        <w:ind w:firstLine="360"/>
        <w:rPr>
          <w:rFonts w:eastAsia="Times New Roman"/>
          <w:noProof/>
          <w:szCs w:val="24"/>
        </w:rPr>
      </w:pPr>
    </w:p>
    <w:p w:rsidR="00F275B3" w:rsidRDefault="00362F0A">
      <w:pPr>
        <w:pStyle w:val="Tiret0"/>
        <w:spacing w:before="0" w:after="0"/>
        <w:rPr>
          <w:noProof/>
        </w:rPr>
      </w:pPr>
      <w:r>
        <w:rPr>
          <w:noProof/>
        </w:rPr>
        <w:t xml:space="preserve">Règlement (CE) n° 661/2009 du Parlement européen et du Conseil du 13 juillet 2009 concernant les prescriptions pour l’homologation relatives à la sécurité générale </w:t>
      </w:r>
      <w:r>
        <w:rPr>
          <w:noProof/>
        </w:rPr>
        <w:t>des véhicules à moteur, de leurs remorques et des systèmes, composants et entités techniques distinctes qui leur sont destinés (JO L 200 du 31.7.2009, p. 1), modifié en dernier lieu par le règlement (UE) 2015/166 du 3 février 2015 (JO L 28 du 4.2.2015, p. </w:t>
      </w:r>
      <w:r>
        <w:rPr>
          <w:noProof/>
        </w:rPr>
        <w:t>3);</w:t>
      </w:r>
    </w:p>
    <w:p w:rsidR="00F275B3" w:rsidRDefault="00F275B3">
      <w:pPr>
        <w:spacing w:before="0" w:after="0"/>
        <w:rPr>
          <w:noProof/>
        </w:rPr>
      </w:pPr>
    </w:p>
    <w:p w:rsidR="00F275B3" w:rsidRDefault="00362F0A">
      <w:pPr>
        <w:spacing w:before="0" w:after="0"/>
        <w:ind w:firstLine="360"/>
        <w:rPr>
          <w:rFonts w:eastAsia="Times New Roman"/>
          <w:noProof/>
          <w:szCs w:val="24"/>
        </w:rPr>
      </w:pPr>
      <w:r>
        <w:rPr>
          <w:noProof/>
        </w:rPr>
        <w:t xml:space="preserve">Réservoir de carburant: </w:t>
      </w:r>
    </w:p>
    <w:p w:rsidR="00F275B3" w:rsidRDefault="00F275B3">
      <w:pPr>
        <w:spacing w:before="0" w:after="0"/>
        <w:ind w:firstLine="360"/>
        <w:rPr>
          <w:rFonts w:eastAsia="Times New Roman"/>
          <w:noProof/>
          <w:szCs w:val="24"/>
        </w:rPr>
      </w:pPr>
    </w:p>
    <w:p w:rsidR="00F275B3" w:rsidRDefault="00362F0A">
      <w:pPr>
        <w:pStyle w:val="Tiret0"/>
        <w:spacing w:before="0" w:after="0"/>
        <w:rPr>
          <w:noProof/>
        </w:rPr>
      </w:pPr>
      <w:r>
        <w:rPr>
          <w:noProof/>
        </w:rPr>
        <w:t>Règlement (CE) n° 661/2009 du Parlement européen et du Conseil du 13 juillet 2009 concernant les prescriptions pour l’homologation relatives à la sécurité générale des véhicules à moteur, de leurs remorques et des systèmes, c</w:t>
      </w:r>
      <w:r>
        <w:rPr>
          <w:noProof/>
        </w:rPr>
        <w:t>omposants et entités techniques distinctes qui leur sont destinés (JO L 200 du 31.7.2009, p. 1), modifié en dernier lieu par le règlement (UE) 2015/166 du 3 février 2015 (JO L 28 du 4.2.2015, p. 3);</w:t>
      </w:r>
    </w:p>
    <w:p w:rsidR="00F275B3" w:rsidRDefault="00F275B3">
      <w:pPr>
        <w:spacing w:before="0" w:after="0"/>
        <w:rPr>
          <w:rFonts w:eastAsia="Times New Roman"/>
          <w:noProof/>
          <w:szCs w:val="24"/>
        </w:rPr>
      </w:pPr>
    </w:p>
    <w:p w:rsidR="00F275B3" w:rsidRDefault="00362F0A">
      <w:pPr>
        <w:spacing w:before="0" w:after="0"/>
        <w:ind w:firstLine="360"/>
        <w:rPr>
          <w:rFonts w:eastAsia="Times New Roman"/>
          <w:noProof/>
          <w:szCs w:val="24"/>
        </w:rPr>
      </w:pPr>
      <w:r>
        <w:rPr>
          <w:noProof/>
        </w:rPr>
        <w:t xml:space="preserve">Rétroviseurs: </w:t>
      </w:r>
    </w:p>
    <w:p w:rsidR="00F275B3" w:rsidRDefault="00F275B3">
      <w:pPr>
        <w:spacing w:before="0" w:after="0"/>
        <w:ind w:firstLine="360"/>
        <w:rPr>
          <w:rFonts w:eastAsia="Times New Roman"/>
          <w:noProof/>
          <w:szCs w:val="24"/>
        </w:rPr>
      </w:pPr>
    </w:p>
    <w:p w:rsidR="00F275B3" w:rsidRDefault="00362F0A">
      <w:pPr>
        <w:pStyle w:val="Tiret0"/>
        <w:spacing w:before="0" w:after="0"/>
        <w:rPr>
          <w:noProof/>
        </w:rPr>
      </w:pPr>
      <w:r>
        <w:rPr>
          <w:noProof/>
        </w:rPr>
        <w:t xml:space="preserve">Règlement (CE) n° 661/2009 du Parlement </w:t>
      </w:r>
      <w:r>
        <w:rPr>
          <w:noProof/>
        </w:rPr>
        <w:t>européen et du Conseil du 13 juillet 2009 concernant les prescriptions pour l’homologation relatives à la sécurité générale des véhicules à moteur, de leurs remorques et des systèmes, composants et entités techniques distinctes qui leur sont destinés (JO L</w:t>
      </w:r>
      <w:r>
        <w:rPr>
          <w:noProof/>
        </w:rPr>
        <w:t> 200 du 31.7.2009, p. 1), modifié en dernier lieu par le règlement (UE) 2015/166 du 3 février 2015 (JO L 28 du 4.2.2015, p. 3);</w:t>
      </w:r>
    </w:p>
    <w:p w:rsidR="00F275B3" w:rsidRDefault="00F275B3">
      <w:pPr>
        <w:spacing w:before="0" w:after="0"/>
        <w:rPr>
          <w:rFonts w:eastAsia="Times New Roman"/>
          <w:noProof/>
          <w:szCs w:val="24"/>
        </w:rPr>
      </w:pPr>
    </w:p>
    <w:p w:rsidR="00F275B3" w:rsidRDefault="00362F0A">
      <w:pPr>
        <w:pStyle w:val="BodyTextIndent"/>
        <w:spacing w:before="0" w:after="0"/>
        <w:rPr>
          <w:rFonts w:eastAsia="Times New Roman"/>
          <w:noProof/>
          <w:szCs w:val="24"/>
        </w:rPr>
      </w:pPr>
      <w:r>
        <w:rPr>
          <w:noProof/>
        </w:rPr>
        <w:t xml:space="preserve">Ceintures de sécurité – Installation: </w:t>
      </w:r>
    </w:p>
    <w:p w:rsidR="00F275B3" w:rsidRDefault="00F275B3">
      <w:pPr>
        <w:pStyle w:val="BodyTextIndent"/>
        <w:spacing w:before="0" w:after="0"/>
        <w:rPr>
          <w:rFonts w:eastAsia="Times New Roman"/>
          <w:noProof/>
          <w:szCs w:val="24"/>
        </w:rPr>
      </w:pPr>
    </w:p>
    <w:p w:rsidR="00F275B3" w:rsidRDefault="00362F0A">
      <w:pPr>
        <w:pStyle w:val="Tiret0"/>
        <w:spacing w:before="0" w:after="0"/>
        <w:rPr>
          <w:noProof/>
        </w:rPr>
      </w:pPr>
      <w:r>
        <w:rPr>
          <w:noProof/>
        </w:rPr>
        <w:t>Règlement (CE) n° 661/2009 du Parlement européen et du Conseil du 13 juillet 2009 conce</w:t>
      </w:r>
      <w:r>
        <w:rPr>
          <w:noProof/>
        </w:rPr>
        <w:t>rnant les prescriptions pour l’homologation relatives à la sécurité générale des véhicules à moteur, de leurs remorques et des systèmes, composants et entités techniques distinctes qui leur sont destinés (JO L 200 du 31.7.2009, p. 1), modifié en dernier li</w:t>
      </w:r>
      <w:r>
        <w:rPr>
          <w:noProof/>
        </w:rPr>
        <w:t>eu par le règlement (UE) 2015/166 du 3 février 2015 (JO L 28 du 4.2.2015, p. 3);</w:t>
      </w:r>
    </w:p>
    <w:p w:rsidR="00F275B3" w:rsidRDefault="00F275B3" w:rsidP="00362F0A">
      <w:pPr>
        <w:pStyle w:val="BodyTextIndent"/>
        <w:spacing w:before="0" w:after="0"/>
        <w:rPr>
          <w:rFonts w:eastAsia="Times New Roman"/>
          <w:noProof/>
          <w:szCs w:val="24"/>
        </w:rPr>
      </w:pPr>
    </w:p>
    <w:p w:rsidR="00F275B3" w:rsidRDefault="00362F0A" w:rsidP="00362F0A">
      <w:pPr>
        <w:pStyle w:val="BodyTextIndent"/>
        <w:spacing w:before="0" w:after="0"/>
        <w:rPr>
          <w:rFonts w:eastAsia="Times New Roman"/>
          <w:noProof/>
          <w:szCs w:val="24"/>
        </w:rPr>
      </w:pPr>
      <w:r>
        <w:rPr>
          <w:noProof/>
        </w:rPr>
        <w:t xml:space="preserve"> </w:t>
      </w:r>
      <w:r>
        <w:rPr>
          <w:noProof/>
        </w:rPr>
        <w:t xml:space="preserve">Ceintures de sécurité – Ancrages pour ceintures: </w:t>
      </w:r>
    </w:p>
    <w:p w:rsidR="00F275B3" w:rsidRDefault="00F275B3">
      <w:pPr>
        <w:spacing w:before="0" w:after="0"/>
        <w:ind w:firstLine="360"/>
        <w:rPr>
          <w:rFonts w:eastAsia="Times New Roman"/>
          <w:noProof/>
          <w:szCs w:val="24"/>
        </w:rPr>
      </w:pPr>
    </w:p>
    <w:p w:rsidR="00F275B3" w:rsidRDefault="00362F0A">
      <w:pPr>
        <w:pStyle w:val="Tiret0"/>
        <w:spacing w:before="0" w:after="0"/>
        <w:rPr>
          <w:noProof/>
        </w:rPr>
      </w:pPr>
      <w:r>
        <w:rPr>
          <w:noProof/>
        </w:rPr>
        <w:t>Règlement (CE) n° 661/2009 du Parlement européen et du Conseil du 13 juillet 2009 concernant les prescriptions pour l’hom</w:t>
      </w:r>
      <w:r>
        <w:rPr>
          <w:noProof/>
        </w:rPr>
        <w:t xml:space="preserve">ologation relatives à la sécurité générale des véhicules à moteur, de leurs remorques et des systèmes, composants et entités techniques distinctes qui leur sont destinés (JO L 200 du 31.7.2009, p. 1), modifié en dernier lieu par le règlement (UE) 2015/166 </w:t>
      </w:r>
      <w:r>
        <w:rPr>
          <w:noProof/>
        </w:rPr>
        <w:t>du 3 février 2015 (JO L 28 du 4.2.2015, p. 3);</w:t>
      </w:r>
    </w:p>
    <w:p w:rsidR="00F275B3" w:rsidRDefault="00F275B3">
      <w:pPr>
        <w:pStyle w:val="Default"/>
        <w:rPr>
          <w:noProof/>
        </w:rPr>
      </w:pPr>
    </w:p>
    <w:p w:rsidR="00F275B3" w:rsidRDefault="00362F0A">
      <w:pPr>
        <w:spacing w:before="0" w:after="0"/>
        <w:ind w:firstLine="360"/>
        <w:rPr>
          <w:rFonts w:eastAsia="Times New Roman"/>
          <w:noProof/>
          <w:szCs w:val="24"/>
        </w:rPr>
      </w:pPr>
      <w:r>
        <w:rPr>
          <w:noProof/>
        </w:rPr>
        <w:t xml:space="preserve">Sièges: </w:t>
      </w:r>
    </w:p>
    <w:p w:rsidR="00F275B3" w:rsidRDefault="00F275B3">
      <w:pPr>
        <w:spacing w:before="0" w:after="0"/>
        <w:ind w:firstLine="360"/>
        <w:rPr>
          <w:rFonts w:eastAsia="Times New Roman"/>
          <w:noProof/>
          <w:szCs w:val="24"/>
        </w:rPr>
      </w:pPr>
    </w:p>
    <w:p w:rsidR="00F275B3" w:rsidRDefault="00362F0A">
      <w:pPr>
        <w:pStyle w:val="Tiret0"/>
        <w:spacing w:before="0" w:after="0"/>
        <w:rPr>
          <w:noProof/>
        </w:rPr>
      </w:pPr>
      <w:r>
        <w:rPr>
          <w:noProof/>
        </w:rPr>
        <w:t>Règlement (CE) n° 661/2009 du Parlement européen et du Conseil du 13 juillet 2009 concernant les prescriptions pour l’homologation relatives à la sécurité générale des véhicules à moteur, de leurs r</w:t>
      </w:r>
      <w:r>
        <w:rPr>
          <w:noProof/>
        </w:rPr>
        <w:t>emorques et des systèmes, composants et entités techniques distinctes qui leur sont destinés (JO L 200 du 31.7.2009, p. 1), modifié en dernier lieu par le règlement (UE) 2015/166 du 3 février 2015 (JO L 28 du 4.2.2015, p. 3);</w:t>
      </w:r>
    </w:p>
    <w:p w:rsidR="00F275B3" w:rsidRDefault="00F275B3">
      <w:pPr>
        <w:pStyle w:val="Default"/>
        <w:ind w:left="360"/>
        <w:rPr>
          <w:noProof/>
        </w:rPr>
      </w:pPr>
    </w:p>
    <w:p w:rsidR="00F275B3" w:rsidRDefault="00362F0A">
      <w:pPr>
        <w:spacing w:before="0" w:after="0"/>
        <w:ind w:firstLine="360"/>
        <w:rPr>
          <w:rFonts w:eastAsia="Times New Roman"/>
          <w:noProof/>
          <w:szCs w:val="24"/>
        </w:rPr>
      </w:pPr>
      <w:r>
        <w:rPr>
          <w:noProof/>
        </w:rPr>
        <w:t>Aménagement intérieur (préven</w:t>
      </w:r>
      <w:r>
        <w:rPr>
          <w:noProof/>
        </w:rPr>
        <w:t xml:space="preserve">tion des risques de propagation de l’incendie): </w:t>
      </w:r>
    </w:p>
    <w:p w:rsidR="00F275B3" w:rsidRDefault="00F275B3">
      <w:pPr>
        <w:spacing w:before="0" w:after="0"/>
        <w:ind w:firstLine="360"/>
        <w:rPr>
          <w:rFonts w:eastAsia="Times New Roman"/>
          <w:noProof/>
          <w:szCs w:val="24"/>
        </w:rPr>
      </w:pPr>
    </w:p>
    <w:p w:rsidR="00F275B3" w:rsidRDefault="00362F0A">
      <w:pPr>
        <w:pStyle w:val="Tiret0"/>
        <w:spacing w:before="0" w:after="0"/>
        <w:rPr>
          <w:noProof/>
        </w:rPr>
      </w:pPr>
      <w:r>
        <w:rPr>
          <w:noProof/>
        </w:rPr>
        <w:t>Règlement (CE) n° 661/2009 du Parlement européen et du Conseil du 13 juillet 2009 concernant les prescriptions pour l’homologation relatives à la sécurité générale des véhicules à moteur, de leurs remorques</w:t>
      </w:r>
      <w:r>
        <w:rPr>
          <w:noProof/>
        </w:rPr>
        <w:t xml:space="preserve"> et des systèmes, composants et entités techniques distinctes qui leur sont destinés (JO L 200 du 31.7.2009, p. 1), modifié en dernier lieu par le règlement (UE) 2015/166 du 3 février 2015 (JO L 28 du 4.2.2015, p. 3);</w:t>
      </w:r>
    </w:p>
    <w:p w:rsidR="00F275B3" w:rsidRDefault="00F275B3">
      <w:pPr>
        <w:spacing w:before="0" w:after="0"/>
        <w:rPr>
          <w:rFonts w:eastAsia="Times New Roman"/>
          <w:noProof/>
          <w:szCs w:val="24"/>
        </w:rPr>
      </w:pPr>
    </w:p>
    <w:p w:rsidR="00F275B3" w:rsidRDefault="00362F0A">
      <w:pPr>
        <w:spacing w:before="0" w:after="0"/>
        <w:ind w:left="360"/>
        <w:rPr>
          <w:noProof/>
        </w:rPr>
      </w:pPr>
      <w:r>
        <w:rPr>
          <w:noProof/>
        </w:rPr>
        <w:t>Aménagement intérieur (sorties de sec</w:t>
      </w:r>
      <w:r>
        <w:rPr>
          <w:noProof/>
        </w:rPr>
        <w:t>ours, accessibilité, dimensions des emplacements, résistance de la superstructure,</w:t>
      </w:r>
      <w:r>
        <w:rPr>
          <w:noProof/>
        </w:rPr>
        <w:br/>
        <w:t xml:space="preserve">etc.): </w:t>
      </w:r>
    </w:p>
    <w:p w:rsidR="00F275B3" w:rsidRDefault="00F275B3">
      <w:pPr>
        <w:pStyle w:val="BodyTextIndent"/>
        <w:spacing w:before="0" w:after="0"/>
        <w:rPr>
          <w:noProof/>
        </w:rPr>
      </w:pPr>
    </w:p>
    <w:p w:rsidR="00F275B3" w:rsidRDefault="00362F0A">
      <w:pPr>
        <w:pStyle w:val="Tiret0"/>
        <w:spacing w:before="0" w:after="0"/>
        <w:rPr>
          <w:noProof/>
        </w:rPr>
      </w:pPr>
      <w:r>
        <w:rPr>
          <w:noProof/>
        </w:rPr>
        <w:t xml:space="preserve">Règlement (CE) n° 661/2009 du Parlement européen et du Conseil du 13 juillet 2009 concernant les prescriptions pour l’homologation relatives à la sécurité générale </w:t>
      </w:r>
      <w:r>
        <w:rPr>
          <w:noProof/>
        </w:rPr>
        <w:t>des véhicules à moteur, de leurs remorques et des systèmes, composants et entités techniques distinctes qui leur sont destinés (JO L 200 du 31.7.2009, p. 1), modifié en dernier lieu par le règlement (UE) 2015/166 du 3 février 2015 (JO L 28 du 4.2.2015, p. </w:t>
      </w:r>
      <w:r>
        <w:rPr>
          <w:noProof/>
        </w:rPr>
        <w:t>3);</w:t>
      </w:r>
    </w:p>
    <w:p w:rsidR="00F275B3" w:rsidRDefault="00F275B3">
      <w:pPr>
        <w:spacing w:before="0" w:after="0"/>
        <w:rPr>
          <w:rFonts w:eastAsia="Times New Roman"/>
          <w:noProof/>
          <w:szCs w:val="24"/>
        </w:rPr>
      </w:pPr>
    </w:p>
    <w:p w:rsidR="00F275B3" w:rsidRDefault="00362F0A">
      <w:pPr>
        <w:spacing w:before="0" w:after="0"/>
        <w:ind w:firstLine="360"/>
        <w:rPr>
          <w:rFonts w:eastAsia="Times New Roman"/>
          <w:noProof/>
          <w:szCs w:val="24"/>
        </w:rPr>
      </w:pPr>
      <w:r>
        <w:rPr>
          <w:noProof/>
        </w:rPr>
        <w:t>Système avancé de freinage d’urgence:</w:t>
      </w:r>
    </w:p>
    <w:p w:rsidR="00F275B3" w:rsidRDefault="00F275B3">
      <w:pPr>
        <w:spacing w:before="0" w:after="0"/>
        <w:ind w:firstLine="360"/>
        <w:rPr>
          <w:rFonts w:eastAsia="Times New Roman"/>
          <w:noProof/>
          <w:szCs w:val="24"/>
        </w:rPr>
      </w:pPr>
    </w:p>
    <w:p w:rsidR="00F275B3" w:rsidRDefault="00362F0A">
      <w:pPr>
        <w:pStyle w:val="Tiret0"/>
        <w:spacing w:before="0" w:after="0"/>
        <w:rPr>
          <w:noProof/>
        </w:rPr>
      </w:pPr>
      <w:r>
        <w:rPr>
          <w:noProof/>
        </w:rPr>
        <w:t>Règlement (CE) n° 661/2009 du Parlement européen et du Conseil du 13 juillet 2009 concernant les prescriptions pour l’homologation relatives à la sécurité générale des véhicules à moteur, de leurs remorques et de</w:t>
      </w:r>
      <w:r>
        <w:rPr>
          <w:noProof/>
        </w:rPr>
        <w:t>s systèmes, composants et entités techniques distinctes qui leur sont destinés (JO L 200 du 31.7.2009, p. 1), modifié en dernier lieu par le règlement (UE) 2015/166 du 3 février 2015 (JO L 28 du 4.2.2015, p. 3);</w:t>
      </w:r>
    </w:p>
    <w:p w:rsidR="00F275B3" w:rsidRDefault="00F275B3">
      <w:pPr>
        <w:spacing w:before="0" w:after="0"/>
        <w:rPr>
          <w:rFonts w:eastAsia="Times New Roman"/>
          <w:noProof/>
          <w:szCs w:val="24"/>
        </w:rPr>
      </w:pPr>
    </w:p>
    <w:p w:rsidR="00F275B3" w:rsidRDefault="00362F0A">
      <w:pPr>
        <w:pStyle w:val="Tiret0"/>
        <w:spacing w:before="0" w:after="0"/>
        <w:rPr>
          <w:noProof/>
        </w:rPr>
      </w:pPr>
      <w:r>
        <w:rPr>
          <w:noProof/>
        </w:rPr>
        <w:t>Règlement (UE) n° 347/2012 de la Commission</w:t>
      </w:r>
      <w:r>
        <w:rPr>
          <w:noProof/>
        </w:rPr>
        <w:t xml:space="preserve"> du 16 avril 2012 portant application du règlement (CE) n° 661/2009 du Parlement européen et du Conseil en ce qui concerne les prescriptions pour la réception par type de certaines catégories de véhicules à moteur en matière de systèmes avancés de freinage</w:t>
      </w:r>
      <w:r>
        <w:rPr>
          <w:noProof/>
        </w:rPr>
        <w:t xml:space="preserve"> d’urgence (JO L 109 du 21.4.2012, p. 1), modifié en dernier lieu par le règlement (UE) 2015/562 de la Commission du 8 avril 2015 (JO L 93 du 9.4.2015, p. 35).</w:t>
      </w:r>
    </w:p>
    <w:p w:rsidR="00F275B3" w:rsidRDefault="00F275B3">
      <w:pPr>
        <w:spacing w:before="0" w:after="0"/>
        <w:rPr>
          <w:rFonts w:eastAsia="Times New Roman"/>
          <w:noProof/>
          <w:szCs w:val="24"/>
        </w:rPr>
      </w:pPr>
    </w:p>
    <w:p w:rsidR="00F275B3" w:rsidRPr="00362F0A" w:rsidRDefault="00362F0A" w:rsidP="00362F0A">
      <w:pPr>
        <w:spacing w:before="0" w:after="0"/>
        <w:ind w:firstLine="360"/>
        <w:rPr>
          <w:noProof/>
        </w:rPr>
      </w:pPr>
      <w:r>
        <w:rPr>
          <w:noProof/>
        </w:rPr>
        <w:t>Système d’avertissement de franchissement de la ligne:</w:t>
      </w:r>
    </w:p>
    <w:p w:rsidR="00F275B3" w:rsidRDefault="00F275B3">
      <w:pPr>
        <w:spacing w:before="0" w:after="0"/>
        <w:ind w:firstLine="360"/>
        <w:rPr>
          <w:rFonts w:eastAsia="Times New Roman"/>
          <w:noProof/>
          <w:szCs w:val="24"/>
        </w:rPr>
      </w:pPr>
    </w:p>
    <w:p w:rsidR="00F275B3" w:rsidRDefault="00362F0A">
      <w:pPr>
        <w:pStyle w:val="Tiret0"/>
        <w:spacing w:before="0" w:after="0"/>
        <w:rPr>
          <w:noProof/>
        </w:rPr>
      </w:pPr>
      <w:r>
        <w:rPr>
          <w:noProof/>
        </w:rPr>
        <w:t>Règlement (CE) n° 661/2009 du Parleme</w:t>
      </w:r>
      <w:r>
        <w:rPr>
          <w:noProof/>
        </w:rPr>
        <w:t>nt européen et du Conseil du 13 juillet 2009 concernant les prescriptions pour l’homologation relatives à la sécurité générale des véhicules à moteur, de leurs remorques et des systèmes, composants et entités techniques distinctes qui leur sont destinés (J</w:t>
      </w:r>
      <w:r>
        <w:rPr>
          <w:noProof/>
        </w:rPr>
        <w:t>O L 200 du 31.7.2009, p. 1), modifié en dernier lieu par le règlement (UE) 2015/166 du 3 février 2015 (JO L 28 du 4.2.2015, p. 3);</w:t>
      </w:r>
    </w:p>
    <w:p w:rsidR="00F275B3" w:rsidRDefault="00F275B3">
      <w:pPr>
        <w:spacing w:before="0" w:after="0"/>
        <w:rPr>
          <w:rFonts w:eastAsia="Times New Roman"/>
          <w:noProof/>
          <w:szCs w:val="24"/>
        </w:rPr>
      </w:pPr>
    </w:p>
    <w:p w:rsidR="00F275B3" w:rsidRDefault="00362F0A">
      <w:pPr>
        <w:pStyle w:val="Tiret0"/>
        <w:spacing w:before="0" w:after="0"/>
        <w:rPr>
          <w:noProof/>
        </w:rPr>
      </w:pPr>
      <w:r>
        <w:rPr>
          <w:noProof/>
        </w:rPr>
        <w:t>Règlement (UE) n° 351/2012 de la Commission du 23 avril 2012 mettant en œuvre le règlement (CE) n° 661/2009 du Parlement eur</w:t>
      </w:r>
      <w:r>
        <w:rPr>
          <w:noProof/>
        </w:rPr>
        <w:t>opéen et du Conseil en ce qui concerne les prescriptions pour la réception par type relatives au montage de systèmes d’avertissement de franchissement de ligne sur les véhicules à moteur (JO L 110 du 24.4.2012, p. 18).»;</w:t>
      </w:r>
    </w:p>
    <w:p w:rsidR="00F275B3" w:rsidRDefault="00F275B3" w:rsidP="00362F0A">
      <w:pPr>
        <w:spacing w:before="0" w:after="200" w:line="276" w:lineRule="auto"/>
        <w:jc w:val="left"/>
        <w:rPr>
          <w:rFonts w:eastAsia="Times New Roman"/>
          <w:noProof/>
          <w:szCs w:val="24"/>
        </w:rPr>
      </w:pPr>
    </w:p>
    <w:p w:rsidR="00362F0A" w:rsidRDefault="00362F0A">
      <w:pPr>
        <w:spacing w:before="0" w:after="200" w:line="276" w:lineRule="auto"/>
        <w:jc w:val="left"/>
        <w:rPr>
          <w:rFonts w:eastAsia="Times New Roman"/>
          <w:noProof/>
          <w:szCs w:val="24"/>
        </w:rPr>
      </w:pPr>
      <w:r>
        <w:rPr>
          <w:rFonts w:eastAsia="Times New Roman"/>
          <w:noProof/>
          <w:szCs w:val="24"/>
        </w:rPr>
        <w:br w:type="page"/>
      </w:r>
    </w:p>
    <w:p w:rsidR="00362F0A" w:rsidRDefault="00362F0A" w:rsidP="00362F0A">
      <w:pPr>
        <w:spacing w:before="0" w:after="200" w:line="276" w:lineRule="auto"/>
        <w:jc w:val="left"/>
        <w:rPr>
          <w:rFonts w:eastAsia="Times New Roman"/>
          <w:noProof/>
          <w:szCs w:val="24"/>
        </w:rPr>
      </w:pPr>
      <w:bookmarkStart w:id="0" w:name="_GoBack"/>
      <w:bookmarkEnd w:id="0"/>
    </w:p>
    <w:p w:rsidR="00F275B3" w:rsidRDefault="00362F0A">
      <w:pPr>
        <w:pStyle w:val="Default"/>
        <w:jc w:val="both"/>
        <w:rPr>
          <w:noProof/>
        </w:rPr>
      </w:pPr>
      <w:r>
        <w:rPr>
          <w:noProof/>
          <w:u w:val="single"/>
        </w:rPr>
        <w:t>ii) le tableau est remplacé par le</w:t>
      </w:r>
      <w:r>
        <w:rPr>
          <w:noProof/>
          <w:u w:val="single"/>
        </w:rPr>
        <w:t xml:space="preserve"> tableau suivant:</w:t>
      </w:r>
    </w:p>
    <w:p w:rsidR="00F275B3" w:rsidRDefault="00F275B3">
      <w:pPr>
        <w:pStyle w:val="Default"/>
        <w:jc w:val="both"/>
        <w:rPr>
          <w:noProof/>
        </w:rPr>
      </w:pPr>
    </w:p>
    <w:tbl>
      <w:tblPr>
        <w:tblStyle w:val="TableGrid"/>
        <w:tblW w:w="0" w:type="auto"/>
        <w:tblLook w:val="04A0" w:firstRow="1" w:lastRow="0" w:firstColumn="1" w:lastColumn="0" w:noHBand="0" w:noVBand="1"/>
      </w:tblPr>
      <w:tblGrid>
        <w:gridCol w:w="3227"/>
        <w:gridCol w:w="2693"/>
        <w:gridCol w:w="2693"/>
      </w:tblGrid>
      <w:tr w:rsidR="00F275B3">
        <w:tc>
          <w:tcPr>
            <w:tcW w:w="3227" w:type="dxa"/>
          </w:tcPr>
          <w:p w:rsidR="00F275B3" w:rsidRDefault="00362F0A">
            <w:pPr>
              <w:spacing w:before="0" w:after="0"/>
              <w:rPr>
                <w:rFonts w:eastAsia="Times New Roman"/>
                <w:b/>
                <w:noProof/>
                <w:sz w:val="20"/>
                <w:szCs w:val="20"/>
              </w:rPr>
            </w:pPr>
            <w:r>
              <w:rPr>
                <w:noProof/>
                <w:sz w:val="20"/>
              </w:rPr>
              <w:t>«Rubrique</w:t>
            </w:r>
          </w:p>
        </w:tc>
        <w:tc>
          <w:tcPr>
            <w:tcW w:w="2693" w:type="dxa"/>
          </w:tcPr>
          <w:p w:rsidR="00F275B3" w:rsidRDefault="00362F0A">
            <w:pPr>
              <w:spacing w:before="0" w:after="0"/>
              <w:rPr>
                <w:rFonts w:eastAsia="Times New Roman"/>
                <w:b/>
                <w:noProof/>
                <w:sz w:val="20"/>
                <w:szCs w:val="20"/>
              </w:rPr>
            </w:pPr>
            <w:r>
              <w:rPr>
                <w:b/>
                <w:noProof/>
                <w:sz w:val="20"/>
              </w:rPr>
              <w:t>Règlement de la CEE-ONU</w:t>
            </w:r>
          </w:p>
          <w:p w:rsidR="00F275B3" w:rsidRDefault="00362F0A">
            <w:pPr>
              <w:pStyle w:val="Default"/>
              <w:rPr>
                <w:rFonts w:eastAsia="Times New Roman" w:cs="Times New Roman"/>
                <w:noProof/>
                <w:sz w:val="20"/>
                <w:szCs w:val="20"/>
              </w:rPr>
            </w:pPr>
            <w:r>
              <w:rPr>
                <w:noProof/>
                <w:sz w:val="20"/>
              </w:rPr>
              <w:t>(dans sa dernière version en vigueur)</w:t>
            </w:r>
          </w:p>
          <w:p w:rsidR="00F275B3" w:rsidRDefault="00F275B3">
            <w:pPr>
              <w:spacing w:before="0" w:after="0"/>
              <w:rPr>
                <w:rFonts w:eastAsia="Times New Roman"/>
                <w:b/>
                <w:noProof/>
                <w:sz w:val="20"/>
                <w:szCs w:val="20"/>
              </w:rPr>
            </w:pPr>
          </w:p>
        </w:tc>
        <w:tc>
          <w:tcPr>
            <w:tcW w:w="2693" w:type="dxa"/>
          </w:tcPr>
          <w:p w:rsidR="00F275B3" w:rsidRDefault="00362F0A">
            <w:pPr>
              <w:spacing w:before="0" w:after="0"/>
              <w:jc w:val="left"/>
              <w:rPr>
                <w:rFonts w:eastAsia="Times New Roman"/>
                <w:b/>
                <w:noProof/>
                <w:sz w:val="20"/>
                <w:szCs w:val="20"/>
              </w:rPr>
            </w:pPr>
            <w:r>
              <w:rPr>
                <w:b/>
                <w:noProof/>
                <w:sz w:val="20"/>
              </w:rPr>
              <w:t>Acte de l’Union</w:t>
            </w:r>
            <w:r>
              <w:rPr>
                <w:rFonts w:eastAsia="Times New Roman"/>
                <w:b/>
                <w:noProof/>
                <w:sz w:val="20"/>
                <w:szCs w:val="20"/>
              </w:rPr>
              <w:br/>
            </w:r>
          </w:p>
        </w:tc>
      </w:tr>
      <w:tr w:rsidR="00F275B3">
        <w:tc>
          <w:tcPr>
            <w:tcW w:w="3227" w:type="dxa"/>
          </w:tcPr>
          <w:p w:rsidR="00F275B3" w:rsidRDefault="00362F0A">
            <w:pPr>
              <w:spacing w:before="0" w:after="0"/>
              <w:rPr>
                <w:rFonts w:eastAsia="Times New Roman"/>
                <w:noProof/>
                <w:sz w:val="20"/>
                <w:szCs w:val="20"/>
              </w:rPr>
            </w:pPr>
            <w:r>
              <w:rPr>
                <w:noProof/>
                <w:sz w:val="20"/>
              </w:rPr>
              <w:t>Émissions à l’échappement</w:t>
            </w:r>
          </w:p>
        </w:tc>
        <w:tc>
          <w:tcPr>
            <w:tcW w:w="2693" w:type="dxa"/>
          </w:tcPr>
          <w:p w:rsidR="00F275B3" w:rsidRDefault="00362F0A">
            <w:pPr>
              <w:spacing w:before="0" w:after="0"/>
              <w:rPr>
                <w:rFonts w:eastAsia="Times New Roman"/>
                <w:noProof/>
                <w:sz w:val="20"/>
                <w:szCs w:val="20"/>
              </w:rPr>
            </w:pPr>
            <w:r>
              <w:rPr>
                <w:noProof/>
                <w:sz w:val="20"/>
              </w:rPr>
              <w:t>49</w:t>
            </w:r>
          </w:p>
          <w:p w:rsidR="00F275B3" w:rsidRDefault="00F275B3">
            <w:pPr>
              <w:spacing w:before="0" w:after="0"/>
              <w:rPr>
                <w:rFonts w:eastAsia="Times New Roman"/>
                <w:noProof/>
                <w:sz w:val="20"/>
                <w:szCs w:val="20"/>
              </w:rPr>
            </w:pPr>
          </w:p>
        </w:tc>
        <w:tc>
          <w:tcPr>
            <w:tcW w:w="2693" w:type="dxa"/>
          </w:tcPr>
          <w:p w:rsidR="00F275B3" w:rsidRDefault="00362F0A">
            <w:pPr>
              <w:spacing w:before="0" w:after="0"/>
              <w:rPr>
                <w:rFonts w:eastAsia="Times New Roman"/>
                <w:noProof/>
                <w:sz w:val="20"/>
                <w:szCs w:val="20"/>
              </w:rPr>
            </w:pPr>
            <w:r>
              <w:rPr>
                <w:noProof/>
                <w:sz w:val="20"/>
              </w:rPr>
              <w:t>Règlement (CE) n° 715/2007, modifié en dernier lieu par le règlement (UE) n° 459/2012.</w:t>
            </w:r>
          </w:p>
          <w:p w:rsidR="00F275B3" w:rsidRDefault="00F275B3">
            <w:pPr>
              <w:spacing w:before="0" w:after="0"/>
              <w:rPr>
                <w:rFonts w:eastAsia="Times New Roman"/>
                <w:noProof/>
                <w:sz w:val="20"/>
                <w:szCs w:val="20"/>
              </w:rPr>
            </w:pPr>
          </w:p>
          <w:p w:rsidR="00F275B3" w:rsidRDefault="00362F0A">
            <w:pPr>
              <w:spacing w:before="0" w:after="0"/>
              <w:rPr>
                <w:rFonts w:eastAsia="Times New Roman"/>
                <w:noProof/>
                <w:sz w:val="20"/>
                <w:szCs w:val="20"/>
              </w:rPr>
            </w:pPr>
            <w:r>
              <w:rPr>
                <w:noProof/>
                <w:sz w:val="20"/>
              </w:rPr>
              <w:t xml:space="preserve">Règlement (CE) n° 595/2009, </w:t>
            </w:r>
            <w:r>
              <w:rPr>
                <w:noProof/>
                <w:sz w:val="20"/>
              </w:rPr>
              <w:t>modifié en dernier lieu par le règlement (UE) n° 133/2014.</w:t>
            </w:r>
          </w:p>
          <w:p w:rsidR="00F275B3" w:rsidRDefault="00F275B3">
            <w:pPr>
              <w:spacing w:before="0" w:after="0"/>
              <w:rPr>
                <w:rFonts w:eastAsia="Times New Roman"/>
                <w:noProof/>
                <w:sz w:val="20"/>
                <w:szCs w:val="20"/>
              </w:rPr>
            </w:pPr>
          </w:p>
        </w:tc>
      </w:tr>
      <w:tr w:rsidR="00F275B3">
        <w:tc>
          <w:tcPr>
            <w:tcW w:w="3227" w:type="dxa"/>
          </w:tcPr>
          <w:p w:rsidR="00F275B3" w:rsidRDefault="00362F0A">
            <w:pPr>
              <w:spacing w:before="0" w:after="0"/>
              <w:rPr>
                <w:rFonts w:eastAsia="Times New Roman"/>
                <w:noProof/>
                <w:sz w:val="20"/>
                <w:szCs w:val="20"/>
              </w:rPr>
            </w:pPr>
            <w:r>
              <w:rPr>
                <w:noProof/>
                <w:sz w:val="20"/>
              </w:rPr>
              <w:t>Émissions sonores</w:t>
            </w:r>
          </w:p>
        </w:tc>
        <w:tc>
          <w:tcPr>
            <w:tcW w:w="2693" w:type="dxa"/>
          </w:tcPr>
          <w:p w:rsidR="00F275B3" w:rsidRDefault="00362F0A">
            <w:pPr>
              <w:spacing w:before="0" w:after="0"/>
              <w:rPr>
                <w:rFonts w:eastAsia="Times New Roman"/>
                <w:noProof/>
                <w:sz w:val="20"/>
                <w:szCs w:val="20"/>
              </w:rPr>
            </w:pPr>
            <w:r>
              <w:rPr>
                <w:noProof/>
                <w:sz w:val="20"/>
              </w:rPr>
              <w:t>51</w:t>
            </w:r>
          </w:p>
          <w:p w:rsidR="00F275B3" w:rsidRDefault="00F275B3">
            <w:pPr>
              <w:spacing w:before="0" w:after="0"/>
              <w:rPr>
                <w:rFonts w:eastAsia="Times New Roman"/>
                <w:noProof/>
                <w:sz w:val="20"/>
                <w:szCs w:val="20"/>
              </w:rPr>
            </w:pPr>
          </w:p>
        </w:tc>
        <w:tc>
          <w:tcPr>
            <w:tcW w:w="2693" w:type="dxa"/>
          </w:tcPr>
          <w:p w:rsidR="00F275B3" w:rsidRDefault="00362F0A">
            <w:pPr>
              <w:spacing w:before="0" w:after="0"/>
              <w:rPr>
                <w:rFonts w:eastAsia="Times New Roman"/>
                <w:noProof/>
                <w:sz w:val="20"/>
                <w:szCs w:val="20"/>
              </w:rPr>
            </w:pPr>
            <w:r>
              <w:rPr>
                <w:noProof/>
                <w:sz w:val="20"/>
              </w:rPr>
              <w:t>Directive 70/157/CEE, modifiée en dernier lieu par la directive 2013/15/UE du Conseil, qui est applicable jusqu’au 30 juin 2027, sous réserve de l’article 14 du règlement (U</w:t>
            </w:r>
            <w:r>
              <w:rPr>
                <w:noProof/>
                <w:sz w:val="20"/>
              </w:rPr>
              <w:t>E) n° 540/2014;</w:t>
            </w:r>
          </w:p>
          <w:p w:rsidR="00F275B3" w:rsidRDefault="00F275B3">
            <w:pPr>
              <w:spacing w:before="0" w:after="0"/>
              <w:rPr>
                <w:rFonts w:eastAsia="Times New Roman"/>
                <w:noProof/>
                <w:sz w:val="20"/>
                <w:szCs w:val="20"/>
              </w:rPr>
            </w:pPr>
          </w:p>
          <w:p w:rsidR="00F275B3" w:rsidRDefault="00362F0A">
            <w:pPr>
              <w:spacing w:before="0" w:after="0"/>
              <w:rPr>
                <w:rFonts w:eastAsia="Times New Roman"/>
                <w:noProof/>
                <w:sz w:val="20"/>
                <w:szCs w:val="20"/>
              </w:rPr>
            </w:pPr>
            <w:r>
              <w:rPr>
                <w:noProof/>
                <w:sz w:val="20"/>
              </w:rPr>
              <w:t>Règlement (UE) n° 540/2014, qui est applicable, en vertu de son article 15, à partir du 1</w:t>
            </w:r>
            <w:r>
              <w:rPr>
                <w:noProof/>
                <w:sz w:val="20"/>
                <w:vertAlign w:val="superscript"/>
              </w:rPr>
              <w:t>er</w:t>
            </w:r>
            <w:r>
              <w:rPr>
                <w:noProof/>
                <w:sz w:val="20"/>
              </w:rPr>
              <w:t> juillet 2016, du 1</w:t>
            </w:r>
            <w:r>
              <w:rPr>
                <w:noProof/>
                <w:sz w:val="20"/>
                <w:vertAlign w:val="superscript"/>
              </w:rPr>
              <w:t>er</w:t>
            </w:r>
            <w:r>
              <w:rPr>
                <w:noProof/>
                <w:sz w:val="20"/>
              </w:rPr>
              <w:t> juillet 2019 et du 1</w:t>
            </w:r>
            <w:r>
              <w:rPr>
                <w:noProof/>
                <w:sz w:val="20"/>
                <w:vertAlign w:val="superscript"/>
              </w:rPr>
              <w:t>er</w:t>
            </w:r>
            <w:r>
              <w:rPr>
                <w:noProof/>
                <w:sz w:val="20"/>
              </w:rPr>
              <w:t> juillet 2027.</w:t>
            </w:r>
          </w:p>
          <w:p w:rsidR="00F275B3" w:rsidRDefault="00F275B3">
            <w:pPr>
              <w:spacing w:before="0" w:after="0"/>
              <w:rPr>
                <w:rFonts w:eastAsia="Times New Roman"/>
                <w:noProof/>
                <w:sz w:val="20"/>
                <w:szCs w:val="20"/>
              </w:rPr>
            </w:pPr>
          </w:p>
        </w:tc>
      </w:tr>
      <w:tr w:rsidR="00F275B3">
        <w:tc>
          <w:tcPr>
            <w:tcW w:w="3227" w:type="dxa"/>
          </w:tcPr>
          <w:p w:rsidR="00F275B3" w:rsidRDefault="00362F0A">
            <w:pPr>
              <w:spacing w:before="0" w:after="0"/>
              <w:rPr>
                <w:rFonts w:eastAsia="Times New Roman"/>
                <w:noProof/>
                <w:sz w:val="20"/>
                <w:szCs w:val="20"/>
              </w:rPr>
            </w:pPr>
            <w:r>
              <w:rPr>
                <w:noProof/>
                <w:sz w:val="20"/>
              </w:rPr>
              <w:t>Dispositifs de freinage</w:t>
            </w:r>
          </w:p>
        </w:tc>
        <w:tc>
          <w:tcPr>
            <w:tcW w:w="2693" w:type="dxa"/>
          </w:tcPr>
          <w:p w:rsidR="00F275B3" w:rsidRDefault="00362F0A">
            <w:pPr>
              <w:spacing w:before="0" w:after="0"/>
              <w:rPr>
                <w:noProof/>
                <w:color w:val="000000"/>
                <w:sz w:val="20"/>
                <w:szCs w:val="20"/>
              </w:rPr>
            </w:pPr>
            <w:r>
              <w:rPr>
                <w:noProof/>
                <w:color w:val="000000"/>
                <w:sz w:val="20"/>
              </w:rPr>
              <w:t>13</w:t>
            </w:r>
          </w:p>
          <w:p w:rsidR="00F275B3" w:rsidRDefault="00F275B3">
            <w:pPr>
              <w:spacing w:before="0" w:after="0"/>
              <w:rPr>
                <w:rFonts w:eastAsia="Times New Roman"/>
                <w:noProof/>
                <w:sz w:val="20"/>
                <w:szCs w:val="20"/>
              </w:rPr>
            </w:pPr>
          </w:p>
        </w:tc>
        <w:tc>
          <w:tcPr>
            <w:tcW w:w="2693" w:type="dxa"/>
          </w:tcPr>
          <w:p w:rsidR="00F275B3" w:rsidRDefault="00362F0A">
            <w:pPr>
              <w:spacing w:before="0" w:after="0"/>
              <w:rPr>
                <w:rFonts w:eastAsia="Times New Roman"/>
                <w:noProof/>
                <w:sz w:val="20"/>
                <w:szCs w:val="20"/>
              </w:rPr>
            </w:pPr>
            <w:r>
              <w:rPr>
                <w:noProof/>
                <w:sz w:val="20"/>
              </w:rPr>
              <w:t xml:space="preserve">Règlement (CE) n° 661/2009, modifié en dernier lieu par le </w:t>
            </w:r>
            <w:r>
              <w:rPr>
                <w:noProof/>
                <w:sz w:val="20"/>
              </w:rPr>
              <w:t>règlement (UE) 2015/166.</w:t>
            </w:r>
          </w:p>
          <w:p w:rsidR="00F275B3" w:rsidRDefault="00F275B3">
            <w:pPr>
              <w:spacing w:before="0" w:after="0"/>
              <w:rPr>
                <w:rFonts w:eastAsia="Times New Roman"/>
                <w:noProof/>
                <w:sz w:val="20"/>
                <w:szCs w:val="20"/>
              </w:rPr>
            </w:pPr>
          </w:p>
        </w:tc>
      </w:tr>
      <w:tr w:rsidR="00F275B3">
        <w:tc>
          <w:tcPr>
            <w:tcW w:w="3227" w:type="dxa"/>
          </w:tcPr>
          <w:p w:rsidR="00F275B3" w:rsidRDefault="00362F0A">
            <w:pPr>
              <w:spacing w:before="0" w:after="0"/>
              <w:rPr>
                <w:rFonts w:eastAsia="Times New Roman"/>
                <w:noProof/>
                <w:sz w:val="20"/>
                <w:szCs w:val="20"/>
              </w:rPr>
            </w:pPr>
            <w:r>
              <w:rPr>
                <w:noProof/>
                <w:sz w:val="20"/>
              </w:rPr>
              <w:t>Pneumatiques</w:t>
            </w:r>
          </w:p>
        </w:tc>
        <w:tc>
          <w:tcPr>
            <w:tcW w:w="2693" w:type="dxa"/>
          </w:tcPr>
          <w:p w:rsidR="00F275B3" w:rsidRDefault="00362F0A">
            <w:pPr>
              <w:spacing w:before="0" w:after="0"/>
              <w:rPr>
                <w:rFonts w:eastAsia="Times New Roman"/>
                <w:noProof/>
                <w:sz w:val="20"/>
                <w:szCs w:val="20"/>
              </w:rPr>
            </w:pPr>
            <w:r>
              <w:rPr>
                <w:noProof/>
                <w:sz w:val="20"/>
              </w:rPr>
              <w:t>54</w:t>
            </w:r>
          </w:p>
          <w:p w:rsidR="00F275B3" w:rsidRDefault="00362F0A">
            <w:pPr>
              <w:spacing w:before="0" w:after="0"/>
              <w:rPr>
                <w:rFonts w:eastAsia="Times New Roman"/>
                <w:noProof/>
                <w:sz w:val="20"/>
                <w:szCs w:val="20"/>
              </w:rPr>
            </w:pPr>
            <w:r>
              <w:rPr>
                <w:noProof/>
                <w:sz w:val="20"/>
              </w:rPr>
              <w:t>117</w:t>
            </w:r>
          </w:p>
          <w:p w:rsidR="00F275B3" w:rsidRDefault="00F275B3">
            <w:pPr>
              <w:spacing w:before="0" w:after="0"/>
              <w:rPr>
                <w:rFonts w:eastAsia="Times New Roman"/>
                <w:noProof/>
                <w:sz w:val="20"/>
                <w:szCs w:val="20"/>
              </w:rPr>
            </w:pPr>
          </w:p>
        </w:tc>
        <w:tc>
          <w:tcPr>
            <w:tcW w:w="2693" w:type="dxa"/>
          </w:tcPr>
          <w:p w:rsidR="00F275B3" w:rsidRDefault="00362F0A">
            <w:pPr>
              <w:spacing w:before="0" w:after="0"/>
              <w:rPr>
                <w:rFonts w:eastAsia="Times New Roman"/>
                <w:noProof/>
                <w:sz w:val="20"/>
                <w:szCs w:val="20"/>
              </w:rPr>
            </w:pPr>
            <w:r>
              <w:rPr>
                <w:noProof/>
                <w:sz w:val="20"/>
              </w:rPr>
              <w:t>Règlement (CE) n° 661/2009, modifié en dernier lieu par le règlement (UE) 2015/166.</w:t>
            </w:r>
          </w:p>
          <w:p w:rsidR="00F275B3" w:rsidRDefault="00F275B3">
            <w:pPr>
              <w:spacing w:before="0" w:after="0"/>
              <w:rPr>
                <w:rFonts w:eastAsia="Times New Roman"/>
                <w:noProof/>
                <w:sz w:val="20"/>
                <w:szCs w:val="20"/>
              </w:rPr>
            </w:pPr>
          </w:p>
        </w:tc>
      </w:tr>
      <w:tr w:rsidR="00F275B3">
        <w:tc>
          <w:tcPr>
            <w:tcW w:w="3227" w:type="dxa"/>
          </w:tcPr>
          <w:p w:rsidR="00F275B3" w:rsidRDefault="00362F0A">
            <w:pPr>
              <w:spacing w:before="0" w:after="0"/>
              <w:rPr>
                <w:rFonts w:eastAsia="Times New Roman"/>
                <w:noProof/>
                <w:sz w:val="20"/>
                <w:szCs w:val="20"/>
              </w:rPr>
            </w:pPr>
            <w:r>
              <w:rPr>
                <w:noProof/>
                <w:sz w:val="20"/>
              </w:rPr>
              <w:t>Dispositifs d’éclairage et de signalisation lumineuse</w:t>
            </w:r>
          </w:p>
        </w:tc>
        <w:tc>
          <w:tcPr>
            <w:tcW w:w="2693" w:type="dxa"/>
          </w:tcPr>
          <w:p w:rsidR="00F275B3" w:rsidRDefault="00362F0A">
            <w:pPr>
              <w:spacing w:before="0" w:after="0"/>
              <w:rPr>
                <w:rFonts w:eastAsia="Times New Roman"/>
                <w:noProof/>
                <w:sz w:val="20"/>
                <w:szCs w:val="20"/>
              </w:rPr>
            </w:pPr>
            <w:r>
              <w:rPr>
                <w:noProof/>
                <w:sz w:val="20"/>
              </w:rPr>
              <w:t>48</w:t>
            </w:r>
          </w:p>
        </w:tc>
        <w:tc>
          <w:tcPr>
            <w:tcW w:w="2693" w:type="dxa"/>
          </w:tcPr>
          <w:p w:rsidR="00F275B3" w:rsidRDefault="00362F0A">
            <w:pPr>
              <w:spacing w:before="0" w:after="0"/>
              <w:rPr>
                <w:rFonts w:eastAsia="Times New Roman"/>
                <w:noProof/>
                <w:sz w:val="20"/>
                <w:szCs w:val="20"/>
              </w:rPr>
            </w:pPr>
            <w:r>
              <w:rPr>
                <w:noProof/>
                <w:sz w:val="20"/>
              </w:rPr>
              <w:t>Règlement (CE) n° 661/2009, modifié en dernier lieu par le règlem</w:t>
            </w:r>
            <w:r>
              <w:rPr>
                <w:noProof/>
                <w:sz w:val="20"/>
              </w:rPr>
              <w:t>ent (UE) 2015/166.</w:t>
            </w:r>
          </w:p>
          <w:p w:rsidR="00F275B3" w:rsidRDefault="00F275B3">
            <w:pPr>
              <w:spacing w:before="0" w:after="0"/>
              <w:rPr>
                <w:rFonts w:eastAsia="Times New Roman"/>
                <w:noProof/>
                <w:sz w:val="20"/>
                <w:szCs w:val="20"/>
              </w:rPr>
            </w:pPr>
          </w:p>
        </w:tc>
      </w:tr>
    </w:tbl>
    <w:p w:rsidR="00F275B3" w:rsidRDefault="00362F0A">
      <w:pPr>
        <w:rPr>
          <w:noProof/>
        </w:rPr>
      </w:pPr>
      <w:r>
        <w:rPr>
          <w:noProof/>
        </w:rPr>
        <w:br w:type="page"/>
      </w:r>
    </w:p>
    <w:tbl>
      <w:tblPr>
        <w:tblStyle w:val="TableGrid"/>
        <w:tblW w:w="0" w:type="auto"/>
        <w:tblLook w:val="04A0" w:firstRow="1" w:lastRow="0" w:firstColumn="1" w:lastColumn="0" w:noHBand="0" w:noVBand="1"/>
      </w:tblPr>
      <w:tblGrid>
        <w:gridCol w:w="3227"/>
        <w:gridCol w:w="2693"/>
        <w:gridCol w:w="2693"/>
      </w:tblGrid>
      <w:tr w:rsidR="00F275B3">
        <w:tc>
          <w:tcPr>
            <w:tcW w:w="3227" w:type="dxa"/>
          </w:tcPr>
          <w:p w:rsidR="00F275B3" w:rsidRDefault="00362F0A">
            <w:pPr>
              <w:spacing w:before="0" w:after="0"/>
              <w:rPr>
                <w:rFonts w:eastAsia="Times New Roman"/>
                <w:noProof/>
                <w:sz w:val="20"/>
                <w:szCs w:val="20"/>
              </w:rPr>
            </w:pPr>
            <w:r>
              <w:rPr>
                <w:noProof/>
              </w:rPr>
              <w:br w:type="page"/>
            </w:r>
            <w:r>
              <w:rPr>
                <w:noProof/>
                <w:sz w:val="20"/>
              </w:rPr>
              <w:t>Réservoir de carburant</w:t>
            </w:r>
          </w:p>
        </w:tc>
        <w:tc>
          <w:tcPr>
            <w:tcW w:w="2693" w:type="dxa"/>
          </w:tcPr>
          <w:p w:rsidR="00F275B3" w:rsidRDefault="00362F0A">
            <w:pPr>
              <w:spacing w:before="0" w:after="0"/>
              <w:rPr>
                <w:rFonts w:eastAsia="Times New Roman"/>
                <w:noProof/>
                <w:sz w:val="20"/>
                <w:szCs w:val="20"/>
              </w:rPr>
            </w:pPr>
            <w:r>
              <w:rPr>
                <w:noProof/>
                <w:sz w:val="20"/>
              </w:rPr>
              <w:t>34</w:t>
            </w:r>
          </w:p>
          <w:p w:rsidR="00F275B3" w:rsidRDefault="00362F0A">
            <w:pPr>
              <w:spacing w:before="0" w:after="0"/>
              <w:rPr>
                <w:rFonts w:eastAsia="Times New Roman"/>
                <w:noProof/>
                <w:sz w:val="20"/>
                <w:szCs w:val="20"/>
              </w:rPr>
            </w:pPr>
            <w:r>
              <w:rPr>
                <w:noProof/>
                <w:sz w:val="20"/>
              </w:rPr>
              <w:t>58</w:t>
            </w:r>
          </w:p>
          <w:p w:rsidR="00F275B3" w:rsidRDefault="00F275B3">
            <w:pPr>
              <w:spacing w:before="0" w:after="0"/>
              <w:rPr>
                <w:rFonts w:eastAsia="Times New Roman"/>
                <w:noProof/>
                <w:sz w:val="20"/>
                <w:szCs w:val="20"/>
              </w:rPr>
            </w:pPr>
          </w:p>
        </w:tc>
        <w:tc>
          <w:tcPr>
            <w:tcW w:w="2693" w:type="dxa"/>
          </w:tcPr>
          <w:p w:rsidR="00F275B3" w:rsidRDefault="00362F0A">
            <w:pPr>
              <w:spacing w:before="0" w:after="0"/>
              <w:rPr>
                <w:rFonts w:eastAsia="Times New Roman"/>
                <w:noProof/>
                <w:sz w:val="20"/>
                <w:szCs w:val="20"/>
              </w:rPr>
            </w:pPr>
            <w:r>
              <w:rPr>
                <w:noProof/>
                <w:sz w:val="20"/>
              </w:rPr>
              <w:t>Règlement (CE) n° 661/2009, modifié en dernier lieu par le règlement (UE) 2015/166.</w:t>
            </w:r>
          </w:p>
          <w:p w:rsidR="00F275B3" w:rsidRDefault="00F275B3">
            <w:pPr>
              <w:spacing w:before="0" w:after="0"/>
              <w:rPr>
                <w:rFonts w:eastAsia="Times New Roman"/>
                <w:noProof/>
                <w:sz w:val="20"/>
                <w:szCs w:val="20"/>
              </w:rPr>
            </w:pPr>
          </w:p>
        </w:tc>
      </w:tr>
      <w:tr w:rsidR="00F275B3">
        <w:tc>
          <w:tcPr>
            <w:tcW w:w="3227" w:type="dxa"/>
          </w:tcPr>
          <w:p w:rsidR="00F275B3" w:rsidRDefault="00362F0A">
            <w:pPr>
              <w:spacing w:before="0" w:after="0"/>
              <w:rPr>
                <w:noProof/>
                <w:color w:val="000000"/>
                <w:sz w:val="20"/>
                <w:szCs w:val="20"/>
              </w:rPr>
            </w:pPr>
            <w:r>
              <w:rPr>
                <w:noProof/>
                <w:color w:val="000000"/>
                <w:sz w:val="20"/>
              </w:rPr>
              <w:t>Rétroviseurs</w:t>
            </w:r>
          </w:p>
          <w:p w:rsidR="00F275B3" w:rsidRDefault="00F275B3">
            <w:pPr>
              <w:spacing w:before="0" w:after="0"/>
              <w:rPr>
                <w:noProof/>
                <w:color w:val="000000"/>
                <w:sz w:val="20"/>
                <w:szCs w:val="20"/>
              </w:rPr>
            </w:pPr>
          </w:p>
        </w:tc>
        <w:tc>
          <w:tcPr>
            <w:tcW w:w="2693" w:type="dxa"/>
          </w:tcPr>
          <w:p w:rsidR="00F275B3" w:rsidRDefault="00362F0A">
            <w:pPr>
              <w:spacing w:before="0" w:after="0"/>
              <w:rPr>
                <w:rFonts w:eastAsia="Times New Roman"/>
                <w:noProof/>
                <w:sz w:val="20"/>
                <w:szCs w:val="20"/>
              </w:rPr>
            </w:pPr>
            <w:r>
              <w:rPr>
                <w:noProof/>
                <w:sz w:val="20"/>
              </w:rPr>
              <w:t>46</w:t>
            </w:r>
          </w:p>
        </w:tc>
        <w:tc>
          <w:tcPr>
            <w:tcW w:w="2693" w:type="dxa"/>
          </w:tcPr>
          <w:p w:rsidR="00F275B3" w:rsidRDefault="00362F0A">
            <w:pPr>
              <w:spacing w:before="0" w:after="0"/>
              <w:rPr>
                <w:noProof/>
                <w:color w:val="000000"/>
                <w:sz w:val="20"/>
                <w:szCs w:val="20"/>
              </w:rPr>
            </w:pPr>
            <w:r>
              <w:rPr>
                <w:noProof/>
              </w:rPr>
              <w:t>Règlement (CE) n° 661/2009, modifié en dernier lieu par le règlement (UE) 2015/166.</w:t>
            </w:r>
          </w:p>
          <w:p w:rsidR="00F275B3" w:rsidRDefault="00F275B3">
            <w:pPr>
              <w:spacing w:before="0" w:after="0"/>
              <w:rPr>
                <w:rFonts w:eastAsia="Times New Roman"/>
                <w:noProof/>
                <w:sz w:val="20"/>
                <w:szCs w:val="20"/>
              </w:rPr>
            </w:pPr>
          </w:p>
        </w:tc>
      </w:tr>
      <w:tr w:rsidR="00F275B3">
        <w:tc>
          <w:tcPr>
            <w:tcW w:w="3227" w:type="dxa"/>
          </w:tcPr>
          <w:p w:rsidR="00F275B3" w:rsidRDefault="00362F0A">
            <w:pPr>
              <w:spacing w:before="0" w:after="0"/>
              <w:rPr>
                <w:noProof/>
                <w:color w:val="000000"/>
                <w:sz w:val="20"/>
                <w:szCs w:val="20"/>
              </w:rPr>
            </w:pPr>
            <w:r>
              <w:rPr>
                <w:noProof/>
                <w:color w:val="000000"/>
                <w:sz w:val="20"/>
              </w:rPr>
              <w:t xml:space="preserve">Ceintures de </w:t>
            </w:r>
            <w:r>
              <w:rPr>
                <w:noProof/>
                <w:color w:val="000000"/>
                <w:sz w:val="20"/>
              </w:rPr>
              <w:t>sécurité — Installation</w:t>
            </w:r>
          </w:p>
          <w:p w:rsidR="00F275B3" w:rsidRDefault="00F275B3">
            <w:pPr>
              <w:spacing w:before="0" w:after="0"/>
              <w:rPr>
                <w:rFonts w:eastAsia="Times New Roman"/>
                <w:noProof/>
                <w:sz w:val="20"/>
                <w:szCs w:val="20"/>
              </w:rPr>
            </w:pPr>
          </w:p>
        </w:tc>
        <w:tc>
          <w:tcPr>
            <w:tcW w:w="2693" w:type="dxa"/>
          </w:tcPr>
          <w:p w:rsidR="00F275B3" w:rsidRDefault="00362F0A">
            <w:pPr>
              <w:spacing w:before="0" w:after="0"/>
              <w:rPr>
                <w:rFonts w:eastAsia="Times New Roman"/>
                <w:noProof/>
                <w:sz w:val="20"/>
                <w:szCs w:val="20"/>
              </w:rPr>
            </w:pPr>
            <w:r>
              <w:rPr>
                <w:noProof/>
                <w:sz w:val="20"/>
              </w:rPr>
              <w:t>16</w:t>
            </w:r>
          </w:p>
        </w:tc>
        <w:tc>
          <w:tcPr>
            <w:tcW w:w="2693" w:type="dxa"/>
          </w:tcPr>
          <w:p w:rsidR="00F275B3" w:rsidRDefault="00362F0A">
            <w:pPr>
              <w:spacing w:before="0" w:after="0"/>
              <w:rPr>
                <w:noProof/>
                <w:color w:val="000000"/>
                <w:sz w:val="20"/>
                <w:szCs w:val="20"/>
              </w:rPr>
            </w:pPr>
            <w:r>
              <w:rPr>
                <w:noProof/>
              </w:rPr>
              <w:t>Règlement (CE) n° 661/2009, modifié en dernier lieu par le règlement (UE) 2015/166.</w:t>
            </w:r>
          </w:p>
          <w:p w:rsidR="00F275B3" w:rsidRDefault="00F275B3">
            <w:pPr>
              <w:spacing w:before="0" w:after="0"/>
              <w:rPr>
                <w:rFonts w:eastAsia="Times New Roman"/>
                <w:noProof/>
                <w:sz w:val="20"/>
                <w:szCs w:val="20"/>
              </w:rPr>
            </w:pPr>
          </w:p>
        </w:tc>
      </w:tr>
      <w:tr w:rsidR="00F275B3">
        <w:tc>
          <w:tcPr>
            <w:tcW w:w="3227" w:type="dxa"/>
          </w:tcPr>
          <w:p w:rsidR="00F275B3" w:rsidRDefault="00362F0A">
            <w:pPr>
              <w:spacing w:before="0" w:after="0"/>
              <w:rPr>
                <w:rFonts w:eastAsia="Times New Roman"/>
                <w:noProof/>
                <w:sz w:val="20"/>
                <w:szCs w:val="20"/>
              </w:rPr>
            </w:pPr>
            <w:r>
              <w:rPr>
                <w:noProof/>
                <w:color w:val="000000"/>
                <w:sz w:val="20"/>
              </w:rPr>
              <w:t>Ceintures de sécurité — Installation</w:t>
            </w:r>
          </w:p>
        </w:tc>
        <w:tc>
          <w:tcPr>
            <w:tcW w:w="2693" w:type="dxa"/>
          </w:tcPr>
          <w:p w:rsidR="00F275B3" w:rsidRDefault="00362F0A">
            <w:pPr>
              <w:spacing w:before="0" w:after="0"/>
              <w:rPr>
                <w:rFonts w:eastAsia="Times New Roman"/>
                <w:noProof/>
                <w:sz w:val="20"/>
                <w:szCs w:val="20"/>
              </w:rPr>
            </w:pPr>
            <w:r>
              <w:rPr>
                <w:noProof/>
                <w:sz w:val="20"/>
              </w:rPr>
              <w:t>14</w:t>
            </w:r>
          </w:p>
        </w:tc>
        <w:tc>
          <w:tcPr>
            <w:tcW w:w="2693" w:type="dxa"/>
          </w:tcPr>
          <w:p w:rsidR="00F275B3" w:rsidRDefault="00362F0A">
            <w:pPr>
              <w:spacing w:before="0" w:after="0"/>
              <w:rPr>
                <w:rFonts w:eastAsia="Times New Roman"/>
                <w:noProof/>
                <w:sz w:val="20"/>
                <w:szCs w:val="20"/>
              </w:rPr>
            </w:pPr>
            <w:r>
              <w:rPr>
                <w:noProof/>
                <w:sz w:val="20"/>
              </w:rPr>
              <w:t>Règlement (CE) n° 661/2009, modifié en dernier lieu par le règlement (UE) 2015/166.</w:t>
            </w:r>
          </w:p>
          <w:p w:rsidR="00F275B3" w:rsidRDefault="00F275B3">
            <w:pPr>
              <w:spacing w:before="0" w:after="0"/>
              <w:rPr>
                <w:rFonts w:eastAsia="Times New Roman"/>
                <w:noProof/>
                <w:sz w:val="20"/>
                <w:szCs w:val="20"/>
              </w:rPr>
            </w:pPr>
          </w:p>
        </w:tc>
      </w:tr>
      <w:tr w:rsidR="00F275B3">
        <w:tc>
          <w:tcPr>
            <w:tcW w:w="3227" w:type="dxa"/>
          </w:tcPr>
          <w:p w:rsidR="00F275B3" w:rsidRDefault="00362F0A">
            <w:pPr>
              <w:spacing w:before="0" w:after="0"/>
              <w:rPr>
                <w:noProof/>
                <w:color w:val="000000"/>
                <w:sz w:val="20"/>
                <w:szCs w:val="20"/>
              </w:rPr>
            </w:pPr>
            <w:r>
              <w:rPr>
                <w:noProof/>
                <w:color w:val="000000"/>
                <w:sz w:val="20"/>
              </w:rPr>
              <w:t>Sièges</w:t>
            </w:r>
          </w:p>
        </w:tc>
        <w:tc>
          <w:tcPr>
            <w:tcW w:w="2693" w:type="dxa"/>
          </w:tcPr>
          <w:p w:rsidR="00F275B3" w:rsidRDefault="00362F0A">
            <w:pPr>
              <w:spacing w:before="0" w:after="0"/>
              <w:rPr>
                <w:rFonts w:eastAsia="Times New Roman"/>
                <w:noProof/>
                <w:sz w:val="20"/>
                <w:szCs w:val="20"/>
              </w:rPr>
            </w:pPr>
            <w:r>
              <w:rPr>
                <w:noProof/>
                <w:sz w:val="20"/>
              </w:rPr>
              <w:t>17</w:t>
            </w:r>
          </w:p>
        </w:tc>
        <w:tc>
          <w:tcPr>
            <w:tcW w:w="2693" w:type="dxa"/>
          </w:tcPr>
          <w:p w:rsidR="00F275B3" w:rsidRDefault="00362F0A">
            <w:pPr>
              <w:spacing w:before="0" w:after="0"/>
              <w:rPr>
                <w:rFonts w:eastAsia="Times New Roman"/>
                <w:noProof/>
                <w:sz w:val="20"/>
                <w:szCs w:val="20"/>
              </w:rPr>
            </w:pPr>
            <w:r>
              <w:rPr>
                <w:noProof/>
                <w:sz w:val="20"/>
              </w:rPr>
              <w:t>Règlem</w:t>
            </w:r>
            <w:r>
              <w:rPr>
                <w:noProof/>
                <w:sz w:val="20"/>
              </w:rPr>
              <w:t>ent (CE) n° 661/2009, modifié en dernier lieu par le règlement (UE) 2015/166.</w:t>
            </w:r>
          </w:p>
          <w:p w:rsidR="00F275B3" w:rsidRDefault="00F275B3">
            <w:pPr>
              <w:spacing w:before="0" w:after="0"/>
              <w:rPr>
                <w:rFonts w:eastAsia="Times New Roman"/>
                <w:noProof/>
                <w:sz w:val="20"/>
                <w:szCs w:val="20"/>
              </w:rPr>
            </w:pPr>
          </w:p>
        </w:tc>
      </w:tr>
      <w:tr w:rsidR="00F275B3">
        <w:tc>
          <w:tcPr>
            <w:tcW w:w="3227" w:type="dxa"/>
          </w:tcPr>
          <w:p w:rsidR="00F275B3" w:rsidRDefault="00362F0A">
            <w:pPr>
              <w:spacing w:before="0" w:after="0"/>
              <w:rPr>
                <w:noProof/>
                <w:color w:val="000000"/>
                <w:sz w:val="20"/>
                <w:szCs w:val="20"/>
              </w:rPr>
            </w:pPr>
            <w:r>
              <w:rPr>
                <w:noProof/>
                <w:color w:val="000000"/>
                <w:sz w:val="20"/>
              </w:rPr>
              <w:t>Aménagement intérieur (prévention des risques de propagation de l’incendie)</w:t>
            </w:r>
          </w:p>
          <w:p w:rsidR="00F275B3" w:rsidRDefault="00F275B3">
            <w:pPr>
              <w:spacing w:before="0" w:after="0"/>
              <w:rPr>
                <w:noProof/>
                <w:color w:val="000000"/>
                <w:sz w:val="20"/>
                <w:szCs w:val="20"/>
              </w:rPr>
            </w:pPr>
          </w:p>
        </w:tc>
        <w:tc>
          <w:tcPr>
            <w:tcW w:w="2693" w:type="dxa"/>
          </w:tcPr>
          <w:p w:rsidR="00F275B3" w:rsidRDefault="00362F0A">
            <w:pPr>
              <w:spacing w:before="0" w:after="0"/>
              <w:rPr>
                <w:noProof/>
                <w:color w:val="000000"/>
                <w:sz w:val="20"/>
                <w:szCs w:val="20"/>
              </w:rPr>
            </w:pPr>
            <w:r>
              <w:rPr>
                <w:noProof/>
                <w:color w:val="000000"/>
                <w:sz w:val="20"/>
              </w:rPr>
              <w:t>118</w:t>
            </w:r>
          </w:p>
        </w:tc>
        <w:tc>
          <w:tcPr>
            <w:tcW w:w="2693" w:type="dxa"/>
          </w:tcPr>
          <w:p w:rsidR="00F275B3" w:rsidRDefault="00362F0A">
            <w:pPr>
              <w:spacing w:before="0" w:after="0"/>
              <w:rPr>
                <w:rFonts w:eastAsia="Times New Roman"/>
                <w:noProof/>
                <w:sz w:val="20"/>
                <w:szCs w:val="20"/>
              </w:rPr>
            </w:pPr>
            <w:r>
              <w:rPr>
                <w:noProof/>
              </w:rPr>
              <w:t>Règlement (CE) n° 661/2009, modifié en dernier lieu par le règlement (UE) 2015/166.</w:t>
            </w:r>
          </w:p>
          <w:p w:rsidR="00F275B3" w:rsidRDefault="00F275B3">
            <w:pPr>
              <w:spacing w:before="0" w:after="0"/>
              <w:rPr>
                <w:noProof/>
                <w:color w:val="000000"/>
                <w:sz w:val="20"/>
                <w:szCs w:val="20"/>
              </w:rPr>
            </w:pPr>
          </w:p>
        </w:tc>
      </w:tr>
      <w:tr w:rsidR="00F275B3">
        <w:tc>
          <w:tcPr>
            <w:tcW w:w="3227" w:type="dxa"/>
          </w:tcPr>
          <w:p w:rsidR="00F275B3" w:rsidRDefault="00362F0A">
            <w:pPr>
              <w:spacing w:before="0" w:after="0"/>
              <w:rPr>
                <w:noProof/>
                <w:color w:val="000000"/>
                <w:sz w:val="20"/>
                <w:szCs w:val="20"/>
              </w:rPr>
            </w:pPr>
            <w:r>
              <w:rPr>
                <w:noProof/>
              </w:rPr>
              <w:br w:type="page"/>
            </w:r>
            <w:r>
              <w:rPr>
                <w:noProof/>
                <w:color w:val="000000"/>
                <w:sz w:val="20"/>
              </w:rPr>
              <w:t>Aménagement intérieur (sorties de secours, accessibilité, dimensions des emplacements, résistance de la superstructure, etc.)</w:t>
            </w:r>
          </w:p>
          <w:p w:rsidR="00F275B3" w:rsidRDefault="00F275B3">
            <w:pPr>
              <w:spacing w:before="0" w:after="0"/>
              <w:rPr>
                <w:noProof/>
                <w:color w:val="000000"/>
                <w:sz w:val="20"/>
                <w:szCs w:val="20"/>
              </w:rPr>
            </w:pPr>
          </w:p>
        </w:tc>
        <w:tc>
          <w:tcPr>
            <w:tcW w:w="2693" w:type="dxa"/>
          </w:tcPr>
          <w:p w:rsidR="00F275B3" w:rsidRDefault="00362F0A">
            <w:pPr>
              <w:spacing w:before="0" w:after="0"/>
              <w:rPr>
                <w:noProof/>
                <w:color w:val="000000"/>
                <w:sz w:val="20"/>
                <w:szCs w:val="20"/>
              </w:rPr>
            </w:pPr>
            <w:r>
              <w:rPr>
                <w:noProof/>
                <w:color w:val="000000"/>
                <w:sz w:val="20"/>
              </w:rPr>
              <w:t>66</w:t>
            </w:r>
          </w:p>
          <w:p w:rsidR="00F275B3" w:rsidRDefault="00362F0A">
            <w:pPr>
              <w:spacing w:before="0" w:after="0"/>
              <w:rPr>
                <w:noProof/>
                <w:color w:val="000000"/>
                <w:sz w:val="20"/>
                <w:szCs w:val="20"/>
              </w:rPr>
            </w:pPr>
            <w:r>
              <w:rPr>
                <w:noProof/>
                <w:color w:val="000000"/>
                <w:sz w:val="20"/>
              </w:rPr>
              <w:t>107</w:t>
            </w:r>
          </w:p>
        </w:tc>
        <w:tc>
          <w:tcPr>
            <w:tcW w:w="2693" w:type="dxa"/>
            <w:vAlign w:val="center"/>
          </w:tcPr>
          <w:p w:rsidR="00F275B3" w:rsidRDefault="00362F0A">
            <w:pPr>
              <w:spacing w:before="0" w:after="0"/>
              <w:rPr>
                <w:noProof/>
                <w:color w:val="000000"/>
                <w:sz w:val="20"/>
                <w:szCs w:val="20"/>
              </w:rPr>
            </w:pPr>
            <w:r>
              <w:rPr>
                <w:noProof/>
              </w:rPr>
              <w:t>Règlement (CE) n° 661/2009, modifié en dernier lieu par le règlement (UE) 2015/166.</w:t>
            </w:r>
            <w:r>
              <w:rPr>
                <w:noProof/>
                <w:color w:val="000000"/>
                <w:sz w:val="20"/>
              </w:rPr>
              <w:t xml:space="preserve"> </w:t>
            </w:r>
          </w:p>
        </w:tc>
      </w:tr>
      <w:tr w:rsidR="00F275B3">
        <w:tc>
          <w:tcPr>
            <w:tcW w:w="3227" w:type="dxa"/>
          </w:tcPr>
          <w:p w:rsidR="00F275B3" w:rsidRDefault="00362F0A">
            <w:pPr>
              <w:spacing w:before="0" w:after="0"/>
              <w:rPr>
                <w:noProof/>
                <w:color w:val="000000"/>
                <w:sz w:val="20"/>
                <w:szCs w:val="20"/>
              </w:rPr>
            </w:pPr>
            <w:r>
              <w:rPr>
                <w:noProof/>
                <w:color w:val="000000"/>
                <w:sz w:val="20"/>
              </w:rPr>
              <w:t>Système avancé de freinage d’urgence</w:t>
            </w:r>
          </w:p>
        </w:tc>
        <w:tc>
          <w:tcPr>
            <w:tcW w:w="2693" w:type="dxa"/>
          </w:tcPr>
          <w:p w:rsidR="00F275B3" w:rsidRDefault="00362F0A">
            <w:pPr>
              <w:spacing w:before="0" w:after="0"/>
              <w:rPr>
                <w:noProof/>
                <w:color w:val="000000"/>
                <w:sz w:val="20"/>
                <w:szCs w:val="20"/>
              </w:rPr>
            </w:pPr>
            <w:r>
              <w:rPr>
                <w:noProof/>
                <w:color w:val="000000"/>
                <w:sz w:val="20"/>
              </w:rPr>
              <w:t>131</w:t>
            </w:r>
          </w:p>
        </w:tc>
        <w:tc>
          <w:tcPr>
            <w:tcW w:w="2693" w:type="dxa"/>
          </w:tcPr>
          <w:p w:rsidR="00F275B3" w:rsidRDefault="00362F0A">
            <w:pPr>
              <w:spacing w:before="0" w:after="0"/>
              <w:rPr>
                <w:noProof/>
                <w:color w:val="000000"/>
                <w:sz w:val="20"/>
                <w:szCs w:val="20"/>
              </w:rPr>
            </w:pPr>
            <w:r>
              <w:rPr>
                <w:noProof/>
                <w:color w:val="000000"/>
                <w:sz w:val="20"/>
              </w:rPr>
              <w:t>Règlement (CE) n° 661/2009, modifié en dernier lieu par le règlement (UE) 2015/166.</w:t>
            </w:r>
          </w:p>
          <w:p w:rsidR="00F275B3" w:rsidRDefault="00F275B3">
            <w:pPr>
              <w:spacing w:before="0" w:after="0"/>
              <w:rPr>
                <w:noProof/>
                <w:color w:val="000000"/>
                <w:sz w:val="20"/>
                <w:szCs w:val="20"/>
              </w:rPr>
            </w:pPr>
          </w:p>
          <w:p w:rsidR="00F275B3" w:rsidRDefault="00362F0A">
            <w:pPr>
              <w:spacing w:before="0" w:after="0"/>
              <w:rPr>
                <w:noProof/>
                <w:color w:val="000000"/>
                <w:sz w:val="20"/>
                <w:szCs w:val="20"/>
              </w:rPr>
            </w:pPr>
            <w:r>
              <w:rPr>
                <w:noProof/>
                <w:color w:val="000000"/>
                <w:sz w:val="20"/>
              </w:rPr>
              <w:t>Règlement (UE) n° 347/2012 de la Commission, modifié en dernier lieu par le règlement (UE) 2015/562 de la Commission.</w:t>
            </w:r>
          </w:p>
        </w:tc>
      </w:tr>
      <w:tr w:rsidR="00F275B3">
        <w:tc>
          <w:tcPr>
            <w:tcW w:w="3227" w:type="dxa"/>
          </w:tcPr>
          <w:p w:rsidR="00F275B3" w:rsidRDefault="00362F0A">
            <w:pPr>
              <w:spacing w:before="0" w:after="0"/>
              <w:rPr>
                <w:noProof/>
                <w:color w:val="000000"/>
                <w:sz w:val="20"/>
                <w:szCs w:val="20"/>
              </w:rPr>
            </w:pPr>
            <w:r>
              <w:rPr>
                <w:noProof/>
                <w:color w:val="000000"/>
                <w:sz w:val="20"/>
              </w:rPr>
              <w:t>Système d’avertissement de franchissement de la</w:t>
            </w:r>
            <w:r>
              <w:rPr>
                <w:noProof/>
                <w:color w:val="000000"/>
                <w:sz w:val="20"/>
              </w:rPr>
              <w:t xml:space="preserve"> ligne</w:t>
            </w:r>
          </w:p>
        </w:tc>
        <w:tc>
          <w:tcPr>
            <w:tcW w:w="2693" w:type="dxa"/>
          </w:tcPr>
          <w:p w:rsidR="00F275B3" w:rsidRDefault="00362F0A">
            <w:pPr>
              <w:spacing w:before="0" w:after="0"/>
              <w:rPr>
                <w:noProof/>
                <w:color w:val="000000"/>
                <w:sz w:val="20"/>
                <w:szCs w:val="20"/>
              </w:rPr>
            </w:pPr>
            <w:r>
              <w:rPr>
                <w:noProof/>
                <w:color w:val="000000"/>
                <w:sz w:val="20"/>
              </w:rPr>
              <w:t>130</w:t>
            </w:r>
          </w:p>
        </w:tc>
        <w:tc>
          <w:tcPr>
            <w:tcW w:w="2693" w:type="dxa"/>
          </w:tcPr>
          <w:p w:rsidR="00F275B3" w:rsidRDefault="00362F0A">
            <w:pPr>
              <w:spacing w:before="0" w:after="0"/>
              <w:rPr>
                <w:noProof/>
                <w:color w:val="000000"/>
                <w:sz w:val="20"/>
                <w:szCs w:val="20"/>
              </w:rPr>
            </w:pPr>
            <w:r>
              <w:rPr>
                <w:noProof/>
                <w:color w:val="000000"/>
                <w:sz w:val="20"/>
              </w:rPr>
              <w:t>Règlement (CE) n° 661/2009, modifié en dernier lieu par le règlement (UE) 2015/166.</w:t>
            </w:r>
          </w:p>
          <w:p w:rsidR="00F275B3" w:rsidRDefault="00F275B3">
            <w:pPr>
              <w:spacing w:before="0" w:after="0"/>
              <w:rPr>
                <w:noProof/>
                <w:color w:val="000000"/>
                <w:sz w:val="20"/>
                <w:szCs w:val="20"/>
              </w:rPr>
            </w:pPr>
          </w:p>
          <w:p w:rsidR="00F275B3" w:rsidRDefault="00362F0A">
            <w:pPr>
              <w:spacing w:before="0" w:after="0"/>
              <w:rPr>
                <w:noProof/>
                <w:color w:val="000000"/>
                <w:sz w:val="20"/>
                <w:szCs w:val="20"/>
              </w:rPr>
            </w:pPr>
            <w:r>
              <w:rPr>
                <w:noProof/>
                <w:color w:val="000000"/>
                <w:sz w:val="20"/>
              </w:rPr>
              <w:t>Règlement (UE) n° 351/2012 de la Commission.».</w:t>
            </w:r>
          </w:p>
        </w:tc>
      </w:tr>
    </w:tbl>
    <w:p w:rsidR="00F275B3" w:rsidRDefault="00F275B3">
      <w:pPr>
        <w:spacing w:before="0" w:after="0"/>
        <w:rPr>
          <w:noProof/>
          <w:color w:val="000000"/>
          <w:szCs w:val="24"/>
          <w:u w:val="single"/>
        </w:rPr>
      </w:pPr>
    </w:p>
    <w:p w:rsidR="00F275B3" w:rsidRDefault="00F275B3">
      <w:pPr>
        <w:spacing w:before="0" w:after="0"/>
        <w:rPr>
          <w:noProof/>
          <w:color w:val="000000"/>
          <w:szCs w:val="24"/>
          <w:u w:val="single"/>
        </w:rPr>
      </w:pPr>
    </w:p>
    <w:p w:rsidR="00F275B3" w:rsidRDefault="00362F0A">
      <w:pPr>
        <w:pStyle w:val="Default"/>
        <w:jc w:val="both"/>
        <w:rPr>
          <w:rFonts w:cs="Times New Roman"/>
          <w:i/>
          <w:noProof/>
        </w:rPr>
      </w:pPr>
      <w:r>
        <w:rPr>
          <w:i/>
          <w:noProof/>
        </w:rPr>
        <w:t xml:space="preserve">4. Adaptation de l’annexe 3 concernant le modèle de document de contrôle pour les services occasionnels </w:t>
      </w:r>
      <w:r>
        <w:rPr>
          <w:i/>
          <w:noProof/>
        </w:rPr>
        <w:t>dispensés d’autorisation et de l’annexe 5 concernant le modèle d’autorisation pour les services occasionnels non libéralisés</w:t>
      </w:r>
    </w:p>
    <w:p w:rsidR="00F275B3" w:rsidRDefault="00F275B3">
      <w:pPr>
        <w:pStyle w:val="Default"/>
        <w:rPr>
          <w:rFonts w:cs="Times New Roman"/>
          <w:noProof/>
        </w:rPr>
      </w:pPr>
    </w:p>
    <w:p w:rsidR="00F275B3" w:rsidRDefault="00362F0A">
      <w:pPr>
        <w:pStyle w:val="Default"/>
        <w:rPr>
          <w:rFonts w:cs="Times New Roman"/>
          <w:noProof/>
          <w:u w:val="single"/>
        </w:rPr>
      </w:pPr>
      <w:r>
        <w:rPr>
          <w:noProof/>
          <w:u w:val="single"/>
        </w:rPr>
        <w:t>Aux annexes 3 et 5, les notes de bas de page sont remplacées par ce qui suit:</w:t>
      </w:r>
    </w:p>
    <w:p w:rsidR="00F275B3" w:rsidRDefault="00F275B3">
      <w:pPr>
        <w:pStyle w:val="Default"/>
        <w:rPr>
          <w:rFonts w:cs="Times New Roman"/>
          <w:noProof/>
        </w:rPr>
      </w:pPr>
    </w:p>
    <w:p w:rsidR="00F275B3" w:rsidRDefault="00362F0A">
      <w:pPr>
        <w:pStyle w:val="Default"/>
        <w:ind w:left="720"/>
        <w:jc w:val="both"/>
        <w:rPr>
          <w:rFonts w:cs="Times New Roman"/>
          <w:noProof/>
        </w:rPr>
      </w:pPr>
      <w:r>
        <w:rPr>
          <w:noProof/>
        </w:rPr>
        <w:t>«Albanie (AL), Autriche (A), Belgique (B), Bosnie-H</w:t>
      </w:r>
      <w:r>
        <w:rPr>
          <w:noProof/>
        </w:rPr>
        <w:t>erzégovine (BA), Bulgarie (BG), Chypre (CY), Croatie (HR), République tchèque (CZ), Danemark (DK), Espagne (ES), Estonie (EE), Finlande (FI), France (FR), Allemagne (DE), Grèce (EL), Hongrie (HU), Irlande (IE), Italie (IT), Lettonie (LV), Lituanie (LT), Lu</w:t>
      </w:r>
      <w:r>
        <w:rPr>
          <w:noProof/>
        </w:rPr>
        <w:t>xembourg (LU), ancienne République yougoslave de Macédoine (MK), Malte (MT), Moldavie (MD), Monténégro (ME), Pays-Bas (NL), Pologne (PL), Portugal (PT), Roumanie (RO), Royaume-Uni (UK), Slovaquie (SK), Slovénie (SI), Suède (SE), Turquie (TR), Ukraine (UA),</w:t>
      </w:r>
      <w:r>
        <w:rPr>
          <w:noProof/>
        </w:rPr>
        <w:t xml:space="preserve"> à compléter.».</w:t>
      </w:r>
    </w:p>
    <w:p w:rsidR="00F275B3" w:rsidRDefault="00F275B3">
      <w:pPr>
        <w:pStyle w:val="Default"/>
        <w:rPr>
          <w:rFonts w:cs="Times New Roman"/>
          <w:noProof/>
        </w:rPr>
      </w:pPr>
    </w:p>
    <w:p w:rsidR="00F275B3" w:rsidRDefault="00F275B3">
      <w:pPr>
        <w:pStyle w:val="Default"/>
        <w:rPr>
          <w:rFonts w:cs="Times New Roman"/>
          <w:noProof/>
        </w:rPr>
      </w:pPr>
    </w:p>
    <w:p w:rsidR="00F275B3" w:rsidRDefault="00362F0A">
      <w:pPr>
        <w:pStyle w:val="Default"/>
        <w:jc w:val="both"/>
        <w:rPr>
          <w:rFonts w:eastAsia="Times New Roman" w:cs="Times New Roman"/>
          <w:i/>
          <w:noProof/>
        </w:rPr>
      </w:pPr>
      <w:r>
        <w:rPr>
          <w:i/>
          <w:noProof/>
        </w:rPr>
        <w:t>5. Adaptation de l’annexe 5 en ce qui concerne le modèle de déclaration</w:t>
      </w:r>
    </w:p>
    <w:p w:rsidR="00F275B3" w:rsidRDefault="00F275B3">
      <w:pPr>
        <w:pStyle w:val="Default"/>
        <w:rPr>
          <w:rFonts w:eastAsia="Times New Roman" w:cs="Times New Roman"/>
          <w:noProof/>
        </w:rPr>
      </w:pPr>
    </w:p>
    <w:p w:rsidR="00F275B3" w:rsidRDefault="00362F0A">
      <w:pPr>
        <w:pStyle w:val="Default"/>
        <w:rPr>
          <w:rFonts w:eastAsia="Times New Roman" w:cs="Times New Roman"/>
          <w:noProof/>
          <w:u w:val="single"/>
        </w:rPr>
      </w:pPr>
      <w:r>
        <w:rPr>
          <w:noProof/>
          <w:u w:val="single"/>
        </w:rPr>
        <w:t>À l’annexe 5, le modèle de déclaration est modifié comme suit:</w:t>
      </w:r>
    </w:p>
    <w:p w:rsidR="00F275B3" w:rsidRDefault="00F275B3">
      <w:pPr>
        <w:pStyle w:val="Default"/>
        <w:rPr>
          <w:rFonts w:eastAsia="Times New Roman" w:cs="Times New Roman"/>
          <w:noProof/>
        </w:rPr>
      </w:pPr>
    </w:p>
    <w:p w:rsidR="00F275B3" w:rsidRDefault="00362F0A">
      <w:pPr>
        <w:pStyle w:val="Default"/>
        <w:rPr>
          <w:rFonts w:eastAsia="Times New Roman" w:cs="Times New Roman"/>
          <w:noProof/>
          <w:u w:val="single"/>
        </w:rPr>
      </w:pPr>
      <w:r>
        <w:rPr>
          <w:noProof/>
          <w:u w:val="single"/>
        </w:rPr>
        <w:t>a) au paragraphe 1, la phrase introductive est remplacée par le texte suivant:</w:t>
      </w:r>
    </w:p>
    <w:p w:rsidR="00F275B3" w:rsidRDefault="00F275B3">
      <w:pPr>
        <w:pStyle w:val="Default"/>
        <w:rPr>
          <w:rFonts w:eastAsia="Times New Roman" w:cs="Times New Roman"/>
          <w:noProof/>
        </w:rPr>
      </w:pPr>
    </w:p>
    <w:p w:rsidR="00F275B3" w:rsidRDefault="00362F0A">
      <w:pPr>
        <w:spacing w:before="0" w:after="0"/>
        <w:ind w:left="720"/>
        <w:rPr>
          <w:rFonts w:eastAsia="Times New Roman"/>
          <w:noProof/>
          <w:szCs w:val="24"/>
        </w:rPr>
      </w:pPr>
      <w:r>
        <w:rPr>
          <w:noProof/>
        </w:rPr>
        <w:t>«1.</w:t>
      </w:r>
      <w:r>
        <w:rPr>
          <w:noProof/>
        </w:rPr>
        <w:tab/>
        <w:t xml:space="preserve">Les trois </w:t>
      </w:r>
      <w:r>
        <w:rPr>
          <w:noProof/>
        </w:rPr>
        <w:t>conditions établies au chapitre I du règlement (CE) n° 1071/2009 du Parlement européen et du Conseil du 21 octobre 2009 établissant des règles communes sur les conditions à respecter pour exercer la profession de transporteur par route, et abrogeant la dir</w:t>
      </w:r>
      <w:r>
        <w:rPr>
          <w:noProof/>
        </w:rPr>
        <w:t>ective 96/26/CE du Conseil (JO L 300 du 14.11.2009, p. 51):»;</w:t>
      </w:r>
    </w:p>
    <w:p w:rsidR="00F275B3" w:rsidRDefault="00F275B3">
      <w:pPr>
        <w:pStyle w:val="Default"/>
        <w:rPr>
          <w:rFonts w:cs="Times New Roman"/>
          <w:noProof/>
        </w:rPr>
      </w:pPr>
    </w:p>
    <w:p w:rsidR="00F275B3" w:rsidRDefault="00F275B3">
      <w:pPr>
        <w:pStyle w:val="Default"/>
        <w:rPr>
          <w:rFonts w:cs="Times New Roman"/>
          <w:noProof/>
        </w:rPr>
      </w:pPr>
    </w:p>
    <w:p w:rsidR="00F275B3" w:rsidRDefault="00362F0A">
      <w:pPr>
        <w:pStyle w:val="Default"/>
        <w:jc w:val="both"/>
        <w:rPr>
          <w:rFonts w:eastAsia="Times New Roman" w:cs="Times New Roman"/>
          <w:noProof/>
          <w:u w:val="single"/>
        </w:rPr>
      </w:pPr>
      <w:r>
        <w:rPr>
          <w:noProof/>
          <w:u w:val="single"/>
        </w:rPr>
        <w:t>b) au paragraphe 2, le deuxième alinéa est supprimé.</w:t>
      </w:r>
    </w:p>
    <w:p w:rsidR="00F275B3" w:rsidRDefault="00F275B3">
      <w:pPr>
        <w:pStyle w:val="Default"/>
        <w:jc w:val="both"/>
        <w:rPr>
          <w:rFonts w:eastAsia="Times New Roman" w:cs="Times New Roman"/>
          <w:noProof/>
          <w:u w:val="single"/>
        </w:rPr>
      </w:pPr>
    </w:p>
    <w:p w:rsidR="00F275B3" w:rsidRDefault="00F275B3">
      <w:pPr>
        <w:pStyle w:val="Default"/>
        <w:jc w:val="both"/>
        <w:rPr>
          <w:rFonts w:eastAsia="Times New Roman" w:cs="Times New Roman"/>
          <w:noProof/>
          <w:u w:val="single"/>
        </w:rPr>
      </w:pPr>
    </w:p>
    <w:p w:rsidR="00F275B3" w:rsidRDefault="00362F0A">
      <w:pPr>
        <w:pStyle w:val="Default"/>
        <w:jc w:val="center"/>
        <w:rPr>
          <w:rFonts w:eastAsia="Times New Roman" w:cs="Times New Roman"/>
          <w:noProof/>
        </w:rPr>
      </w:pPr>
      <w:r>
        <w:rPr>
          <w:noProof/>
        </w:rPr>
        <w:t>------</w:t>
      </w:r>
    </w:p>
    <w:sectPr w:rsidR="00F275B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5B3" w:rsidRDefault="00362F0A">
      <w:pPr>
        <w:spacing w:before="0" w:after="0"/>
      </w:pPr>
      <w:r>
        <w:separator/>
      </w:r>
    </w:p>
  </w:endnote>
  <w:endnote w:type="continuationSeparator" w:id="0">
    <w:p w:rsidR="00F275B3" w:rsidRDefault="00362F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B3" w:rsidRDefault="00362F0A">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B3" w:rsidRDefault="00362F0A">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B3" w:rsidRDefault="00F27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5B3" w:rsidRDefault="00362F0A">
      <w:pPr>
        <w:spacing w:before="0" w:after="0"/>
      </w:pPr>
      <w:r>
        <w:separator/>
      </w:r>
    </w:p>
  </w:footnote>
  <w:footnote w:type="continuationSeparator" w:id="0">
    <w:p w:rsidR="00F275B3" w:rsidRDefault="00362F0A">
      <w:pPr>
        <w:spacing w:before="0" w:after="0"/>
      </w:pPr>
      <w:r>
        <w:continuationSeparator/>
      </w:r>
    </w:p>
  </w:footnote>
  <w:footnote w:id="1">
    <w:p w:rsidR="00F275B3" w:rsidRDefault="00362F0A">
      <w:pPr>
        <w:pStyle w:val="FootnoteText"/>
      </w:pPr>
      <w:r>
        <w:rPr>
          <w:rStyle w:val="FootnoteReference"/>
        </w:rPr>
        <w:footnoteRef/>
      </w:r>
      <w:r>
        <w:tab/>
        <w:t>JO L 321 du 26.11.2002, p. 13.</w:t>
      </w:r>
    </w:p>
  </w:footnote>
  <w:footnote w:id="2">
    <w:p w:rsidR="00F275B3" w:rsidRDefault="00362F0A">
      <w:pPr>
        <w:pStyle w:val="FootnoteText"/>
      </w:pPr>
      <w:r>
        <w:rPr>
          <w:rStyle w:val="FootnoteReference"/>
        </w:rPr>
        <w:footnoteRef/>
      </w:r>
      <w:r>
        <w:tab/>
        <w:t>JO L 8 du 12.1.2012, p. 38.</w:t>
      </w:r>
    </w:p>
  </w:footnote>
  <w:footnote w:id="3">
    <w:p w:rsidR="00F275B3" w:rsidRDefault="00362F0A">
      <w:pPr>
        <w:pStyle w:val="FootnoteText"/>
      </w:pPr>
      <w:r>
        <w:rPr>
          <w:rStyle w:val="FootnoteReference"/>
        </w:rPr>
        <w:footnoteRef/>
      </w:r>
      <w:r>
        <w:tab/>
        <w:t>JO L 8 du 12.1.2012, p. 46.</w:t>
      </w:r>
    </w:p>
  </w:footnote>
  <w:footnote w:id="4">
    <w:p w:rsidR="00F275B3" w:rsidRDefault="00362F0A">
      <w:pPr>
        <w:pStyle w:val="FootnoteText"/>
      </w:pPr>
      <w:r>
        <w:rPr>
          <w:rStyle w:val="FootnoteReference"/>
        </w:rPr>
        <w:footnoteRef/>
      </w:r>
      <w:r>
        <w:tab/>
        <w:t xml:space="preserve">L'adaptation des actes tient </w:t>
      </w:r>
      <w:r>
        <w:t>compte des nouvelles mesures adoptées par l’Union européenne jusqu’au 30 juin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70C1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0E0B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6056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4C3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6C1B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EE8D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D6C760"/>
    <w:lvl w:ilvl="0">
      <w:start w:val="1"/>
      <w:numFmt w:val="decimal"/>
      <w:pStyle w:val="ListNumber"/>
      <w:lvlText w:val="%1."/>
      <w:lvlJc w:val="left"/>
      <w:pPr>
        <w:tabs>
          <w:tab w:val="num" w:pos="360"/>
        </w:tabs>
        <w:ind w:left="360" w:hanging="360"/>
      </w:pPr>
    </w:lvl>
  </w:abstractNum>
  <w:abstractNum w:abstractNumId="7">
    <w:nsid w:val="FFFFFF89"/>
    <w:multiLevelType w:val="singleLevel"/>
    <w:tmpl w:val="CF4E7B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proofState w:spelling="clean" w:grammar="clean"/>
  <w:attachedTemplate r:id="rId1"/>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1 12:08: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7"/>
    <w:docVar w:name="DQCResult_ModifiedMarkers" w:val="0;0"/>
    <w:docVar w:name="DQCResult_ModifiedNumbering" w:val="0;0"/>
    <w:docVar w:name="DQCResult_Objects" w:val="0;0"/>
    <w:docVar w:name="DQCResult_Sections" w:val="0;0"/>
    <w:docVar w:name="DQCResult_StructureCheck" w:val="0;0"/>
    <w:docVar w:name="DQCResult_SuperfluousWhitespace" w:val="0;102"/>
    <w:docVar w:name="DQCResult_UnknownFonts" w:val="0;0"/>
    <w:docVar w:name="DQCResult_UnknownStyles" w:val="0;84"/>
    <w:docVar w:name="DQCStatus" w:val="Yellow"/>
    <w:docVar w:name="DQCVersion" w:val="3"/>
    <w:docVar w:name="DQCWithWarnings" w:val="0"/>
    <w:docVar w:name="LW_ACCOMPAGNANT.CP" w:val="à la proposition de"/>
    <w:docVar w:name="LW_ANNEX_NBR_FIRST" w:val="1"/>
    <w:docVar w:name="LW_ANNEX_NBR_LAST" w:val="1"/>
    <w:docVar w:name="LW_CONFIDENCE" w:val=" "/>
    <w:docVar w:name="LW_CONST_RESTREINT_UE" w:val="RESTREINT UE"/>
    <w:docVar w:name="LW_CORRIGENDUM" w:val="&lt;UNUSED&gt;"/>
    <w:docVar w:name="LW_COVERPAGE_GUID" w:val="ACD51044D7814036AC838A2405D09D8A"/>
    <w:docVar w:name="LW_CROSSREFERENCE" w:val="&lt;UNUSED&gt;"/>
    <w:docVar w:name="LW_DocType" w:val="ANNEX"/>
    <w:docVar w:name="LW_EMISSION" w:val="18.3.2016"/>
    <w:docVar w:name="LW_EMISSION_ISODATE" w:val="2016-03-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nion européenne, concernant le projet de décision n° 1/2016 du comité mixte institué en vertu de l\u8217?accord relatif au transport international occasionnel de voyageurs par autocar ou par autobus (accord Interbus)"/>
    <w:docVar w:name="LW_PART_NBR" w:val="1"/>
    <w:docVar w:name="LW_PART_NBR_TOTAL" w:val="1"/>
    <w:docVar w:name="LW_REF.INST.NEW" w:val="COM"/>
    <w:docVar w:name="LW_REF.INST.NEW_ADOPTED" w:val="final"/>
    <w:docVar w:name="LW_REF.INST.NEW_TEXT" w:val="(2016) 156"/>
    <w:docVar w:name="LW_REF.INTERNE" w:val="&lt;UNUSED&gt;"/>
    <w:docVar w:name="LW_SUPERTITRE" w:val="&lt;UNUSED&gt;"/>
    <w:docVar w:name="LW_TITRE.OBJ.CP" w:val="&lt;UNUSED&gt;"/>
    <w:docVar w:name="LW_TYPE.DOC.CP" w:val="ANNEXES"/>
    <w:docVar w:name="LW_TYPEACTEPRINCIPAL.CP" w:val="décision du Conseil"/>
  </w:docVars>
  <w:rsids>
    <w:rsidRoot w:val="00F275B3"/>
    <w:rsid w:val="00362F0A"/>
    <w:rsid w:val="00F2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normal2">
    <w:name w:val="normal2"/>
    <w:basedOn w:val="Normal"/>
    <w:pPr>
      <w:spacing w:after="0" w:line="312" w:lineRule="atLeas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character" w:styleId="Hyperlink">
    <w:name w:val="Hyperlink"/>
    <w:basedOn w:val="DefaultParagraphFont"/>
    <w:uiPriority w:val="99"/>
    <w:unhideWhenUsed/>
    <w:rPr>
      <w:strike w:val="0"/>
      <w:dstrike w:val="0"/>
      <w:color w:val="3366CC"/>
      <w:u w:val="none"/>
      <w:effect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odyText2">
    <w:name w:val="Body Text 2"/>
    <w:basedOn w:val="Normal"/>
    <w:link w:val="BodyText2Char"/>
    <w:uiPriority w:val="99"/>
    <w:unhideWhenUsed/>
    <w:pPr>
      <w:spacing w:line="480" w:lineRule="auto"/>
    </w:pPr>
  </w:style>
  <w:style w:type="character" w:customStyle="1" w:styleId="BodyText2Char">
    <w:name w:val="Body Text 2 Char"/>
    <w:basedOn w:val="DefaultParagraphFont"/>
    <w:link w:val="BodyText2"/>
    <w:uiPriority w:val="99"/>
    <w:rPr>
      <w:rFonts w:ascii="Times New Roman" w:hAnsi="Times New Roman" w:cs="Times New Roman"/>
      <w:sz w:val="24"/>
      <w:lang w:val="fr-FR"/>
    </w:r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fr-FR"/>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fr-FR"/>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fr-FR"/>
    </w:rPr>
  </w:style>
  <w:style w:type="paragraph" w:customStyle="1" w:styleId="tbl-txt2">
    <w:name w:val="tbl-txt2"/>
    <w:basedOn w:val="Normal"/>
    <w:pPr>
      <w:spacing w:before="60" w:after="60" w:line="312" w:lineRule="atLeast"/>
      <w:jc w:val="left"/>
    </w:pPr>
    <w:rPr>
      <w:rFonts w:eastAsia="Times New Roman"/>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normal2">
    <w:name w:val="normal2"/>
    <w:basedOn w:val="Normal"/>
    <w:pPr>
      <w:spacing w:after="0" w:line="312" w:lineRule="atLeas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character" w:styleId="Hyperlink">
    <w:name w:val="Hyperlink"/>
    <w:basedOn w:val="DefaultParagraphFont"/>
    <w:uiPriority w:val="99"/>
    <w:unhideWhenUsed/>
    <w:rPr>
      <w:strike w:val="0"/>
      <w:dstrike w:val="0"/>
      <w:color w:val="3366CC"/>
      <w:u w:val="none"/>
      <w:effect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odyText2">
    <w:name w:val="Body Text 2"/>
    <w:basedOn w:val="Normal"/>
    <w:link w:val="BodyText2Char"/>
    <w:uiPriority w:val="99"/>
    <w:unhideWhenUsed/>
    <w:pPr>
      <w:spacing w:line="480" w:lineRule="auto"/>
    </w:pPr>
  </w:style>
  <w:style w:type="character" w:customStyle="1" w:styleId="BodyText2Char">
    <w:name w:val="Body Text 2 Char"/>
    <w:basedOn w:val="DefaultParagraphFont"/>
    <w:link w:val="BodyText2"/>
    <w:uiPriority w:val="99"/>
    <w:rPr>
      <w:rFonts w:ascii="Times New Roman" w:hAnsi="Times New Roman" w:cs="Times New Roman"/>
      <w:sz w:val="24"/>
      <w:lang w:val="fr-FR"/>
    </w:r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fr-FR"/>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fr-FR"/>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fr-FR"/>
    </w:rPr>
  </w:style>
  <w:style w:type="paragraph" w:customStyle="1" w:styleId="tbl-txt2">
    <w:name w:val="tbl-txt2"/>
    <w:basedOn w:val="Normal"/>
    <w:pPr>
      <w:spacing w:before="60" w:after="60" w:line="312" w:lineRule="atLeast"/>
      <w:jc w:val="left"/>
    </w:pPr>
    <w:rPr>
      <w:rFonts w:eastAsia="Times New Roman"/>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50309">
      <w:bodyDiv w:val="1"/>
      <w:marLeft w:val="0"/>
      <w:marRight w:val="0"/>
      <w:marTop w:val="0"/>
      <w:marBottom w:val="0"/>
      <w:divBdr>
        <w:top w:val="none" w:sz="0" w:space="0" w:color="auto"/>
        <w:left w:val="none" w:sz="0" w:space="0" w:color="auto"/>
        <w:bottom w:val="none" w:sz="0" w:space="0" w:color="auto"/>
        <w:right w:val="none" w:sz="0" w:space="0" w:color="auto"/>
      </w:divBdr>
      <w:divsChild>
        <w:div w:id="815031961">
          <w:marLeft w:val="0"/>
          <w:marRight w:val="0"/>
          <w:marTop w:val="0"/>
          <w:marBottom w:val="0"/>
          <w:divBdr>
            <w:top w:val="none" w:sz="0" w:space="0" w:color="auto"/>
            <w:left w:val="none" w:sz="0" w:space="0" w:color="auto"/>
            <w:bottom w:val="none" w:sz="0" w:space="0" w:color="auto"/>
            <w:right w:val="none" w:sz="0" w:space="0" w:color="auto"/>
          </w:divBdr>
          <w:divsChild>
            <w:div w:id="506557403">
              <w:marLeft w:val="0"/>
              <w:marRight w:val="0"/>
              <w:marTop w:val="0"/>
              <w:marBottom w:val="0"/>
              <w:divBdr>
                <w:top w:val="none" w:sz="0" w:space="0" w:color="auto"/>
                <w:left w:val="none" w:sz="0" w:space="0" w:color="auto"/>
                <w:bottom w:val="none" w:sz="0" w:space="0" w:color="auto"/>
                <w:right w:val="none" w:sz="0" w:space="0" w:color="auto"/>
              </w:divBdr>
              <w:divsChild>
                <w:div w:id="1559976226">
                  <w:marLeft w:val="0"/>
                  <w:marRight w:val="0"/>
                  <w:marTop w:val="0"/>
                  <w:marBottom w:val="0"/>
                  <w:divBdr>
                    <w:top w:val="none" w:sz="0" w:space="0" w:color="auto"/>
                    <w:left w:val="none" w:sz="0" w:space="0" w:color="auto"/>
                    <w:bottom w:val="none" w:sz="0" w:space="0" w:color="auto"/>
                    <w:right w:val="none" w:sz="0" w:space="0" w:color="auto"/>
                  </w:divBdr>
                  <w:divsChild>
                    <w:div w:id="622536919">
                      <w:marLeft w:val="1"/>
                      <w:marRight w:val="1"/>
                      <w:marTop w:val="0"/>
                      <w:marBottom w:val="0"/>
                      <w:divBdr>
                        <w:top w:val="none" w:sz="0" w:space="0" w:color="auto"/>
                        <w:left w:val="none" w:sz="0" w:space="0" w:color="auto"/>
                        <w:bottom w:val="none" w:sz="0" w:space="0" w:color="auto"/>
                        <w:right w:val="none" w:sz="0" w:space="0" w:color="auto"/>
                      </w:divBdr>
                      <w:divsChild>
                        <w:div w:id="469136403">
                          <w:marLeft w:val="0"/>
                          <w:marRight w:val="0"/>
                          <w:marTop w:val="0"/>
                          <w:marBottom w:val="0"/>
                          <w:divBdr>
                            <w:top w:val="none" w:sz="0" w:space="0" w:color="auto"/>
                            <w:left w:val="none" w:sz="0" w:space="0" w:color="auto"/>
                            <w:bottom w:val="none" w:sz="0" w:space="0" w:color="auto"/>
                            <w:right w:val="none" w:sz="0" w:space="0" w:color="auto"/>
                          </w:divBdr>
                          <w:divsChild>
                            <w:div w:id="1607811688">
                              <w:marLeft w:val="0"/>
                              <w:marRight w:val="0"/>
                              <w:marTop w:val="0"/>
                              <w:marBottom w:val="360"/>
                              <w:divBdr>
                                <w:top w:val="none" w:sz="0" w:space="0" w:color="auto"/>
                                <w:left w:val="none" w:sz="0" w:space="0" w:color="auto"/>
                                <w:bottom w:val="none" w:sz="0" w:space="0" w:color="auto"/>
                                <w:right w:val="none" w:sz="0" w:space="0" w:color="auto"/>
                              </w:divBdr>
                              <w:divsChild>
                                <w:div w:id="183054375">
                                  <w:marLeft w:val="0"/>
                                  <w:marRight w:val="0"/>
                                  <w:marTop w:val="0"/>
                                  <w:marBottom w:val="0"/>
                                  <w:divBdr>
                                    <w:top w:val="none" w:sz="0" w:space="0" w:color="auto"/>
                                    <w:left w:val="none" w:sz="0" w:space="0" w:color="auto"/>
                                    <w:bottom w:val="none" w:sz="0" w:space="0" w:color="auto"/>
                                    <w:right w:val="none" w:sz="0" w:space="0" w:color="auto"/>
                                  </w:divBdr>
                                  <w:divsChild>
                                    <w:div w:id="220869259">
                                      <w:marLeft w:val="0"/>
                                      <w:marRight w:val="0"/>
                                      <w:marTop w:val="0"/>
                                      <w:marBottom w:val="0"/>
                                      <w:divBdr>
                                        <w:top w:val="none" w:sz="0" w:space="0" w:color="auto"/>
                                        <w:left w:val="none" w:sz="0" w:space="0" w:color="auto"/>
                                        <w:bottom w:val="none" w:sz="0" w:space="0" w:color="auto"/>
                                        <w:right w:val="none" w:sz="0" w:space="0" w:color="auto"/>
                                      </w:divBdr>
                                      <w:divsChild>
                                        <w:div w:id="1159075135">
                                          <w:marLeft w:val="0"/>
                                          <w:marRight w:val="0"/>
                                          <w:marTop w:val="0"/>
                                          <w:marBottom w:val="0"/>
                                          <w:divBdr>
                                            <w:top w:val="none" w:sz="0" w:space="0" w:color="auto"/>
                                            <w:left w:val="none" w:sz="0" w:space="0" w:color="auto"/>
                                            <w:bottom w:val="none" w:sz="0" w:space="0" w:color="auto"/>
                                            <w:right w:val="none" w:sz="0" w:space="0" w:color="auto"/>
                                          </w:divBdr>
                                          <w:divsChild>
                                            <w:div w:id="1526362478">
                                              <w:marLeft w:val="0"/>
                                              <w:marRight w:val="0"/>
                                              <w:marTop w:val="0"/>
                                              <w:marBottom w:val="0"/>
                                              <w:divBdr>
                                                <w:top w:val="none" w:sz="0" w:space="0" w:color="auto"/>
                                                <w:left w:val="none" w:sz="0" w:space="0" w:color="auto"/>
                                                <w:bottom w:val="none" w:sz="0" w:space="0" w:color="auto"/>
                                                <w:right w:val="none" w:sz="0" w:space="0" w:color="auto"/>
                                              </w:divBdr>
                                              <w:divsChild>
                                                <w:div w:id="1033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274599">
      <w:bodyDiv w:val="1"/>
      <w:marLeft w:val="0"/>
      <w:marRight w:val="0"/>
      <w:marTop w:val="0"/>
      <w:marBottom w:val="0"/>
      <w:divBdr>
        <w:top w:val="none" w:sz="0" w:space="0" w:color="auto"/>
        <w:left w:val="none" w:sz="0" w:space="0" w:color="auto"/>
        <w:bottom w:val="none" w:sz="0" w:space="0" w:color="auto"/>
        <w:right w:val="none" w:sz="0" w:space="0" w:color="auto"/>
      </w:divBdr>
    </w:div>
    <w:div w:id="1478955975">
      <w:bodyDiv w:val="1"/>
      <w:marLeft w:val="0"/>
      <w:marRight w:val="0"/>
      <w:marTop w:val="0"/>
      <w:marBottom w:val="0"/>
      <w:divBdr>
        <w:top w:val="none" w:sz="0" w:space="0" w:color="auto"/>
        <w:left w:val="none" w:sz="0" w:space="0" w:color="auto"/>
        <w:bottom w:val="none" w:sz="0" w:space="0" w:color="auto"/>
        <w:right w:val="none" w:sz="0" w:space="0" w:color="auto"/>
      </w:divBdr>
    </w:div>
    <w:div w:id="1591309591">
      <w:bodyDiv w:val="1"/>
      <w:marLeft w:val="0"/>
      <w:marRight w:val="0"/>
      <w:marTop w:val="0"/>
      <w:marBottom w:val="0"/>
      <w:divBdr>
        <w:top w:val="none" w:sz="0" w:space="0" w:color="auto"/>
        <w:left w:val="none" w:sz="0" w:space="0" w:color="auto"/>
        <w:bottom w:val="none" w:sz="0" w:space="0" w:color="auto"/>
        <w:right w:val="none" w:sz="0" w:space="0" w:color="auto"/>
      </w:divBdr>
    </w:div>
    <w:div w:id="21456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N/TXT/?qid=1456390591675&amp;uri=CELEX:32009L00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r-lex.europa.eu/legal-content/FR/TXT/?qid=1456392905811&amp;uri=CELEX:31996L00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894C9-4F7A-4DF1-AEB4-C097CA6F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13</Pages>
  <Words>3366</Words>
  <Characters>21006</Characters>
  <Application>Microsoft Office Word</Application>
  <DocSecurity>0</DocSecurity>
  <Lines>617</Lines>
  <Paragraphs>186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BARTH Carmen (SG)</cp:lastModifiedBy>
  <cp:revision>8</cp:revision>
  <cp:lastPrinted>2015-11-18T11:29:00Z</cp:lastPrinted>
  <dcterms:created xsi:type="dcterms:W3CDTF">2016-02-26T09:30:00Z</dcterms:created>
  <dcterms:modified xsi:type="dcterms:W3CDTF">2016-03-11T13:08:00Z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