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F715572B5DB4537A59BEACDD2F039AD" style="width:450.45pt;height:397.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 Proposal for a</w:t>
      </w:r>
    </w:p>
    <w:p>
      <w:pPr>
        <w:pStyle w:val="Typeacteprincipal"/>
        <w:rPr>
          <w:noProof/>
        </w:rPr>
      </w:pPr>
      <w:r>
        <w:rPr>
          <w:noProof/>
        </w:rPr>
        <w:t>Council Decision</w:t>
      </w:r>
    </w:p>
    <w:p>
      <w:pPr>
        <w:pStyle w:val="Objetacteprincipal"/>
        <w:rPr>
          <w:noProof/>
        </w:rPr>
      </w:pPr>
      <w:r>
        <w:rPr>
          <w:noProof/>
        </w:rPr>
        <w:t>on the position to be adopted, on behalf of the European Union, regarding draft Decision No 1/2016 of the Joint Committee established under the Interbus Agreement on the international occasional carriage of passengers by coach and bus</w:t>
      </w:r>
    </w:p>
    <w:p>
      <w:pPr>
        <w:pStyle w:val="Objetacteprincipal"/>
        <w:rPr>
          <w:noProof/>
        </w:rPr>
      </w:pPr>
    </w:p>
    <w:p>
      <w:pPr>
        <w:pStyle w:val="Titreobjet"/>
        <w:rPr>
          <w:noProof/>
        </w:rPr>
      </w:pPr>
      <w:r>
        <w:rPr>
          <w:noProof/>
        </w:rPr>
        <w:t>DRAFT DECISION No 1/2016 OF THE JOINT COMMITTEE ESTABLISHED UNDER THE INTERBUS AGREEMENT ON THE INTERNATIONAL OCCASIONAL CARRIAGE OF PASSENGERS BY COACH AND BUS</w:t>
      </w:r>
    </w:p>
    <w:p>
      <w:pPr>
        <w:pStyle w:val="Date"/>
        <w:jc w:val="center"/>
        <w:rPr>
          <w:b/>
          <w:noProof/>
        </w:rPr>
      </w:pPr>
      <w:r>
        <w:rPr>
          <w:b/>
          <w:noProof/>
        </w:rPr>
        <w:t>of [</w:t>
      </w:r>
      <w:r>
        <w:rPr>
          <w:b/>
          <w:noProof/>
          <w:highlight w:val="yellow"/>
        </w:rPr>
        <w:t>ADD DATE</w:t>
      </w:r>
      <w:r>
        <w:rPr>
          <w:b/>
          <w:noProof/>
        </w:rPr>
        <w:t>]</w:t>
      </w:r>
    </w:p>
    <w:p>
      <w:pPr>
        <w:pStyle w:val="Sous-titreobjet"/>
        <w:rPr>
          <w:noProof/>
        </w:rPr>
      </w:pPr>
      <w:r>
        <w:rPr>
          <w:noProof/>
        </w:rPr>
        <w:t>adapting Article 8 of the Agreement and Annexes 1, 2, 3 and 5 to the Agreement, and repealing Recommendation No 1/2011</w:t>
      </w:r>
    </w:p>
    <w:p>
      <w:pPr>
        <w:pStyle w:val="Institutionquiagit"/>
        <w:rPr>
          <w:noProof/>
        </w:rPr>
      </w:pPr>
      <w:r>
        <w:rPr>
          <w:noProof/>
        </w:rPr>
        <w:t xml:space="preserve">THE JOINT COMMITTEE, </w:t>
      </w:r>
    </w:p>
    <w:p>
      <w:pPr>
        <w:rPr>
          <w:noProof/>
        </w:rPr>
      </w:pPr>
    </w:p>
    <w:p>
      <w:pPr>
        <w:rPr>
          <w:noProof/>
        </w:rPr>
      </w:pPr>
      <w:r>
        <w:rPr>
          <w:noProof/>
        </w:rPr>
        <w:t>Having regard to the Interbus Agreement on the international occasional carriage of passengers by coach and bus</w:t>
      </w:r>
      <w:r>
        <w:rPr>
          <w:rStyle w:val="FootnoteReference"/>
          <w:noProof/>
        </w:rPr>
        <w:footnoteReference w:id="1"/>
      </w:r>
      <w:r>
        <w:rPr>
          <w:noProof/>
        </w:rPr>
        <w:t>, and in particular Article 24 thereof,</w:t>
      </w:r>
    </w:p>
    <w:p>
      <w:pPr>
        <w:rPr>
          <w:noProof/>
        </w:rPr>
      </w:pPr>
    </w:p>
    <w:p>
      <w:pPr>
        <w:rPr>
          <w:noProof/>
          <w:color w:val="000000"/>
        </w:rPr>
      </w:pPr>
      <w:r>
        <w:rPr>
          <w:noProof/>
        </w:rPr>
        <w:t>Whereas</w:t>
      </w:r>
      <w:r>
        <w:rPr>
          <w:noProof/>
          <w:color w:val="000000"/>
        </w:rPr>
        <w:t xml:space="preserve">: </w:t>
      </w:r>
    </w:p>
    <w:p>
      <w:pPr>
        <w:rPr>
          <w:noProof/>
          <w:color w:val="000000"/>
        </w:rPr>
      </w:pPr>
    </w:p>
    <w:p>
      <w:pPr>
        <w:pStyle w:val="Considrant"/>
        <w:numPr>
          <w:ilvl w:val="0"/>
          <w:numId w:val="1"/>
        </w:numPr>
        <w:rPr>
          <w:noProof/>
        </w:rPr>
      </w:pPr>
      <w:r>
        <w:rPr>
          <w:noProof/>
        </w:rPr>
        <w:t>Article 23 of the Interbus Agreement establishes a Joint Committee in order to facilitate the management of the Agreement.</w:t>
      </w:r>
    </w:p>
    <w:p>
      <w:pPr>
        <w:pStyle w:val="Considrant"/>
        <w:rPr>
          <w:noProof/>
          <w:color w:val="000000"/>
        </w:rPr>
      </w:pPr>
      <w:r>
        <w:rPr>
          <w:noProof/>
          <w:color w:val="000000"/>
        </w:rPr>
        <w:t>The last update of Union legislation in the Interbus Agreement, which was introduced by Decision No 1/2011 of the Joint Committee</w:t>
      </w:r>
      <w:r>
        <w:rPr>
          <w:rStyle w:val="FootnoteReference"/>
          <w:noProof/>
          <w:color w:val="000000"/>
        </w:rPr>
        <w:footnoteReference w:id="2"/>
      </w:r>
      <w:r>
        <w:rPr>
          <w:noProof/>
          <w:color w:val="000000"/>
        </w:rPr>
        <w:t>, takes into account Union acts adopted until the end of 2009. It is now timely to incorporate new measures that the Union has adopted since then.</w:t>
      </w:r>
    </w:p>
    <w:p>
      <w:pPr>
        <w:pStyle w:val="Considrant"/>
        <w:rPr>
          <w:noProof/>
          <w:color w:val="000000"/>
        </w:rPr>
      </w:pPr>
      <w:r>
        <w:rPr>
          <w:noProof/>
          <w:color w:val="000000"/>
        </w:rPr>
        <w:t xml:space="preserve">In accordance with point (b) of Article 24(2) of the Interbus Agreement, the Joint Committee amends or adapts control documents and other models of documents established in the Annexes to the Agreement. In order to incorporate future measures taken within the Union, and in accordance with point (c) of Article 24(2) of the Interbus Agreement, the Joint Committee amends or adapts the Annexes concerning technical standards applying to buses and coaches as well as Annex 1 regarding the conditions applying to road passenger transport operators. In accordance with point (e) </w:t>
      </w:r>
      <w:r>
        <w:rPr>
          <w:noProof/>
          <w:color w:val="000000"/>
        </w:rPr>
        <w:lastRenderedPageBreak/>
        <w:t>of Article 24(2) of the Interbus Agreement, the Joint Committee also amends or adapts the requirements concerning the social provisions. To this end the Joint Committee should act when the Agreement needs to be updated to technical and legislative progress.</w:t>
      </w:r>
    </w:p>
    <w:p>
      <w:pPr>
        <w:pStyle w:val="Considrant"/>
        <w:rPr>
          <w:noProof/>
        </w:rPr>
      </w:pPr>
      <w:r>
        <w:rPr>
          <w:noProof/>
        </w:rPr>
        <w:t>Recommendation No 1/2011 of the Joint Committee</w:t>
      </w:r>
      <w:r>
        <w:rPr>
          <w:rStyle w:val="FootnoteReference"/>
          <w:noProof/>
        </w:rPr>
        <w:footnoteReference w:id="3"/>
      </w:r>
      <w:r>
        <w:rPr>
          <w:noProof/>
        </w:rPr>
        <w:t xml:space="preserve"> sets out a technical report used for roadside checks of coaches and buses. It has become outdated and should therefore be repealed,</w:t>
      </w:r>
    </w:p>
    <w:p>
      <w:pPr>
        <w:rPr>
          <w:noProof/>
          <w:color w:val="000000"/>
        </w:rPr>
      </w:pPr>
    </w:p>
    <w:p>
      <w:pPr>
        <w:pStyle w:val="Formuledadoption"/>
        <w:rPr>
          <w:noProof/>
        </w:rPr>
      </w:pPr>
      <w:r>
        <w:rPr>
          <w:noProof/>
        </w:rPr>
        <w:t xml:space="preserve">HAS ADOPTED THIS DECISION: </w:t>
      </w:r>
    </w:p>
    <w:p>
      <w:pPr>
        <w:rPr>
          <w:noProof/>
        </w:rPr>
      </w:pPr>
    </w:p>
    <w:p>
      <w:pPr>
        <w:pStyle w:val="Titrearticle"/>
        <w:rPr>
          <w:noProof/>
        </w:rPr>
      </w:pPr>
      <w:r>
        <w:rPr>
          <w:noProof/>
        </w:rPr>
        <w:t>Article 1</w:t>
      </w:r>
    </w:p>
    <w:p>
      <w:pPr>
        <w:rPr>
          <w:noProof/>
          <w:color w:val="000000"/>
        </w:rPr>
      </w:pPr>
      <w:r>
        <w:rPr>
          <w:noProof/>
        </w:rPr>
        <w:t>The</w:t>
      </w:r>
      <w:r>
        <w:rPr>
          <w:noProof/>
          <w:color w:val="000000"/>
        </w:rPr>
        <w:t xml:space="preserve"> requirements concerning the social provisions referred to in Article 8 of the Agreement, the conditions applying to road passenger transport operators set out in Annex 1 to the Agreement, the technical standards applying to buses and coaches set out in Annex 2 to the Agreement, </w:t>
      </w:r>
      <w:r>
        <w:rPr>
          <w:noProof/>
        </w:rPr>
        <w:t>the model of control docu</w:t>
      </w:r>
      <w:r>
        <w:rPr>
          <w:bCs/>
          <w:noProof/>
        </w:rPr>
        <w:t>ment for occasional services exempted from authorisation</w:t>
      </w:r>
      <w:r>
        <w:rPr>
          <w:noProof/>
        </w:rPr>
        <w:t xml:space="preserve"> set out in </w:t>
      </w:r>
      <w:r>
        <w:rPr>
          <w:noProof/>
          <w:color w:val="000000"/>
        </w:rPr>
        <w:t xml:space="preserve">Annex 3 to the Agreement, </w:t>
      </w:r>
      <w:r>
        <w:rPr>
          <w:bCs/>
          <w:noProof/>
          <w:color w:val="000000"/>
        </w:rPr>
        <w:t>the model of authorisation for non-liberalised occasional services</w:t>
      </w:r>
      <w:r>
        <w:rPr>
          <w:noProof/>
          <w:color w:val="000000"/>
        </w:rPr>
        <w:t xml:space="preserve"> and the model declaration </w:t>
      </w:r>
      <w:r>
        <w:rPr>
          <w:noProof/>
        </w:rPr>
        <w:t xml:space="preserve">set out in </w:t>
      </w:r>
      <w:r>
        <w:rPr>
          <w:bCs/>
          <w:noProof/>
        </w:rPr>
        <w:t xml:space="preserve">Annex 5 to the Agreement, </w:t>
      </w:r>
      <w:r>
        <w:rPr>
          <w:noProof/>
          <w:color w:val="000000"/>
        </w:rPr>
        <w:t>are adapted as set out in the Annex to this Decision.</w:t>
      </w:r>
    </w:p>
    <w:p>
      <w:pPr>
        <w:rPr>
          <w:noProof/>
          <w:color w:val="000000"/>
        </w:rPr>
      </w:pPr>
    </w:p>
    <w:p>
      <w:pPr>
        <w:pStyle w:val="Titrearticle"/>
        <w:rPr>
          <w:noProof/>
        </w:rPr>
      </w:pPr>
      <w:r>
        <w:rPr>
          <w:noProof/>
        </w:rPr>
        <w:t>Article 2</w:t>
      </w:r>
    </w:p>
    <w:p>
      <w:pPr>
        <w:rPr>
          <w:noProof/>
          <w:color w:val="000000"/>
        </w:rPr>
      </w:pPr>
      <w:r>
        <w:rPr>
          <w:noProof/>
          <w:color w:val="000000"/>
        </w:rPr>
        <w:t>Recommendation No 1/2011 of the Joint Committee is repealed.</w:t>
      </w:r>
    </w:p>
    <w:p>
      <w:pPr>
        <w:rPr>
          <w:noProof/>
          <w:color w:val="000000"/>
        </w:rPr>
      </w:pPr>
    </w:p>
    <w:p>
      <w:pPr>
        <w:pStyle w:val="Titrearticle"/>
        <w:rPr>
          <w:noProof/>
        </w:rPr>
      </w:pPr>
      <w:r>
        <w:rPr>
          <w:noProof/>
        </w:rPr>
        <w:t>Article 3</w:t>
      </w:r>
    </w:p>
    <w:p>
      <w:pPr>
        <w:rPr>
          <w:noProof/>
          <w:color w:val="000000"/>
        </w:rPr>
      </w:pPr>
      <w:r>
        <w:rPr>
          <w:noProof/>
          <w:color w:val="000000"/>
        </w:rPr>
        <w:t xml:space="preserve">This Decision shall enter into force </w:t>
      </w:r>
      <w:r>
        <w:rPr>
          <w:noProof/>
        </w:rPr>
        <w:t>on [</w:t>
      </w:r>
      <w:r>
        <w:rPr>
          <w:noProof/>
          <w:highlight w:val="yellow"/>
        </w:rPr>
        <w:t>ADD DATE</w:t>
      </w:r>
      <w:r>
        <w:rPr>
          <w:noProof/>
        </w:rPr>
        <w:t>].</w:t>
      </w:r>
    </w:p>
    <w:p>
      <w:pPr>
        <w:rPr>
          <w:noProof/>
          <w:color w:val="000000"/>
        </w:rPr>
      </w:pPr>
    </w:p>
    <w:p>
      <w:pPr>
        <w:rPr>
          <w:noProof/>
          <w:color w:val="000000"/>
        </w:rPr>
      </w:pPr>
    </w:p>
    <w:p>
      <w:pPr>
        <w:pStyle w:val="Fait"/>
        <w:rPr>
          <w:noProof/>
        </w:rPr>
      </w:pPr>
      <w:r>
        <w:rPr>
          <w:noProof/>
        </w:rPr>
        <w:t>Done at Brussels, [</w:t>
      </w:r>
      <w:r>
        <w:rPr>
          <w:noProof/>
          <w:highlight w:val="yellow"/>
        </w:rPr>
        <w:t>ADD DATE</w:t>
      </w:r>
      <w:r>
        <w:rPr>
          <w:noProof/>
        </w:rPr>
        <w:t xml:space="preserve">]. </w:t>
      </w:r>
    </w:p>
    <w:p>
      <w:pPr>
        <w:rPr>
          <w:noProof/>
          <w:color w:val="000000"/>
        </w:rPr>
      </w:pPr>
    </w:p>
    <w:p>
      <w:pPr>
        <w:rPr>
          <w:noProof/>
          <w:color w:val="000000"/>
        </w:rPr>
      </w:pPr>
    </w:p>
    <w:p>
      <w:pPr>
        <w:rPr>
          <w:noProof/>
          <w:color w:val="000000"/>
        </w:rPr>
      </w:pPr>
    </w:p>
    <w:p>
      <w:pPr>
        <w:rPr>
          <w:noProof/>
          <w:color w:val="000000"/>
        </w:rPr>
      </w:pPr>
      <w:r>
        <w:rPr>
          <w:noProof/>
          <w:color w:val="000000"/>
        </w:rPr>
        <w:tab/>
      </w:r>
      <w:r>
        <w:rPr>
          <w:noProof/>
          <w:color w:val="000000"/>
        </w:rPr>
        <w:tab/>
      </w:r>
      <w:r>
        <w:rPr>
          <w:noProof/>
          <w:color w:val="000000"/>
        </w:rPr>
        <w:tab/>
      </w:r>
      <w:r>
        <w:rPr>
          <w:noProof/>
          <w:color w:val="000000"/>
        </w:rPr>
        <w:tab/>
        <w:t>For the Joint Committee</w:t>
      </w:r>
    </w:p>
    <w:p>
      <w:pPr>
        <w:rPr>
          <w:noProof/>
          <w:color w:val="000000"/>
        </w:rPr>
      </w:pPr>
    </w:p>
    <w:p>
      <w:pPr>
        <w:rPr>
          <w:noProof/>
          <w:color w:val="000000"/>
        </w:rPr>
      </w:pPr>
    </w:p>
    <w:p>
      <w:pPr>
        <w:rPr>
          <w:noProof/>
          <w:color w:val="000000"/>
        </w:rPr>
      </w:pPr>
    </w:p>
    <w:p>
      <w:pPr>
        <w:rPr>
          <w:i/>
          <w:iCs/>
          <w:noProof/>
          <w:color w:val="000000"/>
        </w:rPr>
      </w:pPr>
      <w:r>
        <w:rPr>
          <w:i/>
          <w:iCs/>
          <w:noProof/>
          <w:color w:val="000000"/>
        </w:rPr>
        <w:lastRenderedPageBreak/>
        <w:t xml:space="preserve">The Chairman </w:t>
      </w:r>
      <w:r>
        <w:rPr>
          <w:i/>
          <w:iCs/>
          <w:noProof/>
          <w:color w:val="000000"/>
        </w:rPr>
        <w:tab/>
      </w:r>
      <w:r>
        <w:rPr>
          <w:i/>
          <w:iCs/>
          <w:noProof/>
          <w:color w:val="000000"/>
        </w:rPr>
        <w:tab/>
      </w:r>
      <w:r>
        <w:rPr>
          <w:i/>
          <w:iCs/>
          <w:noProof/>
          <w:color w:val="000000"/>
        </w:rPr>
        <w:tab/>
      </w:r>
      <w:r>
        <w:rPr>
          <w:i/>
          <w:iCs/>
          <w:noProof/>
          <w:color w:val="000000"/>
        </w:rPr>
        <w:tab/>
      </w:r>
      <w:r>
        <w:rPr>
          <w:i/>
          <w:iCs/>
          <w:noProof/>
          <w:color w:val="000000"/>
        </w:rPr>
        <w:tab/>
      </w:r>
      <w:r>
        <w:rPr>
          <w:i/>
          <w:iCs/>
          <w:noProof/>
          <w:color w:val="000000"/>
        </w:rPr>
        <w:tab/>
      </w:r>
      <w:r>
        <w:rPr>
          <w:i/>
          <w:iCs/>
          <w:noProof/>
          <w:color w:val="000000"/>
        </w:rPr>
        <w:tab/>
        <w:t>The Secretary</w:t>
      </w:r>
    </w:p>
    <w:p>
      <w:pPr>
        <w:rPr>
          <w:noProof/>
          <w:sz w:val="21"/>
          <w:szCs w:val="21"/>
        </w:rPr>
        <w:sectPr>
          <w:footerReference w:type="default" r:id="rId16"/>
          <w:footerReference w:type="first" r:id="rId17"/>
          <w:pgSz w:w="11907" w:h="16839"/>
          <w:pgMar w:top="1134" w:right="1417" w:bottom="1134" w:left="1417" w:header="709" w:footer="709" w:gutter="0"/>
          <w:cols w:space="720"/>
          <w:docGrid w:linePitch="360"/>
        </w:sectPr>
      </w:pPr>
    </w:p>
    <w:p>
      <w:pPr>
        <w:jc w:val="center"/>
        <w:rPr>
          <w:noProof/>
        </w:rPr>
      </w:pPr>
      <w:r>
        <w:rPr>
          <w:noProof/>
        </w:rPr>
        <w:lastRenderedPageBreak/>
        <w:t>Annex</w:t>
      </w:r>
    </w:p>
    <w:p>
      <w:pPr>
        <w:pStyle w:val="Default"/>
        <w:rPr>
          <w:rFonts w:cs="Times New Roman"/>
          <w:noProof/>
        </w:rPr>
      </w:pPr>
    </w:p>
    <w:p>
      <w:pPr>
        <w:pStyle w:val="CM4"/>
        <w:spacing w:before="60" w:after="60"/>
        <w:jc w:val="center"/>
        <w:rPr>
          <w:rFonts w:cs="Times New Roman"/>
          <w:noProof/>
          <w:color w:val="000000"/>
        </w:rPr>
      </w:pPr>
      <w:r>
        <w:rPr>
          <w:rFonts w:cs="Times New Roman"/>
          <w:b/>
          <w:bCs/>
          <w:noProof/>
          <w:color w:val="000000"/>
        </w:rPr>
        <w:t>Adaptation of Article 8 of the Agreement regarding social provisions, Annex 1 to the Agreement regarding the conditions applying to road passenger transport operators, Annex 2 to the Agreement concerning the technical standards applying to buses and coaches, Annex 3 regarding the model of control document for occasional services exempted from authorisation, Annex 5 regarding the model of authorisation for non-liberalised occasional services and the model declaration</w:t>
      </w:r>
      <w:r>
        <w:rPr>
          <w:rFonts w:cs="Times New Roman"/>
          <w:b/>
          <w:noProof/>
          <w:color w:val="000000"/>
        </w:rPr>
        <w:t>.</w:t>
      </w:r>
      <w:r>
        <w:rPr>
          <w:rStyle w:val="FootnoteReference"/>
          <w:rFonts w:cs="Times New Roman"/>
          <w:b/>
          <w:noProof/>
          <w:color w:val="000000"/>
        </w:rPr>
        <w:footnoteReference w:id="4"/>
      </w:r>
    </w:p>
    <w:p>
      <w:pPr>
        <w:pStyle w:val="Default"/>
        <w:rPr>
          <w:rFonts w:cs="Times New Roman"/>
          <w:noProof/>
        </w:rPr>
      </w:pPr>
    </w:p>
    <w:p>
      <w:pPr>
        <w:pStyle w:val="Default"/>
        <w:rPr>
          <w:rFonts w:cs="Times New Roman"/>
          <w:noProof/>
        </w:rPr>
      </w:pPr>
    </w:p>
    <w:p>
      <w:pPr>
        <w:pStyle w:val="Default"/>
        <w:jc w:val="both"/>
        <w:rPr>
          <w:rFonts w:cs="Times New Roman"/>
          <w:i/>
          <w:noProof/>
        </w:rPr>
      </w:pPr>
      <w:r>
        <w:rPr>
          <w:rFonts w:cs="Times New Roman"/>
          <w:i/>
          <w:noProof/>
        </w:rPr>
        <w:t>1. Adaptation of Article 8 of the Agreement regarding social provisions</w:t>
      </w:r>
    </w:p>
    <w:p>
      <w:pPr>
        <w:pStyle w:val="Default"/>
        <w:rPr>
          <w:rFonts w:cs="Times New Roman"/>
          <w:noProof/>
        </w:rPr>
      </w:pPr>
    </w:p>
    <w:p>
      <w:pPr>
        <w:pStyle w:val="Default"/>
        <w:jc w:val="both"/>
        <w:rPr>
          <w:rFonts w:cs="Times New Roman"/>
          <w:noProof/>
          <w:u w:val="single"/>
        </w:rPr>
      </w:pPr>
      <w:r>
        <w:rPr>
          <w:rFonts w:cs="Times New Roman"/>
          <w:noProof/>
          <w:u w:val="single"/>
        </w:rPr>
        <w:t>In Article 8, the list of Union acts is amended as follows:</w:t>
      </w:r>
    </w:p>
    <w:p>
      <w:pPr>
        <w:pStyle w:val="Default"/>
        <w:jc w:val="both"/>
        <w:rPr>
          <w:rFonts w:cs="Times New Roman"/>
          <w:noProof/>
        </w:rPr>
      </w:pPr>
    </w:p>
    <w:p>
      <w:pPr>
        <w:pStyle w:val="Default"/>
        <w:jc w:val="both"/>
        <w:rPr>
          <w:rFonts w:cs="Times New Roman"/>
          <w:noProof/>
          <w:u w:val="single"/>
        </w:rPr>
      </w:pPr>
      <w:r>
        <w:rPr>
          <w:rFonts w:cs="Times New Roman"/>
          <w:noProof/>
          <w:u w:val="single"/>
        </w:rPr>
        <w:t>(a) the reference to Council Regulation (EEC) 3821/85 is replaced by the following:</w:t>
      </w:r>
    </w:p>
    <w:p>
      <w:pPr>
        <w:pStyle w:val="Default"/>
        <w:jc w:val="both"/>
        <w:rPr>
          <w:rFonts w:cs="Times New Roman"/>
          <w:noProof/>
          <w:u w:val="single"/>
        </w:rPr>
      </w:pPr>
    </w:p>
    <w:p>
      <w:pPr>
        <w:pStyle w:val="Default"/>
        <w:ind w:left="720" w:hanging="720"/>
        <w:jc w:val="both"/>
        <w:rPr>
          <w:noProof/>
        </w:rPr>
      </w:pPr>
      <w:r>
        <w:rPr>
          <w:noProof/>
        </w:rPr>
        <w:t>'—</w:t>
      </w:r>
      <w:r>
        <w:rPr>
          <w:noProof/>
        </w:rPr>
        <w:tab/>
        <w:t>Council Regulation (EEC) No 3821/85 of 20 December 1985 on recording equipment in road transport (OJ L 370, 31.12.1985, p. 8), as last amended by Commission Regulation (EU) No 1161/2014 of 30 October 2014 (OJ L 311, 31.10.2014, p. 19), which shall apply until Regulation (EU) No 165/2014 of the European Parliament and of the Council of 4 February 2014 (OJ L 60, 28.2.2014, p. 1) becomes applicable.</w:t>
      </w:r>
    </w:p>
    <w:p>
      <w:pPr>
        <w:pStyle w:val="Default"/>
        <w:ind w:left="720" w:hanging="720"/>
        <w:jc w:val="both"/>
        <w:rPr>
          <w:noProof/>
        </w:rPr>
      </w:pPr>
    </w:p>
    <w:p>
      <w:pPr>
        <w:pStyle w:val="Default"/>
        <w:ind w:left="720"/>
        <w:jc w:val="both"/>
        <w:rPr>
          <w:rFonts w:eastAsia="Times New Roman"/>
          <w:noProof/>
          <w:lang w:eastAsia="en-GB"/>
        </w:rPr>
      </w:pPr>
      <w:r>
        <w:rPr>
          <w:noProof/>
        </w:rPr>
        <w:t>Instead of Council Regulation (EEC) No 3821/85, equivalent rules established by the AETR Agreement including its Protocols may be applied,';</w:t>
      </w:r>
    </w:p>
    <w:p>
      <w:pPr>
        <w:pStyle w:val="Default"/>
        <w:jc w:val="both"/>
        <w:rPr>
          <w:rFonts w:cs="Times New Roman"/>
          <w:noProof/>
        </w:rPr>
      </w:pPr>
    </w:p>
    <w:p>
      <w:pPr>
        <w:pStyle w:val="Default"/>
        <w:jc w:val="both"/>
        <w:rPr>
          <w:rFonts w:cs="Times New Roman"/>
          <w:noProof/>
          <w:u w:val="single"/>
        </w:rPr>
      </w:pPr>
      <w:r>
        <w:rPr>
          <w:rFonts w:cs="Times New Roman"/>
          <w:noProof/>
          <w:u w:val="single"/>
        </w:rPr>
        <w:t>(b) the following Union act is added:</w:t>
      </w:r>
    </w:p>
    <w:p>
      <w:pPr>
        <w:pStyle w:val="Default"/>
        <w:jc w:val="both"/>
        <w:rPr>
          <w:rFonts w:cs="Times New Roman"/>
          <w:noProof/>
          <w:u w:val="single"/>
        </w:rPr>
      </w:pPr>
    </w:p>
    <w:p>
      <w:pPr>
        <w:pStyle w:val="Default"/>
        <w:ind w:left="720" w:hanging="720"/>
        <w:jc w:val="both"/>
        <w:rPr>
          <w:noProof/>
        </w:rPr>
      </w:pPr>
      <w:r>
        <w:rPr>
          <w:noProof/>
        </w:rPr>
        <w:t>'—</w:t>
      </w:r>
      <w:r>
        <w:rPr>
          <w:noProof/>
        </w:rPr>
        <w:tab/>
        <w:t>Regulation (EU) No 165/2014 of the European Parliament and of the Council of 4 February 2014 on tachographs in road transport, repealing Council Regulation (EEC) No 3821/85 on recording equipment in road transport and amending Regulation (EC) No 561/2006 of the European Parliament and of the Council on the harmonisation of certain social legislation relating to road transport (OJ L 60, 28.2.2014, p. 1), which shall apply from the date the implementing acts referred to in Article 46 thereof become applicable.</w:t>
      </w:r>
    </w:p>
    <w:p>
      <w:pPr>
        <w:pStyle w:val="Default"/>
        <w:jc w:val="both"/>
        <w:rPr>
          <w:rFonts w:cs="Times New Roman"/>
          <w:noProof/>
          <w:color w:val="000000" w:themeColor="text1"/>
        </w:rPr>
      </w:pPr>
    </w:p>
    <w:p>
      <w:pPr>
        <w:pStyle w:val="Default"/>
        <w:ind w:left="720"/>
        <w:jc w:val="both"/>
        <w:rPr>
          <w:rFonts w:cs="Times New Roman"/>
          <w:noProof/>
          <w:color w:val="000000" w:themeColor="text1"/>
        </w:rPr>
      </w:pPr>
      <w:r>
        <w:rPr>
          <w:noProof/>
        </w:rPr>
        <w:t>Instead of Council Regulation (EU) No 165/2014, equivalent rules established by the AETR Agreement including its Protocols may be applied.'.</w:t>
      </w:r>
    </w:p>
    <w:p>
      <w:pPr>
        <w:pStyle w:val="Default"/>
        <w:jc w:val="both"/>
        <w:rPr>
          <w:rFonts w:cs="Times New Roman"/>
          <w:noProof/>
          <w:color w:val="000000" w:themeColor="text1"/>
        </w:rPr>
      </w:pPr>
    </w:p>
    <w:p>
      <w:pPr>
        <w:pStyle w:val="Default"/>
        <w:jc w:val="both"/>
        <w:rPr>
          <w:rFonts w:cs="Times New Roman"/>
          <w:i/>
          <w:noProof/>
        </w:rPr>
      </w:pPr>
      <w:r>
        <w:rPr>
          <w:rFonts w:cs="Times New Roman"/>
          <w:i/>
          <w:noProof/>
        </w:rPr>
        <w:t xml:space="preserve">2. Adaptation of Annex 1 to the Agreement on the conditions applying to road passenger transport operators </w:t>
      </w:r>
    </w:p>
    <w:p>
      <w:pPr>
        <w:pStyle w:val="Default"/>
        <w:jc w:val="both"/>
        <w:rPr>
          <w:rFonts w:cs="Times New Roman"/>
          <w:noProof/>
        </w:rPr>
      </w:pPr>
    </w:p>
    <w:p>
      <w:pPr>
        <w:pStyle w:val="Default"/>
        <w:jc w:val="both"/>
        <w:rPr>
          <w:rFonts w:cs="Times New Roman"/>
          <w:noProof/>
          <w:u w:val="single"/>
        </w:rPr>
      </w:pPr>
      <w:r>
        <w:rPr>
          <w:rFonts w:cs="Times New Roman"/>
          <w:noProof/>
          <w:u w:val="single"/>
        </w:rPr>
        <w:t>In Annex 1, the list of Union acts is replaced by the following:</w:t>
      </w:r>
    </w:p>
    <w:p>
      <w:pPr>
        <w:pStyle w:val="Default"/>
        <w:jc w:val="both"/>
        <w:rPr>
          <w:rFonts w:cs="Times New Roman"/>
          <w:noProof/>
        </w:rPr>
      </w:pPr>
    </w:p>
    <w:p>
      <w:pPr>
        <w:pStyle w:val="Default"/>
        <w:ind w:left="720"/>
        <w:jc w:val="both"/>
        <w:rPr>
          <w:rFonts w:eastAsia="Times New Roman" w:cs="Times New Roman"/>
          <w:noProof/>
          <w:lang w:eastAsia="en-GB"/>
        </w:rPr>
      </w:pPr>
      <w:r>
        <w:rPr>
          <w:rFonts w:eastAsia="Times New Roman" w:cs="Times New Roman"/>
          <w:noProof/>
          <w:lang w:eastAsia="en-GB"/>
        </w:rPr>
        <w:t xml:space="preserve">'Regulation (EC) No 561/2006 of the European Parliament and of the Council of 15 March 2006 on the harmonisation of certain social legislation relating to road transport </w:t>
      </w:r>
      <w:r>
        <w:rPr>
          <w:rFonts w:eastAsia="Times New Roman" w:cs="Times New Roman"/>
          <w:noProof/>
          <w:lang w:eastAsia="en-GB"/>
        </w:rPr>
        <w:lastRenderedPageBreak/>
        <w:t xml:space="preserve">and amending Council Regulations (EEC) No 3821/85 and (EC) No 2135/98 and repealing Council Regulation (EEC) No 3820/85 (OJ L 102, 11.4.2016, p. 1), </w:t>
      </w:r>
      <w:r>
        <w:rPr>
          <w:rFonts w:cs="Times New Roman"/>
          <w:noProof/>
        </w:rPr>
        <w:t>as last amended by Regulation (EU) No 165/2014 of the European Parliament and of the Council of 4 February 2014 (OJ L 60, 28.2.2014, p. 1);</w:t>
      </w:r>
    </w:p>
    <w:p>
      <w:pPr>
        <w:pStyle w:val="Default"/>
        <w:ind w:left="720"/>
        <w:jc w:val="both"/>
        <w:rPr>
          <w:rFonts w:eastAsia="Times New Roman" w:cs="Times New Roman"/>
          <w:noProof/>
          <w:lang w:eastAsia="en-GB"/>
        </w:rPr>
      </w:pPr>
    </w:p>
    <w:p>
      <w:pPr>
        <w:pStyle w:val="Default"/>
        <w:ind w:left="720"/>
        <w:jc w:val="both"/>
        <w:rPr>
          <w:rFonts w:cs="Times New Roman"/>
          <w:noProof/>
        </w:rPr>
      </w:pPr>
      <w:r>
        <w:rPr>
          <w:rFonts w:cs="Times New Roman"/>
          <w:noProof/>
        </w:rPr>
        <w:t xml:space="preserve">Regulation (EC) No 1071/2009 of the European Parliament and of the Council of 21 October 2009 establishing common rules concerning the conditions to be complied with to pursue the occupation of road transport operator and repealing Council Directive 96/26/EC (OJ L 300, 14.11.2009, p. 51), as last amended by </w:t>
      </w:r>
      <w:r>
        <w:rPr>
          <w:rFonts w:eastAsia="Times New Roman" w:cs="Times New Roman"/>
          <w:noProof/>
          <w:color w:val="auto"/>
          <w:lang w:eastAsia="en-GB"/>
        </w:rPr>
        <w:t>Council Regulation (EU) No 517/2013 of 13 May 2013 (O</w:t>
      </w:r>
      <w:r>
        <w:rPr>
          <w:rFonts w:cs="Times New Roman"/>
          <w:noProof/>
        </w:rPr>
        <w:t>J L 158, 10.6.2013, p. 1);</w:t>
      </w:r>
    </w:p>
    <w:p>
      <w:pPr>
        <w:pStyle w:val="Default"/>
        <w:ind w:left="720"/>
        <w:jc w:val="both"/>
        <w:rPr>
          <w:rFonts w:cs="Times New Roman"/>
          <w:noProof/>
        </w:rPr>
      </w:pPr>
    </w:p>
    <w:p>
      <w:pPr>
        <w:pStyle w:val="Default"/>
        <w:ind w:left="720"/>
        <w:jc w:val="both"/>
        <w:rPr>
          <w:rFonts w:eastAsia="Times New Roman" w:cs="Times New Roman"/>
          <w:noProof/>
          <w:color w:val="auto"/>
          <w:lang w:eastAsia="en-GB"/>
        </w:rPr>
      </w:pPr>
      <w:r>
        <w:rPr>
          <w:rFonts w:eastAsia="Times New Roman" w:cs="Times New Roman"/>
          <w:noProof/>
          <w:color w:val="auto"/>
          <w:lang w:eastAsia="en-GB"/>
        </w:rPr>
        <w:t>Regulation (EC) No 1073/2009 of the European Parliament and of the Council of 21 October 2009 on common rules of access to the international market for coach and bus services, and amending Regulation (EC) No 561/2006 (OJ L 300, 14.11.2009, p. 88), as last amended by Council Regulation (EU) No 517/2013 of 13 May 2013 (OJ L 158, 10.6.2013, p. 1);</w:t>
      </w:r>
    </w:p>
    <w:p>
      <w:pPr>
        <w:pStyle w:val="Default"/>
        <w:ind w:left="720"/>
        <w:jc w:val="both"/>
        <w:rPr>
          <w:rFonts w:cs="Times New Roman"/>
          <w:noProof/>
          <w:color w:val="auto"/>
        </w:rPr>
      </w:pPr>
    </w:p>
    <w:p>
      <w:pPr>
        <w:pStyle w:val="Default"/>
        <w:ind w:left="720"/>
        <w:jc w:val="both"/>
        <w:rPr>
          <w:rFonts w:eastAsia="Times New Roman" w:cs="Times New Roman"/>
          <w:noProof/>
          <w:lang w:eastAsia="en-GB"/>
        </w:rPr>
      </w:pPr>
      <w:r>
        <w:rPr>
          <w:rFonts w:eastAsia="Times New Roman" w:cs="Times New Roman"/>
          <w:noProof/>
          <w:color w:val="auto"/>
          <w:lang w:eastAsia="en-GB"/>
        </w:rPr>
        <w:t>Regulation (</w:t>
      </w:r>
      <w:r>
        <w:rPr>
          <w:rFonts w:eastAsia="Times New Roman" w:cs="Times New Roman"/>
          <w:noProof/>
          <w:lang w:eastAsia="en-GB"/>
        </w:rPr>
        <w:t xml:space="preserve">EU) No 181/2011 of the European Parliament and of the Council of 16 February 2011 </w:t>
      </w:r>
      <w:r>
        <w:rPr>
          <w:rFonts w:eastAsia="Times New Roman" w:cs="Times New Roman"/>
          <w:noProof/>
          <w:color w:val="auto"/>
          <w:lang w:eastAsia="en-GB"/>
        </w:rPr>
        <w:t>concerning</w:t>
      </w:r>
      <w:r>
        <w:rPr>
          <w:rFonts w:eastAsia="Times New Roman" w:cs="Times New Roman"/>
          <w:noProof/>
          <w:lang w:eastAsia="en-GB"/>
        </w:rPr>
        <w:t xml:space="preserve"> the rights of passengers in bus and coach transport and amending Regulation (EC) No 2006/2004 (OJ L 55, 28.2.2011, p. 1), as far as it covers occasional services by coach and bus.'.</w:t>
      </w:r>
    </w:p>
    <w:p>
      <w:pPr>
        <w:pStyle w:val="Default"/>
        <w:ind w:left="720"/>
        <w:jc w:val="both"/>
        <w:rPr>
          <w:rFonts w:eastAsia="Times New Roman" w:cs="Times New Roman"/>
          <w:noProof/>
          <w:lang w:eastAsia="en-GB"/>
        </w:rPr>
      </w:pPr>
    </w:p>
    <w:p>
      <w:pPr>
        <w:pStyle w:val="Default"/>
        <w:ind w:left="720"/>
        <w:jc w:val="both"/>
        <w:rPr>
          <w:rFonts w:cs="Times New Roman"/>
          <w:noProof/>
        </w:rPr>
      </w:pPr>
    </w:p>
    <w:p>
      <w:pPr>
        <w:pStyle w:val="Default"/>
        <w:jc w:val="both"/>
        <w:rPr>
          <w:rFonts w:cs="Times New Roman"/>
          <w:i/>
          <w:noProof/>
        </w:rPr>
      </w:pPr>
      <w:r>
        <w:rPr>
          <w:rFonts w:cs="Times New Roman"/>
          <w:i/>
          <w:noProof/>
        </w:rPr>
        <w:t>3. Adaptation of Annex 2 to the Agreement concerning the technical standards applying to buses and coaches</w:t>
      </w:r>
    </w:p>
    <w:p>
      <w:pPr>
        <w:pStyle w:val="Default"/>
        <w:jc w:val="both"/>
        <w:rPr>
          <w:rFonts w:cs="Times New Roman"/>
          <w:noProof/>
        </w:rPr>
      </w:pPr>
    </w:p>
    <w:p>
      <w:pPr>
        <w:pStyle w:val="Default"/>
        <w:jc w:val="both"/>
        <w:rPr>
          <w:rFonts w:cs="Times New Roman"/>
          <w:noProof/>
          <w:u w:val="single"/>
        </w:rPr>
      </w:pPr>
      <w:r>
        <w:rPr>
          <w:rFonts w:cs="Times New Roman"/>
          <w:noProof/>
          <w:u w:val="single"/>
        </w:rPr>
        <w:t>Annex 2 is amended as follows:</w:t>
      </w:r>
    </w:p>
    <w:p>
      <w:pPr>
        <w:pStyle w:val="Default"/>
        <w:jc w:val="both"/>
        <w:rPr>
          <w:rFonts w:cs="Times New Roman"/>
          <w:noProof/>
          <w:u w:val="single"/>
        </w:rPr>
      </w:pPr>
    </w:p>
    <w:p>
      <w:pPr>
        <w:pStyle w:val="Default"/>
        <w:jc w:val="both"/>
        <w:rPr>
          <w:rFonts w:cs="Times New Roman"/>
          <w:noProof/>
          <w:u w:val="single"/>
        </w:rPr>
      </w:pPr>
      <w:r>
        <w:rPr>
          <w:rFonts w:cs="Times New Roman"/>
          <w:noProof/>
          <w:u w:val="single"/>
        </w:rPr>
        <w:t>(a) Article 1 is amended as follows:</w:t>
      </w:r>
    </w:p>
    <w:p>
      <w:pPr>
        <w:pStyle w:val="Default"/>
        <w:jc w:val="both"/>
        <w:rPr>
          <w:rFonts w:cs="Times New Roman"/>
          <w:noProof/>
          <w:u w:val="single"/>
        </w:rPr>
      </w:pPr>
    </w:p>
    <w:p>
      <w:pPr>
        <w:pStyle w:val="Default"/>
        <w:jc w:val="both"/>
        <w:rPr>
          <w:rFonts w:cs="Times New Roman"/>
          <w:noProof/>
          <w:u w:val="single"/>
        </w:rPr>
      </w:pPr>
      <w:r>
        <w:rPr>
          <w:rFonts w:cs="Times New Roman"/>
          <w:noProof/>
          <w:u w:val="single"/>
        </w:rPr>
        <w:t>(i) point (a) is replaced by the following:</w:t>
      </w:r>
    </w:p>
    <w:p>
      <w:pPr>
        <w:pStyle w:val="Default"/>
        <w:jc w:val="both"/>
        <w:rPr>
          <w:rFonts w:cs="Times New Roman"/>
          <w:noProof/>
        </w:rPr>
      </w:pPr>
    </w:p>
    <w:p>
      <w:pPr>
        <w:spacing w:before="0" w:after="0"/>
        <w:ind w:firstLine="360"/>
        <w:rPr>
          <w:rFonts w:eastAsia="Times New Roman"/>
          <w:noProof/>
          <w:szCs w:val="24"/>
          <w:lang w:eastAsia="en-GB"/>
        </w:rPr>
      </w:pPr>
      <w:r>
        <w:rPr>
          <w:noProof/>
        </w:rPr>
        <w:t>'(</w:t>
      </w:r>
      <w:r>
        <w:rPr>
          <w:rFonts w:eastAsia="Times New Roman"/>
          <w:noProof/>
          <w:szCs w:val="24"/>
          <w:lang w:eastAsia="en-GB"/>
        </w:rPr>
        <w:t>a) roadworthiness tests for motor vehicles and their trailers:</w:t>
      </w:r>
    </w:p>
    <w:p>
      <w:pPr>
        <w:spacing w:before="0" w:after="0"/>
        <w:ind w:firstLine="360"/>
        <w:rPr>
          <w:rFonts w:eastAsia="Times New Roman"/>
          <w:noProof/>
          <w:szCs w:val="24"/>
          <w:lang w:eastAsia="en-GB"/>
        </w:rPr>
      </w:pPr>
    </w:p>
    <w:p>
      <w:pPr>
        <w:pStyle w:val="Tiret1"/>
        <w:numPr>
          <w:ilvl w:val="0"/>
          <w:numId w:val="10"/>
        </w:numPr>
        <w:rPr>
          <w:noProof/>
          <w:lang w:eastAsia="en-GB"/>
        </w:rPr>
      </w:pPr>
      <w:r>
        <w:rPr>
          <w:noProof/>
          <w:lang w:eastAsia="en-GB"/>
        </w:rPr>
        <w:t>Directive 2009/40/EC of the European Parliament and of the Council of 6 May 2009 on roadworthiness tests for motor vehicles and their trailers (</w:t>
      </w:r>
      <w:hyperlink r:id="rId18" w:history="1">
        <w:r>
          <w:rPr>
            <w:noProof/>
            <w:lang w:eastAsia="en-GB"/>
          </w:rPr>
          <w:t>OJ L 141, 6.6.2009, p. 12</w:t>
        </w:r>
      </w:hyperlink>
      <w:r>
        <w:rPr>
          <w:noProof/>
          <w:lang w:eastAsia="en-GB"/>
        </w:rPr>
        <w:t xml:space="preserve">), as last amended by Commission Directive 2010/48/EU </w:t>
      </w:r>
      <w:r>
        <w:rPr>
          <w:rFonts w:cs="EUAlbertina"/>
          <w:noProof/>
          <w:color w:val="000000"/>
          <w:szCs w:val="24"/>
          <w:lang w:eastAsia="en-GB"/>
        </w:rPr>
        <w:t xml:space="preserve">of 5 July 2010 </w:t>
      </w:r>
      <w:r>
        <w:rPr>
          <w:noProof/>
          <w:lang w:eastAsia="en-GB"/>
        </w:rPr>
        <w:t>(OJ L 173, 8.7.2010. p. 47), which shall apply until 19 May 2018;</w:t>
      </w:r>
    </w:p>
    <w:p>
      <w:pPr>
        <w:pStyle w:val="Default"/>
        <w:ind w:left="720"/>
        <w:jc w:val="both"/>
        <w:rPr>
          <w:noProof/>
          <w:lang w:eastAsia="en-GB"/>
        </w:rPr>
      </w:pPr>
    </w:p>
    <w:p>
      <w:pPr>
        <w:pStyle w:val="Tiret1"/>
        <w:rPr>
          <w:noProof/>
          <w:lang w:eastAsia="en-GB"/>
        </w:rPr>
      </w:pPr>
      <w:r>
        <w:rPr>
          <w:noProof/>
          <w:lang w:eastAsia="en-GB"/>
        </w:rPr>
        <w:t>Directive 2014/45/EU of the European Parliament and of the Council of 3 April 2014 on periodic roadworthiness tests for motor vehicles and their trailers and repealing Directive 2009/40/EC (OJ L 127, 29.4.2014, p. 51), which shall apply from 20 May 2018;</w:t>
      </w:r>
    </w:p>
    <w:p>
      <w:pPr>
        <w:pStyle w:val="Default"/>
        <w:ind w:left="720"/>
        <w:jc w:val="both"/>
        <w:rPr>
          <w:noProof/>
          <w:lang w:eastAsia="en-GB"/>
        </w:rPr>
      </w:pPr>
    </w:p>
    <w:p>
      <w:pPr>
        <w:pStyle w:val="Tiret1"/>
        <w:rPr>
          <w:noProof/>
          <w:lang w:eastAsia="en-GB"/>
        </w:rPr>
      </w:pPr>
      <w:r>
        <w:rPr>
          <w:noProof/>
          <w:lang w:eastAsia="en-GB"/>
        </w:rPr>
        <w:lastRenderedPageBreak/>
        <w:t>Directive 2000/30/EC of the European Parliament and of the Council of 6 June 2000 on the technical roadside inspection of the roadworthiness of commercial vehicles circulating in the Community (OJ L 203, 10.8.2000, p. 1), as last amended by Commission Directive 2010/47/EU of 5 July 2010 (OJ L 173, 8.7.2010, p. 33), which shall apply until 19 May 2018;</w:t>
      </w:r>
    </w:p>
    <w:p>
      <w:pPr>
        <w:pStyle w:val="Default"/>
        <w:ind w:left="720"/>
        <w:jc w:val="both"/>
        <w:rPr>
          <w:noProof/>
          <w:lang w:eastAsia="en-GB"/>
        </w:rPr>
      </w:pPr>
    </w:p>
    <w:p>
      <w:pPr>
        <w:pStyle w:val="Tiret1"/>
        <w:rPr>
          <w:noProof/>
          <w:lang w:eastAsia="en-GB"/>
        </w:rPr>
      </w:pPr>
      <w:r>
        <w:rPr>
          <w:noProof/>
          <w:lang w:eastAsia="en-GB"/>
        </w:rPr>
        <w:t>Directive 2014/47/EU of the European Parliament and of the Council of 3 April 2014 on the technical roadside inspection of the roadworthiness of commercial vehicles circulating in the Union and repealing Directive 2000/30/EC (OJ L 127, 29.4.2014, p. 134), which shall apply from 20 May 2018;';</w:t>
      </w:r>
    </w:p>
    <w:p>
      <w:pPr>
        <w:spacing w:before="0" w:after="0"/>
        <w:rPr>
          <w:rFonts w:eastAsia="Times New Roman"/>
          <w:noProof/>
          <w:szCs w:val="24"/>
          <w:lang w:eastAsia="en-GB"/>
        </w:rPr>
      </w:pPr>
    </w:p>
    <w:p>
      <w:pPr>
        <w:spacing w:before="0" w:after="0"/>
        <w:rPr>
          <w:noProof/>
          <w:u w:val="single"/>
        </w:rPr>
      </w:pPr>
      <w:r>
        <w:rPr>
          <w:noProof/>
          <w:u w:val="single"/>
        </w:rPr>
        <w:t xml:space="preserve">(ii) point (c) </w:t>
      </w:r>
      <w:r>
        <w:rPr>
          <w:rFonts w:eastAsia="Times New Roman"/>
          <w:noProof/>
          <w:szCs w:val="24"/>
          <w:u w:val="single"/>
          <w:lang w:eastAsia="en-GB"/>
        </w:rPr>
        <w:t>is</w:t>
      </w:r>
      <w:r>
        <w:rPr>
          <w:noProof/>
          <w:u w:val="single"/>
        </w:rPr>
        <w:t xml:space="preserve"> replaced by the following:</w:t>
      </w:r>
    </w:p>
    <w:p>
      <w:pPr>
        <w:pStyle w:val="normal2"/>
        <w:spacing w:before="0"/>
        <w:rPr>
          <w:noProof/>
        </w:rPr>
      </w:pPr>
    </w:p>
    <w:p>
      <w:pPr>
        <w:spacing w:before="0" w:after="0"/>
        <w:ind w:firstLine="360"/>
        <w:rPr>
          <w:noProof/>
          <w:szCs w:val="24"/>
        </w:rPr>
      </w:pPr>
      <w:r>
        <w:rPr>
          <w:noProof/>
          <w:szCs w:val="24"/>
        </w:rPr>
        <w:t xml:space="preserve">'(c) maximum </w:t>
      </w:r>
      <w:r>
        <w:rPr>
          <w:rFonts w:eastAsia="Times New Roman"/>
          <w:noProof/>
          <w:szCs w:val="24"/>
          <w:lang w:eastAsia="en-GB"/>
        </w:rPr>
        <w:t>dimensions</w:t>
      </w:r>
      <w:r>
        <w:rPr>
          <w:noProof/>
          <w:szCs w:val="24"/>
        </w:rPr>
        <w:t xml:space="preserve"> and maximum weights:</w:t>
      </w:r>
    </w:p>
    <w:p>
      <w:pPr>
        <w:spacing w:before="0" w:after="0"/>
        <w:ind w:firstLine="360"/>
        <w:rPr>
          <w:noProof/>
          <w:szCs w:val="24"/>
        </w:rPr>
      </w:pPr>
    </w:p>
    <w:p>
      <w:pPr>
        <w:pStyle w:val="Tiret1"/>
        <w:rPr>
          <w:noProof/>
          <w:lang w:eastAsia="en-GB"/>
        </w:rPr>
      </w:pPr>
      <w:r>
        <w:rPr>
          <w:noProof/>
          <w:lang w:eastAsia="en-GB"/>
        </w:rPr>
        <w:t>Council Directive 96/53/EC of 25 July1996 laying down for certain road vehicles circulating within the Community the maximum authorised dimensions in national and international traffic and the maximum authorised weights in international traffic (</w:t>
      </w:r>
      <w:hyperlink r:id="rId19" w:history="1">
        <w:r>
          <w:rPr>
            <w:noProof/>
            <w:lang w:eastAsia="en-GB"/>
          </w:rPr>
          <w:t>OJ L 235, 17.9.1996, p. 59</w:t>
        </w:r>
      </w:hyperlink>
      <w:r>
        <w:rPr>
          <w:noProof/>
          <w:lang w:eastAsia="en-GB"/>
        </w:rPr>
        <w:t>), as last amended by Directive (EU) 2015/719</w:t>
      </w:r>
      <w:r>
        <w:rPr>
          <w:noProof/>
        </w:rPr>
        <w:t xml:space="preserve"> </w:t>
      </w:r>
      <w:r>
        <w:rPr>
          <w:noProof/>
          <w:lang w:eastAsia="en-GB"/>
        </w:rPr>
        <w:t>of the European Parliament and of the Council of 29 April 2015 (OJ L 115, 6.5.2015, p. 1).</w:t>
      </w:r>
    </w:p>
    <w:p>
      <w:pPr>
        <w:pStyle w:val="Text1"/>
        <w:spacing w:before="0" w:after="0"/>
        <w:rPr>
          <w:noProof/>
        </w:rPr>
      </w:pPr>
    </w:p>
    <w:p>
      <w:pPr>
        <w:pStyle w:val="Text2"/>
        <w:rPr>
          <w:noProof/>
          <w:lang w:eastAsia="en-GB"/>
        </w:rPr>
      </w:pPr>
      <w:r>
        <w:rPr>
          <w:noProof/>
          <w:lang w:eastAsia="en-GB"/>
        </w:rPr>
        <w:t>The amendments introduced by Directive (EU) 2015/719 shall apply from 7 May 2017;</w:t>
      </w:r>
    </w:p>
    <w:p>
      <w:pPr>
        <w:pStyle w:val="Text1"/>
        <w:spacing w:before="0" w:after="0"/>
        <w:rPr>
          <w:noProof/>
          <w:lang w:eastAsia="en-GB"/>
        </w:rPr>
      </w:pPr>
    </w:p>
    <w:p>
      <w:pPr>
        <w:pStyle w:val="Tiret1"/>
        <w:rPr>
          <w:rFonts w:eastAsia="Times New Roman"/>
          <w:noProof/>
          <w:lang w:eastAsia="en-GB"/>
        </w:rPr>
      </w:pPr>
      <w:r>
        <w:rPr>
          <w:noProof/>
          <w:lang w:eastAsia="en-GB"/>
        </w:rPr>
        <w:t>Regulation (EC) No 661/2009 of the European Parliament and of the Council of 13 July 2009 concerning type-approval requirements for the general safety of motor vehicles, their trailers and systems, components and separate technical units intended therefor (OJ L 200, 31.7.2009, p. 1), as last amended by Commission Regulation (EU) 2015/166 of 3 February 2015 (OJ L 28, 4.2.2015, p. 3);</w:t>
      </w:r>
    </w:p>
    <w:p>
      <w:pPr>
        <w:pStyle w:val="Default"/>
        <w:jc w:val="both"/>
        <w:rPr>
          <w:rFonts w:eastAsia="Times New Roman"/>
          <w:noProof/>
          <w:lang w:eastAsia="en-GB"/>
        </w:rPr>
      </w:pPr>
    </w:p>
    <w:p>
      <w:pPr>
        <w:pStyle w:val="Tiret1"/>
        <w:rPr>
          <w:noProof/>
          <w:lang w:eastAsia="en-GB"/>
        </w:rPr>
      </w:pPr>
      <w:r>
        <w:rPr>
          <w:noProof/>
          <w:lang w:eastAsia="en-GB"/>
        </w:rPr>
        <w:t xml:space="preserve">Commission Regulation (EU) No 1230/2012 of 12 December 2012 </w:t>
      </w:r>
      <w:r>
        <w:rPr>
          <w:bCs/>
          <w:noProof/>
          <w:lang w:eastAsia="en-GB"/>
        </w:rPr>
        <w:t xml:space="preserve">implementing Regulation (EC) No </w:t>
      </w:r>
      <w:r>
        <w:rPr>
          <w:rFonts w:cs="EUAlbertina"/>
          <w:bCs/>
          <w:noProof/>
          <w:color w:val="000000"/>
          <w:szCs w:val="24"/>
          <w:lang w:eastAsia="en-GB"/>
        </w:rPr>
        <w:t xml:space="preserve">661/2009 of the European Parliament and of the Council with regard to type-approval requirements for masses and dimensions of motor vehicles and their trailers and amending Directive 2007/46/EC of the European Parliament and of the Council </w:t>
      </w:r>
      <w:r>
        <w:rPr>
          <w:noProof/>
          <w:lang w:eastAsia="en-GB"/>
        </w:rPr>
        <w:t>(OJ L 353, 21.12.2012, p. 31);';</w:t>
      </w:r>
    </w:p>
    <w:p>
      <w:pPr>
        <w:pStyle w:val="Default"/>
        <w:jc w:val="both"/>
        <w:rPr>
          <w:rFonts w:eastAsia="Times New Roman"/>
          <w:noProof/>
          <w:lang w:eastAsia="en-GB"/>
        </w:rPr>
      </w:pPr>
    </w:p>
    <w:p>
      <w:pPr>
        <w:pStyle w:val="Default"/>
        <w:jc w:val="both"/>
        <w:rPr>
          <w:rFonts w:cs="Times New Roman"/>
          <w:noProof/>
          <w:u w:val="single"/>
        </w:rPr>
      </w:pPr>
      <w:r>
        <w:rPr>
          <w:rFonts w:cs="Times New Roman"/>
          <w:noProof/>
          <w:u w:val="single"/>
        </w:rPr>
        <w:t>(iii) point (d) is replaced by the following:</w:t>
      </w:r>
    </w:p>
    <w:p>
      <w:pPr>
        <w:pStyle w:val="Default"/>
        <w:jc w:val="both"/>
        <w:rPr>
          <w:rFonts w:cs="Times New Roman"/>
          <w:noProof/>
          <w:u w:val="single"/>
        </w:rPr>
      </w:pPr>
    </w:p>
    <w:p>
      <w:pPr>
        <w:spacing w:before="0" w:after="0"/>
        <w:ind w:firstLine="720"/>
        <w:rPr>
          <w:rFonts w:eastAsia="Times New Roman"/>
          <w:noProof/>
          <w:szCs w:val="24"/>
          <w:lang w:eastAsia="en-GB"/>
        </w:rPr>
      </w:pPr>
      <w:r>
        <w:rPr>
          <w:noProof/>
          <w:color w:val="444444"/>
          <w:szCs w:val="24"/>
        </w:rPr>
        <w:t xml:space="preserve">'(d) </w:t>
      </w:r>
      <w:r>
        <w:rPr>
          <w:rFonts w:eastAsia="Times New Roman"/>
          <w:noProof/>
          <w:szCs w:val="24"/>
          <w:lang w:eastAsia="en-GB"/>
        </w:rPr>
        <w:t>recording equipment in road transport:</w:t>
      </w:r>
    </w:p>
    <w:p>
      <w:pPr>
        <w:spacing w:before="0" w:after="0"/>
        <w:ind w:firstLine="720"/>
        <w:rPr>
          <w:rFonts w:eastAsia="Times New Roman"/>
          <w:noProof/>
          <w:szCs w:val="24"/>
          <w:lang w:eastAsia="en-GB"/>
        </w:rPr>
      </w:pPr>
    </w:p>
    <w:p>
      <w:pPr>
        <w:pStyle w:val="Tiret1"/>
        <w:rPr>
          <w:rFonts w:eastAsia="Times New Roman"/>
          <w:noProof/>
          <w:lang w:eastAsia="en-GB"/>
        </w:rPr>
      </w:pPr>
      <w:r>
        <w:rPr>
          <w:noProof/>
        </w:rPr>
        <w:t xml:space="preserve">Council Regulation (EEC) No 3821/85 of 20 December 1985 on recording equipment in road </w:t>
      </w:r>
      <w:r>
        <w:rPr>
          <w:noProof/>
          <w:lang w:eastAsia="en-GB"/>
        </w:rPr>
        <w:t>transport</w:t>
      </w:r>
      <w:r>
        <w:rPr>
          <w:noProof/>
        </w:rPr>
        <w:t xml:space="preserve"> (OJ L 370, 31.12.1985, p. 8), as last amended by Commission Regulation (EU) No 1161/2014 of 30 October 2014 (OJ L 311, 31.10.2014, p. 19), which shall apply until Regulation (EU) No 165/2014 of the European Parliament and of the Council of 4 February 2014 becomes applicable. </w:t>
      </w:r>
    </w:p>
    <w:p>
      <w:pPr>
        <w:pStyle w:val="Text1"/>
        <w:ind w:left="1440" w:hanging="23"/>
        <w:rPr>
          <w:noProof/>
        </w:rPr>
      </w:pPr>
      <w:r>
        <w:rPr>
          <w:noProof/>
        </w:rPr>
        <w:t>Instead of Council Regulation (EEC) No 3821/85, equivalent rules established by the AETR Agreement including its Protocols may be applied;</w:t>
      </w:r>
    </w:p>
    <w:p>
      <w:pPr>
        <w:pStyle w:val="Text1"/>
        <w:ind w:left="1440" w:hanging="23"/>
        <w:rPr>
          <w:noProof/>
          <w:lang w:eastAsia="en-GB"/>
        </w:rPr>
      </w:pPr>
    </w:p>
    <w:p>
      <w:pPr>
        <w:pStyle w:val="Tiret1"/>
        <w:rPr>
          <w:rFonts w:eastAsia="Times New Roman"/>
          <w:noProof/>
          <w:lang w:eastAsia="en-GB"/>
        </w:rPr>
      </w:pPr>
      <w:r>
        <w:rPr>
          <w:rFonts w:eastAsia="Times New Roman"/>
          <w:noProof/>
          <w:lang w:eastAsia="en-GB"/>
        </w:rPr>
        <w:t>Regulation</w:t>
      </w:r>
      <w:r>
        <w:rPr>
          <w:noProof/>
        </w:rPr>
        <w:t xml:space="preserve"> (EU) No 165/2014 of the European Parliament and of the Council of 4 February 2014 on </w:t>
      </w:r>
      <w:r>
        <w:rPr>
          <w:noProof/>
          <w:lang w:eastAsia="en-GB"/>
        </w:rPr>
        <w:t>tachographs</w:t>
      </w:r>
      <w:r>
        <w:rPr>
          <w:noProof/>
        </w:rPr>
        <w:t xml:space="preserve"> in road transport, repealing Council Regulation (EEC) No 3821/85 on recording equipment in road transport and amending Regulation (EC) No 561/2006 of the European Parliament and of the Council on the harmonisation of certain social legislation relating to road transport (OJ L 60, 28.2.2014, p. 1), which shall apply from the date the implementing acts referred to in Article 46 thereof become applicable</w:t>
      </w:r>
      <w:r>
        <w:rPr>
          <w:rFonts w:eastAsia="Times New Roman"/>
          <w:noProof/>
          <w:lang w:eastAsia="en-GB"/>
        </w:rPr>
        <w:t>.</w:t>
      </w:r>
    </w:p>
    <w:p>
      <w:pPr>
        <w:pStyle w:val="Text1"/>
        <w:ind w:left="1440" w:hanging="23"/>
        <w:rPr>
          <w:noProof/>
        </w:rPr>
      </w:pPr>
      <w:r>
        <w:rPr>
          <w:noProof/>
          <w:lang w:eastAsia="en-GB"/>
        </w:rPr>
        <w:t>Instead</w:t>
      </w:r>
      <w:r>
        <w:rPr>
          <w:noProof/>
        </w:rPr>
        <w:t xml:space="preserve"> of Council Regulation (EU) No 165/2014, equivalent rules established by the AETR Agreement including its Protocols may be applied.';</w:t>
      </w:r>
    </w:p>
    <w:p>
      <w:pPr>
        <w:pStyle w:val="ListParagraph"/>
        <w:spacing w:after="0" w:line="240" w:lineRule="auto"/>
        <w:jc w:val="both"/>
        <w:rPr>
          <w:rFonts w:ascii="Times New Roman" w:eastAsia="Times New Roman" w:hAnsi="Times New Roman" w:cs="Times New Roman"/>
          <w:noProof/>
          <w:sz w:val="24"/>
          <w:szCs w:val="24"/>
          <w:lang w:eastAsia="en-GB"/>
        </w:rPr>
      </w:pPr>
    </w:p>
    <w:p>
      <w:pPr>
        <w:pStyle w:val="ListParagraph"/>
        <w:spacing w:after="0" w:line="240" w:lineRule="auto"/>
        <w:jc w:val="both"/>
        <w:rPr>
          <w:rFonts w:ascii="Times New Roman" w:eastAsia="Times New Roman" w:hAnsi="Times New Roman" w:cs="Times New Roman"/>
          <w:noProof/>
          <w:sz w:val="24"/>
          <w:szCs w:val="24"/>
          <w:lang w:eastAsia="en-GB"/>
        </w:rPr>
      </w:pPr>
    </w:p>
    <w:p>
      <w:pPr>
        <w:pStyle w:val="Default"/>
        <w:jc w:val="both"/>
        <w:rPr>
          <w:rFonts w:cs="Times New Roman"/>
          <w:noProof/>
          <w:u w:val="single"/>
        </w:rPr>
      </w:pPr>
      <w:r>
        <w:rPr>
          <w:rFonts w:cs="Times New Roman"/>
          <w:noProof/>
          <w:u w:val="single"/>
        </w:rPr>
        <w:t>(b) Article 2 is amended as follows:</w:t>
      </w:r>
    </w:p>
    <w:p>
      <w:pPr>
        <w:pStyle w:val="Default"/>
        <w:jc w:val="both"/>
        <w:rPr>
          <w:rFonts w:cs="Times New Roman"/>
          <w:noProof/>
          <w:u w:val="single"/>
        </w:rPr>
      </w:pPr>
    </w:p>
    <w:p>
      <w:pPr>
        <w:pStyle w:val="Default"/>
        <w:jc w:val="both"/>
        <w:rPr>
          <w:rFonts w:cs="Times New Roman"/>
          <w:noProof/>
          <w:u w:val="single"/>
        </w:rPr>
      </w:pPr>
      <w:r>
        <w:rPr>
          <w:rFonts w:cs="Times New Roman"/>
          <w:noProof/>
          <w:u w:val="single"/>
        </w:rPr>
        <w:t>(i) the headings and references between the first paragraph and the table are replaced by the following:</w:t>
      </w:r>
    </w:p>
    <w:p>
      <w:pPr>
        <w:pStyle w:val="Default"/>
        <w:jc w:val="both"/>
        <w:rPr>
          <w:rFonts w:cs="Times New Roman"/>
          <w:noProof/>
          <w:u w:val="single"/>
        </w:rPr>
      </w:pPr>
    </w:p>
    <w:p>
      <w:pPr>
        <w:spacing w:before="0" w:after="0"/>
        <w:ind w:firstLine="360"/>
        <w:rPr>
          <w:rFonts w:eastAsia="Times New Roman"/>
          <w:noProof/>
          <w:szCs w:val="24"/>
          <w:lang w:eastAsia="en-GB"/>
        </w:rPr>
      </w:pPr>
      <w:r>
        <w:rPr>
          <w:rFonts w:eastAsia="Times New Roman"/>
          <w:noProof/>
          <w:szCs w:val="24"/>
          <w:lang w:eastAsia="en-GB"/>
        </w:rPr>
        <w:t>'Exhaust emissions:</w:t>
      </w:r>
    </w:p>
    <w:p>
      <w:pPr>
        <w:spacing w:before="0" w:after="0"/>
        <w:ind w:firstLine="360"/>
        <w:rPr>
          <w:rFonts w:eastAsia="Times New Roman"/>
          <w:noProof/>
          <w:szCs w:val="24"/>
          <w:lang w:eastAsia="en-GB"/>
        </w:rPr>
      </w:pPr>
    </w:p>
    <w:p>
      <w:pPr>
        <w:pStyle w:val="Tiret0"/>
        <w:numPr>
          <w:ilvl w:val="0"/>
          <w:numId w:val="11"/>
        </w:numPr>
        <w:spacing w:before="0" w:after="0"/>
        <w:rPr>
          <w:noProof/>
          <w:lang w:eastAsia="en-GB"/>
        </w:rPr>
      </w:pPr>
      <w:r>
        <w:rPr>
          <w:noProof/>
          <w:lang w:eastAsia="en-GB"/>
        </w:rPr>
        <w:t>Regulation (EC) No 715/2007 of the European Parliament and of the Council of 20 June 2007 on type approval of motor vehicles with respect to emissions from light passenger and commercial vehicles (Euro 5 and Euro 6) and on access to vehicle repair and maintenance information (OJ L 171, 29.6.2007, p. 1), as last amended by Commission Regulation (EU) No 459/2012 of 29 May 2012 (OJ L 142, 1.6.2012, p. 16);</w:t>
      </w:r>
    </w:p>
    <w:p>
      <w:pPr>
        <w:spacing w:before="0" w:after="0"/>
        <w:ind w:left="720"/>
        <w:rPr>
          <w:noProof/>
          <w:lang w:eastAsia="en-GB"/>
        </w:rPr>
      </w:pPr>
    </w:p>
    <w:p>
      <w:pPr>
        <w:pStyle w:val="Tiret0"/>
        <w:spacing w:before="0" w:after="0"/>
        <w:rPr>
          <w:noProof/>
          <w:lang w:eastAsia="en-GB"/>
        </w:rPr>
      </w:pPr>
      <w:r>
        <w:rPr>
          <w:noProof/>
          <w:lang w:eastAsia="en-GB"/>
        </w:rPr>
        <w:t>Regulation (EC) No 595/2009 of the European Parliament and of the Council of 18 June 2009 on type-approval of motor vehicles and engines with respect to emissions from heavy duty vehicles (Euro VI) and on access to vehicle repair and maintenance information and amending Regulation (EC) No 715/2007 and Directive 2007/46/EC and repealing Directives 80/1269/EEC, 2005/55/EC and 2005/78/EC (OJ L 188, 18.7.2009, p. 1), as last amended by Commission Regulation (EU) No 133/2014 of 31 January 2014 (OJ L 47, 18.2.2014, p. 1);</w:t>
      </w:r>
    </w:p>
    <w:p>
      <w:pPr>
        <w:spacing w:before="0" w:after="0"/>
        <w:ind w:left="720"/>
        <w:rPr>
          <w:rFonts w:eastAsia="Times New Roman"/>
          <w:noProof/>
          <w:color w:val="0F243E" w:themeColor="text2" w:themeShade="80"/>
          <w:szCs w:val="24"/>
          <w:lang w:eastAsia="en-GB"/>
        </w:rPr>
      </w:pPr>
    </w:p>
    <w:p>
      <w:pPr>
        <w:spacing w:before="0" w:after="0"/>
        <w:ind w:left="284"/>
        <w:rPr>
          <w:rFonts w:eastAsia="Times New Roman"/>
          <w:noProof/>
          <w:szCs w:val="24"/>
          <w:lang w:eastAsia="en-GB"/>
        </w:rPr>
      </w:pPr>
      <w:r>
        <w:rPr>
          <w:rFonts w:eastAsia="Times New Roman"/>
          <w:noProof/>
          <w:szCs w:val="24"/>
          <w:lang w:eastAsia="en-GB"/>
        </w:rPr>
        <w:t>Noise emissions:</w:t>
      </w:r>
    </w:p>
    <w:p>
      <w:pPr>
        <w:spacing w:before="0" w:after="0"/>
        <w:ind w:left="284"/>
        <w:rPr>
          <w:rFonts w:eastAsia="Times New Roman"/>
          <w:noProof/>
          <w:szCs w:val="24"/>
          <w:u w:val="single"/>
          <w:lang w:eastAsia="en-GB"/>
        </w:rPr>
      </w:pPr>
    </w:p>
    <w:p>
      <w:pPr>
        <w:pStyle w:val="Tiret0"/>
        <w:spacing w:before="0" w:after="0"/>
        <w:rPr>
          <w:noProof/>
          <w:lang w:eastAsia="en-GB"/>
        </w:rPr>
      </w:pPr>
      <w:r>
        <w:rPr>
          <w:noProof/>
          <w:lang w:eastAsia="en-GB"/>
        </w:rPr>
        <w:lastRenderedPageBreak/>
        <w:t>Council Directive 70/157/EEC of 6 February 1970 on the approximation of the laws of the Member States relating to the permissible sound level and the exhaust system of motor vehicles (OJ L 42, 23.2.1970, p. 16), as last amended by Council Directive 2013/15/EU of 13 May 2013 (OJ L 158, 10.6.2013, p. 172), which shall apply until 30 June 2027 subject to Article 14 of Regulation (EU) No 540/2014 of the European Parliament and of the Council of 16 April 2014;</w:t>
      </w:r>
    </w:p>
    <w:p>
      <w:pPr>
        <w:pStyle w:val="Text1"/>
        <w:spacing w:before="0" w:after="0"/>
        <w:rPr>
          <w:noProof/>
          <w:lang w:eastAsia="en-GB"/>
        </w:rPr>
      </w:pPr>
    </w:p>
    <w:p>
      <w:pPr>
        <w:pStyle w:val="Tiret0"/>
        <w:spacing w:before="0" w:after="0"/>
        <w:rPr>
          <w:noProof/>
          <w:lang w:eastAsia="en-GB"/>
        </w:rPr>
      </w:pPr>
      <w:r>
        <w:rPr>
          <w:noProof/>
          <w:lang w:eastAsia="en-GB"/>
        </w:rPr>
        <w:t>Regulation (EU) No 540/2014 of the European Parliament and of the Council of 16 April 2014 on the sound level of motor vehicles and of replacement silencing systems, and amending Directive 2007/46/EC and repealing Directive 70/157/EEC (OJ L 158, 27.5.2014, p. 131), which shall apply, in accordance with Article 15 thereof, from 1 July 2016, 1 July 2019 and 1 July 2027;</w:t>
      </w:r>
    </w:p>
    <w:p>
      <w:pPr>
        <w:rPr>
          <w:noProof/>
          <w:lang w:eastAsia="en-GB"/>
        </w:rPr>
      </w:pPr>
      <w:r>
        <w:rPr>
          <w:noProof/>
          <w:lang w:eastAsia="en-GB"/>
        </w:rPr>
        <w:br w:type="page"/>
      </w:r>
    </w:p>
    <w:p>
      <w:pPr>
        <w:spacing w:before="0" w:after="0"/>
        <w:ind w:left="284"/>
        <w:rPr>
          <w:rFonts w:eastAsia="Times New Roman"/>
          <w:noProof/>
          <w:szCs w:val="24"/>
          <w:lang w:eastAsia="en-GB"/>
        </w:rPr>
      </w:pPr>
      <w:r>
        <w:rPr>
          <w:rFonts w:eastAsia="Times New Roman"/>
          <w:noProof/>
          <w:szCs w:val="24"/>
          <w:lang w:eastAsia="en-GB"/>
        </w:rPr>
        <w:lastRenderedPageBreak/>
        <w:t>Braking devices:</w:t>
      </w:r>
    </w:p>
    <w:p>
      <w:pPr>
        <w:spacing w:before="0" w:after="0"/>
        <w:ind w:left="284"/>
        <w:rPr>
          <w:rFonts w:eastAsia="Times New Roman"/>
          <w:noProof/>
          <w:szCs w:val="24"/>
          <w:u w:val="single"/>
          <w:lang w:eastAsia="en-GB"/>
        </w:rPr>
      </w:pPr>
    </w:p>
    <w:p>
      <w:pPr>
        <w:pStyle w:val="Tiret0"/>
        <w:spacing w:before="0" w:after="0"/>
        <w:rPr>
          <w:noProof/>
          <w:lang w:eastAsia="en-GB"/>
        </w:rPr>
      </w:pPr>
      <w:r>
        <w:rPr>
          <w:noProof/>
          <w:lang w:eastAsia="en-GB"/>
        </w:rPr>
        <w:t>Regulation (EC) No 661/2009 of the European Parliament and of the Council of 13 July 2009 concerning type-approval requirements for the general safety of motor vehicles, their trailers and systems, components and separate technical units intended therefor (OJ L 200, 31.7.2009, p. 1), as last amended by Commission Regulation (EU) 2015/166 of 3 February 2015 (OJ L 28, 4.2.2015, p. 3);</w:t>
      </w:r>
    </w:p>
    <w:p>
      <w:pPr>
        <w:pStyle w:val="Default"/>
        <w:ind w:left="130" w:firstLine="720"/>
        <w:rPr>
          <w:noProof/>
          <w:lang w:eastAsia="en-GB"/>
        </w:rPr>
      </w:pPr>
    </w:p>
    <w:p>
      <w:pPr>
        <w:spacing w:before="0" w:after="0"/>
        <w:ind w:left="360"/>
        <w:rPr>
          <w:rFonts w:eastAsia="Times New Roman"/>
          <w:noProof/>
          <w:szCs w:val="24"/>
          <w:lang w:eastAsia="en-GB"/>
        </w:rPr>
      </w:pPr>
      <w:r>
        <w:rPr>
          <w:rFonts w:eastAsia="Times New Roman"/>
          <w:noProof/>
          <w:szCs w:val="24"/>
          <w:lang w:eastAsia="en-GB"/>
        </w:rPr>
        <w:t>Tyres:</w:t>
      </w:r>
    </w:p>
    <w:p>
      <w:pPr>
        <w:spacing w:before="0" w:after="0"/>
        <w:ind w:left="360"/>
        <w:rPr>
          <w:rFonts w:eastAsia="Times New Roman"/>
          <w:noProof/>
          <w:szCs w:val="24"/>
          <w:lang w:eastAsia="en-GB"/>
        </w:rPr>
      </w:pPr>
    </w:p>
    <w:p>
      <w:pPr>
        <w:pStyle w:val="Tiret0"/>
        <w:spacing w:before="0" w:after="0"/>
        <w:rPr>
          <w:noProof/>
          <w:lang w:eastAsia="en-GB"/>
        </w:rPr>
      </w:pPr>
      <w:r>
        <w:rPr>
          <w:noProof/>
          <w:lang w:eastAsia="en-GB"/>
        </w:rPr>
        <w:t>Regulation (EC) No 661/2009 of the European Parliament and of the Council of 13 July 2009 concerning type-approval requirements for the general safety of motor vehicles, their trailers and systems, components and separate technical units intended therefor (OJ L 200, 31.7.2009, p. 1), as last amended by Commission Regulation (EU) 2015/166 of 3 February 2015 (OJ L 28, 4.2.2015, p. 3);</w:t>
      </w:r>
    </w:p>
    <w:p>
      <w:pPr>
        <w:pStyle w:val="Default"/>
        <w:rPr>
          <w:noProof/>
          <w:lang w:eastAsia="en-GB"/>
        </w:rPr>
      </w:pPr>
    </w:p>
    <w:p>
      <w:pPr>
        <w:spacing w:before="0" w:after="0"/>
        <w:ind w:firstLine="360"/>
        <w:rPr>
          <w:rFonts w:eastAsia="Times New Roman"/>
          <w:noProof/>
          <w:szCs w:val="24"/>
          <w:lang w:eastAsia="en-GB"/>
        </w:rPr>
      </w:pPr>
      <w:r>
        <w:rPr>
          <w:rFonts w:eastAsia="Times New Roman"/>
          <w:noProof/>
          <w:szCs w:val="24"/>
          <w:lang w:eastAsia="en-GB"/>
        </w:rPr>
        <w:t xml:space="preserve">Lighting and light-signalling devices: </w:t>
      </w:r>
    </w:p>
    <w:p>
      <w:pPr>
        <w:spacing w:before="0" w:after="0"/>
        <w:ind w:firstLine="360"/>
        <w:rPr>
          <w:rFonts w:eastAsia="Times New Roman"/>
          <w:noProof/>
          <w:szCs w:val="24"/>
          <w:lang w:eastAsia="en-GB"/>
        </w:rPr>
      </w:pPr>
    </w:p>
    <w:p>
      <w:pPr>
        <w:pStyle w:val="Tiret0"/>
        <w:spacing w:before="0" w:after="0"/>
        <w:rPr>
          <w:noProof/>
          <w:lang w:eastAsia="en-GB"/>
        </w:rPr>
      </w:pPr>
      <w:r>
        <w:rPr>
          <w:noProof/>
          <w:lang w:eastAsia="en-GB"/>
        </w:rPr>
        <w:t>Regulation (EC) No 661/2009 of the European Parliament and of the Council of 13 July 2009 concerning type-approval requirements for the general safety of motor vehicles, their trailers and systems, components and separate technical units intended therefor (OJ L 200, 31.7.2009, p. 1), as last amended by Commission Regulation (EU) 2015/166 of 3 February 2015 (OJ L 28, 4.2.2015, p. 3);</w:t>
      </w:r>
    </w:p>
    <w:p>
      <w:pPr>
        <w:spacing w:before="0" w:after="0"/>
        <w:rPr>
          <w:noProof/>
          <w:lang w:eastAsia="en-GB"/>
        </w:rPr>
      </w:pPr>
    </w:p>
    <w:p>
      <w:pPr>
        <w:spacing w:before="0" w:after="0"/>
        <w:ind w:firstLine="360"/>
        <w:rPr>
          <w:rFonts w:eastAsia="Times New Roman"/>
          <w:noProof/>
          <w:szCs w:val="24"/>
          <w:lang w:eastAsia="en-GB"/>
        </w:rPr>
      </w:pPr>
      <w:r>
        <w:rPr>
          <w:rFonts w:eastAsia="Times New Roman"/>
          <w:noProof/>
          <w:szCs w:val="24"/>
          <w:lang w:eastAsia="en-GB"/>
        </w:rPr>
        <w:t xml:space="preserve">Fuel tank: </w:t>
      </w:r>
    </w:p>
    <w:p>
      <w:pPr>
        <w:spacing w:before="0" w:after="0"/>
        <w:ind w:firstLine="360"/>
        <w:rPr>
          <w:rFonts w:eastAsia="Times New Roman"/>
          <w:noProof/>
          <w:szCs w:val="24"/>
          <w:lang w:eastAsia="en-GB"/>
        </w:rPr>
      </w:pPr>
    </w:p>
    <w:p>
      <w:pPr>
        <w:pStyle w:val="Tiret0"/>
        <w:spacing w:before="0" w:after="0"/>
        <w:rPr>
          <w:noProof/>
          <w:lang w:eastAsia="en-GB"/>
        </w:rPr>
      </w:pPr>
      <w:r>
        <w:rPr>
          <w:noProof/>
          <w:lang w:eastAsia="en-GB"/>
        </w:rPr>
        <w:t>Regulation (EC) No 661/2009 of the European Parliament and of the Council of 13 July 2009 concerning type-approval requirements for the general safety of motor vehicles, their trailers and systems, components and separate technical units intended therefor (OJ L 200, 31.7.2009, p. 1), as last amended by Commission Regulation (EU) 2015/166 of 3 February 2015 (OJ L 28, 4.2.2015, p. 3):</w:t>
      </w:r>
    </w:p>
    <w:p>
      <w:pPr>
        <w:spacing w:before="0" w:after="0"/>
        <w:rPr>
          <w:rFonts w:eastAsia="Times New Roman"/>
          <w:noProof/>
          <w:szCs w:val="24"/>
          <w:lang w:eastAsia="en-GB"/>
        </w:rPr>
      </w:pPr>
    </w:p>
    <w:p>
      <w:pPr>
        <w:spacing w:before="0" w:after="0"/>
        <w:ind w:firstLine="360"/>
        <w:rPr>
          <w:rFonts w:eastAsia="Times New Roman"/>
          <w:noProof/>
          <w:szCs w:val="24"/>
          <w:lang w:eastAsia="en-GB"/>
        </w:rPr>
      </w:pPr>
      <w:r>
        <w:rPr>
          <w:rFonts w:eastAsia="Times New Roman"/>
          <w:noProof/>
          <w:szCs w:val="24"/>
          <w:lang w:eastAsia="en-GB"/>
        </w:rPr>
        <w:t xml:space="preserve">Rear-view mirrors: </w:t>
      </w:r>
    </w:p>
    <w:p>
      <w:pPr>
        <w:spacing w:before="0" w:after="0"/>
        <w:ind w:firstLine="360"/>
        <w:rPr>
          <w:rFonts w:eastAsia="Times New Roman"/>
          <w:noProof/>
          <w:szCs w:val="24"/>
          <w:lang w:eastAsia="en-GB"/>
        </w:rPr>
      </w:pPr>
    </w:p>
    <w:p>
      <w:pPr>
        <w:pStyle w:val="Tiret0"/>
        <w:spacing w:before="0" w:after="0"/>
        <w:rPr>
          <w:noProof/>
          <w:lang w:eastAsia="en-GB"/>
        </w:rPr>
      </w:pPr>
      <w:r>
        <w:rPr>
          <w:noProof/>
          <w:lang w:eastAsia="en-GB"/>
        </w:rPr>
        <w:t>Regulation (EC) No 661/2009 of the European Parliament and of the Council of 13 July 2009 concerning type-approval requirements for the general safety of motor vehicles, their trailers and systems, components and separate technical units intended therefor (OJ L 200, 31.7.2009, p. 1), as last amended by Commission Regulation (EU) 2015/166 of 3 February 2015 (OJ L 28, 4.2.2015, p. 3):</w:t>
      </w:r>
    </w:p>
    <w:p>
      <w:pPr>
        <w:spacing w:before="0" w:after="0"/>
        <w:rPr>
          <w:rFonts w:eastAsia="Times New Roman"/>
          <w:noProof/>
          <w:szCs w:val="24"/>
          <w:lang w:eastAsia="en-GB"/>
        </w:rPr>
      </w:pPr>
    </w:p>
    <w:p>
      <w:pPr>
        <w:pStyle w:val="BodyTextIndent"/>
        <w:spacing w:before="0" w:after="0"/>
        <w:rPr>
          <w:rFonts w:eastAsia="Times New Roman"/>
          <w:noProof/>
          <w:szCs w:val="24"/>
          <w:lang w:eastAsia="en-GB"/>
        </w:rPr>
      </w:pPr>
      <w:r>
        <w:rPr>
          <w:rFonts w:eastAsia="Times New Roman"/>
          <w:noProof/>
          <w:szCs w:val="24"/>
          <w:lang w:eastAsia="en-GB"/>
        </w:rPr>
        <w:t xml:space="preserve">Safety belts — Installation: </w:t>
      </w:r>
    </w:p>
    <w:p>
      <w:pPr>
        <w:pStyle w:val="BodyTextIndent"/>
        <w:spacing w:before="0" w:after="0"/>
        <w:rPr>
          <w:rFonts w:eastAsia="Times New Roman"/>
          <w:noProof/>
          <w:szCs w:val="24"/>
          <w:lang w:eastAsia="en-GB"/>
        </w:rPr>
      </w:pPr>
    </w:p>
    <w:p>
      <w:pPr>
        <w:pStyle w:val="Tiret0"/>
        <w:spacing w:before="0" w:after="0"/>
        <w:rPr>
          <w:noProof/>
          <w:lang w:eastAsia="en-GB"/>
        </w:rPr>
      </w:pPr>
      <w:r>
        <w:rPr>
          <w:noProof/>
          <w:lang w:eastAsia="en-GB"/>
        </w:rPr>
        <w:t>Regulation (EC) No 661/2009 of the European Parliament and of the Council of 13 July 2009 concerning type-approval requirements for the general safety of motor vehicles, their trailers and systems, components and separate technical units intended therefor (OJ L 200, 31.7.2009, p. 1), as last amended by Commission Regulation (EU) 2015/166 of 3 February 2015 (OJ L 28, 4.2.2015, p. 3);</w:t>
      </w:r>
    </w:p>
    <w:p>
      <w:pPr>
        <w:spacing w:before="0" w:after="0"/>
        <w:rPr>
          <w:rFonts w:eastAsia="Times New Roman"/>
          <w:noProof/>
          <w:szCs w:val="24"/>
          <w:lang w:eastAsia="en-GB"/>
        </w:rPr>
      </w:pPr>
    </w:p>
    <w:p>
      <w:pPr>
        <w:spacing w:before="0" w:after="200" w:line="276" w:lineRule="auto"/>
        <w:jc w:val="left"/>
        <w:rPr>
          <w:rFonts w:eastAsia="Times New Roman"/>
          <w:noProof/>
          <w:szCs w:val="24"/>
          <w:lang w:eastAsia="en-GB"/>
        </w:rPr>
      </w:pPr>
      <w:r>
        <w:rPr>
          <w:rFonts w:eastAsia="Times New Roman"/>
          <w:noProof/>
          <w:szCs w:val="24"/>
          <w:lang w:eastAsia="en-GB"/>
        </w:rPr>
        <w:br w:type="page"/>
      </w:r>
    </w:p>
    <w:p>
      <w:pPr>
        <w:spacing w:before="0" w:after="0"/>
        <w:ind w:firstLine="360"/>
        <w:rPr>
          <w:rFonts w:eastAsia="Times New Roman"/>
          <w:noProof/>
          <w:szCs w:val="24"/>
          <w:lang w:eastAsia="en-GB"/>
        </w:rPr>
      </w:pPr>
      <w:r>
        <w:rPr>
          <w:rFonts w:eastAsia="Times New Roman"/>
          <w:noProof/>
          <w:szCs w:val="24"/>
          <w:lang w:eastAsia="en-GB"/>
        </w:rPr>
        <w:lastRenderedPageBreak/>
        <w:t xml:space="preserve">Safety belts — Anchorages for safety belts: </w:t>
      </w:r>
    </w:p>
    <w:p>
      <w:pPr>
        <w:spacing w:before="0" w:after="0"/>
        <w:ind w:firstLine="360"/>
        <w:rPr>
          <w:rFonts w:eastAsia="Times New Roman"/>
          <w:noProof/>
          <w:szCs w:val="24"/>
          <w:lang w:eastAsia="en-GB"/>
        </w:rPr>
      </w:pPr>
    </w:p>
    <w:p>
      <w:pPr>
        <w:pStyle w:val="Tiret0"/>
        <w:spacing w:before="0" w:after="0"/>
        <w:rPr>
          <w:noProof/>
          <w:lang w:eastAsia="en-GB"/>
        </w:rPr>
      </w:pPr>
      <w:r>
        <w:rPr>
          <w:noProof/>
          <w:lang w:eastAsia="en-GB"/>
        </w:rPr>
        <w:t>Regulation (EC) No 661/2009 of the European Parliament and of the Council of 13 July 2009 concerning type-approval requirements for the general safety of motor vehicles, their trailers and systems, components and separate technical units intended therefor (OJ L 200, 31.7.2009, p. 1), as last amended by Commission Regulation (EU) 2015/166 of 3 February 2015 (OJ L 28, 4.2.2015, p. 3);</w:t>
      </w:r>
    </w:p>
    <w:p>
      <w:pPr>
        <w:pStyle w:val="Default"/>
        <w:rPr>
          <w:noProof/>
          <w:lang w:eastAsia="en-GB"/>
        </w:rPr>
      </w:pPr>
    </w:p>
    <w:p>
      <w:pPr>
        <w:spacing w:before="0" w:after="0"/>
        <w:ind w:firstLine="360"/>
        <w:rPr>
          <w:rFonts w:eastAsia="Times New Roman"/>
          <w:noProof/>
          <w:szCs w:val="24"/>
          <w:lang w:eastAsia="en-GB"/>
        </w:rPr>
      </w:pPr>
      <w:r>
        <w:rPr>
          <w:rFonts w:eastAsia="Times New Roman"/>
          <w:noProof/>
          <w:szCs w:val="24"/>
          <w:lang w:eastAsia="en-GB"/>
        </w:rPr>
        <w:t xml:space="preserve">Seats: </w:t>
      </w:r>
    </w:p>
    <w:p>
      <w:pPr>
        <w:spacing w:before="0" w:after="0"/>
        <w:ind w:firstLine="360"/>
        <w:rPr>
          <w:rFonts w:eastAsia="Times New Roman"/>
          <w:noProof/>
          <w:szCs w:val="24"/>
          <w:lang w:eastAsia="en-GB"/>
        </w:rPr>
      </w:pPr>
    </w:p>
    <w:p>
      <w:pPr>
        <w:pStyle w:val="Tiret0"/>
        <w:spacing w:before="0" w:after="0"/>
        <w:rPr>
          <w:noProof/>
          <w:lang w:eastAsia="en-GB"/>
        </w:rPr>
      </w:pPr>
      <w:r>
        <w:rPr>
          <w:noProof/>
          <w:lang w:eastAsia="en-GB"/>
        </w:rPr>
        <w:t>Regulation (EC) No 661/2009 of the European Parliament and of the Council of 13 July 2009 concerning type-approval requirements for the general safety of motor vehicles, their trailers and systems, components and separate technical units intended therefor (OJ L 200, 31.7.2009, p. 1), as last amended by Commission Regulation (EU) 2015/166 of 3 February 2015 (OJ L 28, 4.2.2015, p. 3):</w:t>
      </w:r>
    </w:p>
    <w:p>
      <w:pPr>
        <w:pStyle w:val="Default"/>
        <w:ind w:left="360"/>
        <w:rPr>
          <w:noProof/>
          <w:lang w:eastAsia="en-GB"/>
        </w:rPr>
      </w:pPr>
    </w:p>
    <w:p>
      <w:pPr>
        <w:spacing w:before="0" w:after="0"/>
        <w:ind w:firstLine="360"/>
        <w:rPr>
          <w:rFonts w:eastAsia="Times New Roman"/>
          <w:noProof/>
          <w:szCs w:val="24"/>
          <w:lang w:eastAsia="en-GB"/>
        </w:rPr>
      </w:pPr>
      <w:r>
        <w:rPr>
          <w:rFonts w:eastAsia="Times New Roman"/>
          <w:noProof/>
          <w:szCs w:val="24"/>
          <w:lang w:eastAsia="en-GB"/>
        </w:rPr>
        <w:t xml:space="preserve">Interior construction (prevention of the risk of fire spreading): </w:t>
      </w:r>
    </w:p>
    <w:p>
      <w:pPr>
        <w:spacing w:before="0" w:after="0"/>
        <w:ind w:firstLine="360"/>
        <w:rPr>
          <w:rFonts w:eastAsia="Times New Roman"/>
          <w:noProof/>
          <w:szCs w:val="24"/>
          <w:lang w:eastAsia="en-GB"/>
        </w:rPr>
      </w:pPr>
    </w:p>
    <w:p>
      <w:pPr>
        <w:pStyle w:val="Tiret0"/>
        <w:spacing w:before="0" w:after="0"/>
        <w:rPr>
          <w:noProof/>
          <w:lang w:eastAsia="en-GB"/>
        </w:rPr>
      </w:pPr>
      <w:r>
        <w:rPr>
          <w:noProof/>
          <w:lang w:eastAsia="en-GB"/>
        </w:rPr>
        <w:t>Regulation (EC) No 661/2009 of the European Parliament and of the Council of 13 July 2009 concerning type-approval requirements for the general safety of motor vehicles, their trailers and systems, components and separate technical units intended therefor (OJ L 200, 31.7.2009, p. 1), as last amended by Commission Regulation (EU) 2015/166 of 3 February 2015 (OJ L 28, 4.2.2015, p. 3);</w:t>
      </w:r>
    </w:p>
    <w:p>
      <w:pPr>
        <w:spacing w:before="0" w:after="0"/>
        <w:rPr>
          <w:rFonts w:eastAsia="Times New Roman"/>
          <w:noProof/>
          <w:szCs w:val="24"/>
          <w:lang w:eastAsia="en-GB"/>
        </w:rPr>
      </w:pPr>
    </w:p>
    <w:p>
      <w:pPr>
        <w:spacing w:before="0" w:after="0"/>
        <w:ind w:left="360"/>
        <w:rPr>
          <w:noProof/>
          <w:lang w:eastAsia="en-GB"/>
        </w:rPr>
      </w:pPr>
      <w:r>
        <w:rPr>
          <w:rFonts w:eastAsia="Times New Roman"/>
          <w:noProof/>
          <w:szCs w:val="24"/>
          <w:lang w:eastAsia="en-GB"/>
        </w:rPr>
        <w:t>Interior</w:t>
      </w:r>
      <w:r>
        <w:rPr>
          <w:noProof/>
          <w:lang w:eastAsia="en-GB"/>
        </w:rPr>
        <w:t xml:space="preserve"> </w:t>
      </w:r>
      <w:r>
        <w:rPr>
          <w:rFonts w:eastAsia="Times New Roman"/>
          <w:noProof/>
          <w:szCs w:val="24"/>
          <w:lang w:eastAsia="en-GB"/>
        </w:rPr>
        <w:t>arrangement</w:t>
      </w:r>
      <w:r>
        <w:rPr>
          <w:noProof/>
          <w:lang w:eastAsia="en-GB"/>
        </w:rPr>
        <w:t xml:space="preserve"> (Emergency exits, accessibility, seating dimension, superstructure</w:t>
      </w:r>
      <w:r>
        <w:rPr>
          <w:noProof/>
          <w:lang w:eastAsia="en-GB"/>
        </w:rPr>
        <w:br/>
        <w:t xml:space="preserve">resistance, etc.): </w:t>
      </w:r>
    </w:p>
    <w:p>
      <w:pPr>
        <w:pStyle w:val="BodyTextIndent"/>
        <w:spacing w:before="0" w:after="0"/>
        <w:rPr>
          <w:noProof/>
          <w:lang w:eastAsia="en-GB"/>
        </w:rPr>
      </w:pPr>
    </w:p>
    <w:p>
      <w:pPr>
        <w:pStyle w:val="Tiret0"/>
        <w:spacing w:before="0" w:after="0"/>
        <w:rPr>
          <w:noProof/>
          <w:lang w:eastAsia="en-GB"/>
        </w:rPr>
      </w:pPr>
      <w:r>
        <w:rPr>
          <w:noProof/>
          <w:lang w:eastAsia="en-GB"/>
        </w:rPr>
        <w:t>Regulation (EC) No 661/2009 of the European Parliament and of the Council of 13 July 2009 concerning type-approval requirements for the general safety of motor vehicles, their trailers and systems, components and separate technical units intended therefor (OJ L 200, 31.7.2009, p. 1), as last amended by Commission Regulation (EU) 2015/166 of 3 February 2015 (OJ L 28, 4.2.2015, p. 3);</w:t>
      </w:r>
    </w:p>
    <w:p>
      <w:pPr>
        <w:spacing w:before="0" w:after="0"/>
        <w:rPr>
          <w:rFonts w:eastAsia="Times New Roman"/>
          <w:noProof/>
          <w:szCs w:val="24"/>
          <w:lang w:eastAsia="en-GB"/>
        </w:rPr>
      </w:pPr>
    </w:p>
    <w:p>
      <w:pPr>
        <w:spacing w:before="0" w:after="0"/>
        <w:ind w:firstLine="360"/>
        <w:rPr>
          <w:rFonts w:eastAsia="Times New Roman"/>
          <w:noProof/>
          <w:szCs w:val="24"/>
          <w:lang w:eastAsia="en-GB"/>
        </w:rPr>
      </w:pPr>
      <w:r>
        <w:rPr>
          <w:rFonts w:eastAsia="Times New Roman"/>
          <w:noProof/>
          <w:szCs w:val="24"/>
          <w:lang w:eastAsia="en-GB"/>
        </w:rPr>
        <w:t>Advanced emergency braking systems:</w:t>
      </w:r>
    </w:p>
    <w:p>
      <w:pPr>
        <w:spacing w:before="0" w:after="0"/>
        <w:ind w:firstLine="360"/>
        <w:rPr>
          <w:rFonts w:eastAsia="Times New Roman"/>
          <w:noProof/>
          <w:szCs w:val="24"/>
          <w:lang w:eastAsia="en-GB"/>
        </w:rPr>
      </w:pPr>
    </w:p>
    <w:p>
      <w:pPr>
        <w:pStyle w:val="Tiret0"/>
        <w:spacing w:before="0" w:after="0"/>
        <w:rPr>
          <w:noProof/>
          <w:lang w:eastAsia="en-GB"/>
        </w:rPr>
      </w:pPr>
      <w:r>
        <w:rPr>
          <w:noProof/>
          <w:lang w:eastAsia="en-GB"/>
        </w:rPr>
        <w:t>Regulation (EC) No 661/2009 of the European Parliament and of the Council of 13 July 2009 concerning type-approval requirements for the general safety of motor vehicles, their trailers and systems, components and separate technical units intended therefor (OJ L 200, 31.7.2009, p. 1), as last amended by Commission Regulation (EU) 2015/166 of 3 February 2015 (OJ L 28, 4.2.2015, p. 3);</w:t>
      </w:r>
    </w:p>
    <w:p>
      <w:pPr>
        <w:spacing w:before="0" w:after="0"/>
        <w:rPr>
          <w:rFonts w:eastAsia="Times New Roman"/>
          <w:noProof/>
          <w:szCs w:val="24"/>
          <w:lang w:eastAsia="en-GB"/>
        </w:rPr>
      </w:pPr>
    </w:p>
    <w:p>
      <w:pPr>
        <w:pStyle w:val="Tiret0"/>
        <w:spacing w:before="0" w:after="0"/>
        <w:rPr>
          <w:noProof/>
          <w:lang w:eastAsia="en-GB"/>
        </w:rPr>
      </w:pPr>
      <w:r>
        <w:rPr>
          <w:noProof/>
          <w:lang w:eastAsia="en-GB"/>
        </w:rPr>
        <w:t xml:space="preserve">Commission Regulation (EU) No 347/2012 of 16 April 2012 </w:t>
      </w:r>
      <w:r>
        <w:rPr>
          <w:rFonts w:cs="EUAlbertina"/>
          <w:noProof/>
          <w:color w:val="000000"/>
          <w:szCs w:val="24"/>
          <w:lang w:eastAsia="en-GB"/>
        </w:rPr>
        <w:t xml:space="preserve">implementing Regulation (EC) No 661/2009 of the European Parliament and of the Council with respect to type-approval requirements for certain categories of motor vehicles with regard to </w:t>
      </w:r>
      <w:r>
        <w:rPr>
          <w:noProof/>
          <w:lang w:eastAsia="en-GB"/>
        </w:rPr>
        <w:t>advanced emergency braking systems (OJ L 109, 21.4.2012, p. 1), as last amended by Commission Regulation (EU) 2015/562 of 8 April 2015 (OJ L 93, 9.4.2015, p. 35);</w:t>
      </w:r>
    </w:p>
    <w:p>
      <w:pPr>
        <w:spacing w:before="0" w:after="0"/>
        <w:rPr>
          <w:rFonts w:eastAsia="Times New Roman"/>
          <w:noProof/>
          <w:szCs w:val="24"/>
          <w:lang w:eastAsia="en-GB"/>
        </w:rPr>
      </w:pPr>
    </w:p>
    <w:p>
      <w:pPr>
        <w:spacing w:before="0" w:after="200" w:line="276" w:lineRule="auto"/>
        <w:jc w:val="left"/>
        <w:rPr>
          <w:rFonts w:eastAsia="Times New Roman"/>
          <w:noProof/>
          <w:szCs w:val="24"/>
          <w:lang w:eastAsia="en-GB"/>
        </w:rPr>
      </w:pPr>
      <w:r>
        <w:rPr>
          <w:rFonts w:eastAsia="Times New Roman"/>
          <w:noProof/>
          <w:szCs w:val="24"/>
          <w:lang w:eastAsia="en-GB"/>
        </w:rPr>
        <w:br w:type="page"/>
      </w:r>
    </w:p>
    <w:p>
      <w:pPr>
        <w:spacing w:before="0" w:after="0"/>
        <w:ind w:firstLine="360"/>
        <w:rPr>
          <w:rFonts w:eastAsia="Times New Roman"/>
          <w:noProof/>
          <w:szCs w:val="24"/>
          <w:lang w:eastAsia="en-GB"/>
        </w:rPr>
      </w:pPr>
      <w:r>
        <w:rPr>
          <w:rFonts w:eastAsia="Times New Roman"/>
          <w:noProof/>
          <w:szCs w:val="24"/>
          <w:lang w:eastAsia="en-GB"/>
        </w:rPr>
        <w:lastRenderedPageBreak/>
        <w:t>Lane departure warning system:</w:t>
      </w:r>
    </w:p>
    <w:p>
      <w:pPr>
        <w:spacing w:before="0" w:after="0"/>
        <w:ind w:firstLine="360"/>
        <w:rPr>
          <w:rFonts w:eastAsia="Times New Roman"/>
          <w:noProof/>
          <w:szCs w:val="24"/>
          <w:lang w:eastAsia="en-GB"/>
        </w:rPr>
      </w:pPr>
    </w:p>
    <w:p>
      <w:pPr>
        <w:pStyle w:val="Tiret0"/>
        <w:spacing w:before="0" w:after="0"/>
        <w:rPr>
          <w:noProof/>
          <w:lang w:eastAsia="en-GB"/>
        </w:rPr>
      </w:pPr>
      <w:r>
        <w:rPr>
          <w:noProof/>
          <w:lang w:eastAsia="en-GB"/>
        </w:rPr>
        <w:t>Regulation (EC) No 661/2009 of the European Parliament and of the Council of 13 July 2009 concerning type-approval requirements for the general safety of motor vehicles, their trailers and systems, components and separate technical units intended therefor (OJ L 200, 31.7.2009, p. 1), as last amended by Commission Regulation (EU) 2015/166 of 3 February 2015 (OJ L 28, 4.2.2015, p. 3);</w:t>
      </w:r>
    </w:p>
    <w:p>
      <w:pPr>
        <w:spacing w:before="0" w:after="0"/>
        <w:rPr>
          <w:rFonts w:eastAsia="Times New Roman"/>
          <w:noProof/>
          <w:szCs w:val="24"/>
          <w:lang w:eastAsia="en-GB"/>
        </w:rPr>
      </w:pPr>
    </w:p>
    <w:p>
      <w:pPr>
        <w:pStyle w:val="Tiret0"/>
        <w:spacing w:before="0" w:after="0"/>
        <w:rPr>
          <w:noProof/>
          <w:lang w:eastAsia="en-GB"/>
        </w:rPr>
      </w:pPr>
      <w:r>
        <w:rPr>
          <w:noProof/>
          <w:lang w:eastAsia="en-GB"/>
        </w:rPr>
        <w:t xml:space="preserve">Commission Regulation (EU) No 351/2012 of 23 April 2012 </w:t>
      </w:r>
      <w:r>
        <w:rPr>
          <w:bCs/>
          <w:noProof/>
          <w:lang w:eastAsia="en-GB"/>
        </w:rPr>
        <w:t>implementing Regulation (EC) No 661/2009 of the European Parliament and of the Council as regards type-</w:t>
      </w:r>
      <w:r>
        <w:rPr>
          <w:noProof/>
          <w:lang w:eastAsia="en-GB"/>
        </w:rPr>
        <w:t>approval</w:t>
      </w:r>
      <w:r>
        <w:rPr>
          <w:bCs/>
          <w:noProof/>
          <w:lang w:eastAsia="en-GB"/>
        </w:rPr>
        <w:t xml:space="preserve"> requirements for the installation of lane departure warning systems in motor vehicles</w:t>
      </w:r>
      <w:r>
        <w:rPr>
          <w:noProof/>
          <w:lang w:eastAsia="en-GB"/>
        </w:rPr>
        <w:t xml:space="preserve"> (OJ L 110, 24.4.2012. p. 18).';</w:t>
      </w:r>
    </w:p>
    <w:p>
      <w:pPr>
        <w:spacing w:before="0" w:after="0"/>
        <w:rPr>
          <w:rFonts w:eastAsia="Times New Roman"/>
          <w:noProof/>
          <w:szCs w:val="24"/>
          <w:lang w:eastAsia="en-GB"/>
        </w:rPr>
      </w:pPr>
    </w:p>
    <w:p>
      <w:pPr>
        <w:pStyle w:val="Default"/>
        <w:jc w:val="both"/>
        <w:rPr>
          <w:noProof/>
        </w:rPr>
      </w:pPr>
      <w:r>
        <w:rPr>
          <w:rFonts w:cs="Times New Roman"/>
          <w:noProof/>
          <w:u w:val="single"/>
        </w:rPr>
        <w:t>(ii) the table is replaced by the following table:</w:t>
      </w:r>
    </w:p>
    <w:p>
      <w:pPr>
        <w:pStyle w:val="Default"/>
        <w:jc w:val="both"/>
        <w:rPr>
          <w:noProof/>
        </w:rPr>
      </w:pPr>
    </w:p>
    <w:tbl>
      <w:tblPr>
        <w:tblStyle w:val="TableGrid"/>
        <w:tblW w:w="0" w:type="auto"/>
        <w:tblLook w:val="04A0" w:firstRow="1" w:lastRow="0" w:firstColumn="1" w:lastColumn="0" w:noHBand="0" w:noVBand="1"/>
      </w:tblPr>
      <w:tblGrid>
        <w:gridCol w:w="3227"/>
        <w:gridCol w:w="2693"/>
        <w:gridCol w:w="2693"/>
      </w:tblGrid>
      <w:tr>
        <w:tc>
          <w:tcPr>
            <w:tcW w:w="3227" w:type="dxa"/>
          </w:tcPr>
          <w:p>
            <w:pPr>
              <w:spacing w:before="0" w:after="0"/>
              <w:rPr>
                <w:rFonts w:eastAsia="Times New Roman"/>
                <w:b/>
                <w:noProof/>
                <w:sz w:val="20"/>
                <w:szCs w:val="20"/>
                <w:lang w:eastAsia="en-GB"/>
              </w:rPr>
            </w:pPr>
            <w:r>
              <w:rPr>
                <w:rFonts w:eastAsia="Times New Roman"/>
                <w:noProof/>
                <w:sz w:val="20"/>
                <w:szCs w:val="20"/>
                <w:lang w:eastAsia="en-GB"/>
              </w:rPr>
              <w:t>'</w:t>
            </w:r>
            <w:r>
              <w:rPr>
                <w:rFonts w:eastAsia="Times New Roman"/>
                <w:b/>
                <w:noProof/>
                <w:sz w:val="20"/>
                <w:szCs w:val="20"/>
                <w:lang w:eastAsia="en-GB"/>
              </w:rPr>
              <w:t>Heading</w:t>
            </w:r>
          </w:p>
        </w:tc>
        <w:tc>
          <w:tcPr>
            <w:tcW w:w="2693" w:type="dxa"/>
          </w:tcPr>
          <w:p>
            <w:pPr>
              <w:spacing w:before="0" w:after="0"/>
              <w:rPr>
                <w:rFonts w:eastAsia="Times New Roman"/>
                <w:b/>
                <w:noProof/>
                <w:sz w:val="20"/>
                <w:szCs w:val="20"/>
                <w:lang w:eastAsia="en-GB"/>
              </w:rPr>
            </w:pPr>
            <w:r>
              <w:rPr>
                <w:rFonts w:eastAsia="Times New Roman"/>
                <w:b/>
                <w:noProof/>
                <w:sz w:val="20"/>
                <w:szCs w:val="20"/>
                <w:lang w:eastAsia="en-GB"/>
              </w:rPr>
              <w:t>UN-ECE Regulation</w:t>
            </w:r>
          </w:p>
          <w:p>
            <w:pPr>
              <w:pStyle w:val="Default"/>
              <w:rPr>
                <w:rFonts w:eastAsia="Times New Roman" w:cs="Times New Roman"/>
                <w:noProof/>
                <w:sz w:val="20"/>
                <w:szCs w:val="20"/>
                <w:lang w:eastAsia="en-GB"/>
              </w:rPr>
            </w:pPr>
            <w:r>
              <w:rPr>
                <w:rFonts w:eastAsia="Times New Roman" w:cs="Times New Roman"/>
                <w:noProof/>
                <w:sz w:val="20"/>
                <w:szCs w:val="20"/>
                <w:lang w:eastAsia="en-GB"/>
              </w:rPr>
              <w:t>(in its latest applicable version)</w:t>
            </w:r>
          </w:p>
          <w:p>
            <w:pPr>
              <w:spacing w:before="0" w:after="0"/>
              <w:rPr>
                <w:rFonts w:eastAsia="Times New Roman"/>
                <w:b/>
                <w:noProof/>
                <w:sz w:val="20"/>
                <w:szCs w:val="20"/>
                <w:lang w:eastAsia="en-GB"/>
              </w:rPr>
            </w:pPr>
          </w:p>
        </w:tc>
        <w:tc>
          <w:tcPr>
            <w:tcW w:w="2693" w:type="dxa"/>
          </w:tcPr>
          <w:p>
            <w:pPr>
              <w:spacing w:before="0" w:after="0"/>
              <w:jc w:val="left"/>
              <w:rPr>
                <w:rFonts w:eastAsia="Times New Roman"/>
                <w:b/>
                <w:noProof/>
                <w:sz w:val="20"/>
                <w:szCs w:val="20"/>
                <w:lang w:eastAsia="en-GB"/>
              </w:rPr>
            </w:pPr>
            <w:r>
              <w:rPr>
                <w:rFonts w:eastAsia="Times New Roman"/>
                <w:b/>
                <w:noProof/>
                <w:sz w:val="20"/>
                <w:szCs w:val="20"/>
                <w:lang w:eastAsia="en-GB"/>
              </w:rPr>
              <w:t>Union act</w:t>
            </w:r>
            <w:r>
              <w:rPr>
                <w:rFonts w:eastAsia="Times New Roman"/>
                <w:b/>
                <w:noProof/>
                <w:sz w:val="20"/>
                <w:szCs w:val="20"/>
                <w:lang w:eastAsia="en-GB"/>
              </w:rPr>
              <w:br/>
            </w:r>
          </w:p>
        </w:tc>
      </w:tr>
      <w:tr>
        <w:tc>
          <w:tcPr>
            <w:tcW w:w="3227" w:type="dxa"/>
          </w:tcPr>
          <w:p>
            <w:pPr>
              <w:spacing w:before="0" w:after="0"/>
              <w:rPr>
                <w:rFonts w:eastAsia="Times New Roman"/>
                <w:noProof/>
                <w:sz w:val="20"/>
                <w:szCs w:val="20"/>
                <w:lang w:eastAsia="en-GB"/>
              </w:rPr>
            </w:pPr>
            <w:r>
              <w:rPr>
                <w:rFonts w:eastAsia="Times New Roman"/>
                <w:noProof/>
                <w:sz w:val="20"/>
                <w:szCs w:val="20"/>
                <w:lang w:eastAsia="en-GB"/>
              </w:rPr>
              <w:t>Exhaust emissions</w:t>
            </w:r>
          </w:p>
        </w:tc>
        <w:tc>
          <w:tcPr>
            <w:tcW w:w="2693" w:type="dxa"/>
          </w:tcPr>
          <w:p>
            <w:pPr>
              <w:spacing w:before="0" w:after="0"/>
              <w:rPr>
                <w:rFonts w:eastAsia="Times New Roman"/>
                <w:noProof/>
                <w:sz w:val="20"/>
                <w:szCs w:val="20"/>
                <w:lang w:eastAsia="en-GB"/>
              </w:rPr>
            </w:pPr>
            <w:r>
              <w:rPr>
                <w:rFonts w:eastAsia="Times New Roman"/>
                <w:noProof/>
                <w:sz w:val="20"/>
                <w:szCs w:val="20"/>
                <w:lang w:eastAsia="en-GB"/>
              </w:rPr>
              <w:t>49</w:t>
            </w:r>
          </w:p>
          <w:p>
            <w:pPr>
              <w:spacing w:before="0" w:after="0"/>
              <w:rPr>
                <w:rFonts w:eastAsia="Times New Roman"/>
                <w:noProof/>
                <w:sz w:val="20"/>
                <w:szCs w:val="20"/>
                <w:lang w:eastAsia="en-GB"/>
              </w:rPr>
            </w:pPr>
          </w:p>
        </w:tc>
        <w:tc>
          <w:tcPr>
            <w:tcW w:w="2693" w:type="dxa"/>
          </w:tcPr>
          <w:p>
            <w:pPr>
              <w:spacing w:before="0" w:after="0"/>
              <w:rPr>
                <w:rFonts w:eastAsia="Times New Roman"/>
                <w:noProof/>
                <w:sz w:val="20"/>
                <w:szCs w:val="20"/>
                <w:lang w:eastAsia="en-GB"/>
              </w:rPr>
            </w:pPr>
            <w:r>
              <w:rPr>
                <w:rFonts w:eastAsia="Times New Roman"/>
                <w:noProof/>
                <w:sz w:val="20"/>
                <w:szCs w:val="20"/>
                <w:lang w:eastAsia="en-GB"/>
              </w:rPr>
              <w:t>Regulation (EC) No 715/ 2007, as last amended by Regulation (EU) No 459/2012.</w:t>
            </w:r>
          </w:p>
          <w:p>
            <w:pPr>
              <w:spacing w:before="0" w:after="0"/>
              <w:rPr>
                <w:rFonts w:eastAsia="Times New Roman"/>
                <w:noProof/>
                <w:sz w:val="20"/>
                <w:szCs w:val="20"/>
                <w:lang w:eastAsia="en-GB"/>
              </w:rPr>
            </w:pPr>
          </w:p>
          <w:p>
            <w:pPr>
              <w:spacing w:before="0" w:after="0"/>
              <w:rPr>
                <w:rFonts w:eastAsia="Times New Roman"/>
                <w:noProof/>
                <w:sz w:val="20"/>
                <w:szCs w:val="20"/>
                <w:lang w:eastAsia="en-GB"/>
              </w:rPr>
            </w:pPr>
            <w:r>
              <w:rPr>
                <w:rFonts w:eastAsia="Times New Roman"/>
                <w:noProof/>
                <w:sz w:val="20"/>
                <w:szCs w:val="20"/>
                <w:lang w:eastAsia="en-GB"/>
              </w:rPr>
              <w:t xml:space="preserve">Regulation (EC) No 595/ 2009, as last amended by </w:t>
            </w:r>
            <w:r>
              <w:rPr>
                <w:rFonts w:eastAsia="Times New Roman"/>
                <w:bCs/>
                <w:noProof/>
                <w:sz w:val="20"/>
                <w:szCs w:val="20"/>
                <w:lang w:eastAsia="en-GB"/>
              </w:rPr>
              <w:t>Regulation (EU) No 133/2014.</w:t>
            </w:r>
          </w:p>
          <w:p>
            <w:pPr>
              <w:spacing w:before="0" w:after="0"/>
              <w:rPr>
                <w:rFonts w:eastAsia="Times New Roman"/>
                <w:noProof/>
                <w:sz w:val="20"/>
                <w:szCs w:val="20"/>
                <w:lang w:eastAsia="en-GB"/>
              </w:rPr>
            </w:pPr>
          </w:p>
        </w:tc>
      </w:tr>
      <w:tr>
        <w:tc>
          <w:tcPr>
            <w:tcW w:w="3227" w:type="dxa"/>
          </w:tcPr>
          <w:p>
            <w:pPr>
              <w:spacing w:before="0" w:after="0"/>
              <w:rPr>
                <w:rFonts w:eastAsia="Times New Roman"/>
                <w:noProof/>
                <w:sz w:val="20"/>
                <w:szCs w:val="20"/>
                <w:lang w:eastAsia="en-GB"/>
              </w:rPr>
            </w:pPr>
            <w:r>
              <w:rPr>
                <w:rFonts w:eastAsia="Times New Roman"/>
                <w:noProof/>
                <w:sz w:val="20"/>
                <w:szCs w:val="20"/>
                <w:lang w:eastAsia="en-GB"/>
              </w:rPr>
              <w:t>Noise emissions</w:t>
            </w:r>
          </w:p>
        </w:tc>
        <w:tc>
          <w:tcPr>
            <w:tcW w:w="2693" w:type="dxa"/>
          </w:tcPr>
          <w:p>
            <w:pPr>
              <w:spacing w:before="0" w:after="0"/>
              <w:rPr>
                <w:rFonts w:eastAsia="Times New Roman"/>
                <w:noProof/>
                <w:sz w:val="20"/>
                <w:szCs w:val="20"/>
                <w:lang w:eastAsia="en-GB"/>
              </w:rPr>
            </w:pPr>
            <w:r>
              <w:rPr>
                <w:rFonts w:eastAsia="Times New Roman"/>
                <w:noProof/>
                <w:sz w:val="20"/>
                <w:szCs w:val="20"/>
                <w:lang w:eastAsia="en-GB"/>
              </w:rPr>
              <w:t>51</w:t>
            </w:r>
          </w:p>
          <w:p>
            <w:pPr>
              <w:spacing w:before="0" w:after="0"/>
              <w:rPr>
                <w:rFonts w:eastAsia="Times New Roman"/>
                <w:noProof/>
                <w:sz w:val="20"/>
                <w:szCs w:val="20"/>
                <w:lang w:eastAsia="en-GB"/>
              </w:rPr>
            </w:pPr>
          </w:p>
        </w:tc>
        <w:tc>
          <w:tcPr>
            <w:tcW w:w="2693" w:type="dxa"/>
          </w:tcPr>
          <w:p>
            <w:pPr>
              <w:spacing w:before="0" w:after="0"/>
              <w:rPr>
                <w:rFonts w:eastAsia="Times New Roman"/>
                <w:noProof/>
                <w:sz w:val="20"/>
                <w:szCs w:val="20"/>
                <w:lang w:eastAsia="en-GB"/>
              </w:rPr>
            </w:pPr>
            <w:r>
              <w:rPr>
                <w:rFonts w:eastAsia="Times New Roman"/>
                <w:noProof/>
                <w:sz w:val="20"/>
                <w:szCs w:val="20"/>
                <w:lang w:eastAsia="en-GB"/>
              </w:rPr>
              <w:t>Directive 70/157/EEC, as last amended by Council Directive 2013/15/EU, which shall apply until 30 June 2027 subject to Article 14 of Regulation (EU) No 540/2014;</w:t>
            </w:r>
          </w:p>
          <w:p>
            <w:pPr>
              <w:spacing w:before="0" w:after="0"/>
              <w:rPr>
                <w:rFonts w:eastAsia="Times New Roman"/>
                <w:noProof/>
                <w:sz w:val="20"/>
                <w:szCs w:val="20"/>
                <w:lang w:eastAsia="en-GB"/>
              </w:rPr>
            </w:pPr>
          </w:p>
          <w:p>
            <w:pPr>
              <w:spacing w:before="0" w:after="0"/>
              <w:rPr>
                <w:rFonts w:eastAsia="Times New Roman"/>
                <w:noProof/>
                <w:sz w:val="20"/>
                <w:szCs w:val="20"/>
                <w:lang w:eastAsia="en-GB"/>
              </w:rPr>
            </w:pPr>
            <w:r>
              <w:rPr>
                <w:rFonts w:eastAsia="Times New Roman"/>
                <w:noProof/>
                <w:sz w:val="20"/>
                <w:szCs w:val="20"/>
                <w:lang w:eastAsia="en-GB"/>
              </w:rPr>
              <w:t>Regulation (EU) No 540/2014, which shall apply in accordance with Article 15 thereof from 1 July 2016, 1 July 2019 and 1 July 2027.</w:t>
            </w:r>
          </w:p>
          <w:p>
            <w:pPr>
              <w:spacing w:before="0" w:after="0"/>
              <w:rPr>
                <w:rFonts w:eastAsia="Times New Roman"/>
                <w:noProof/>
                <w:sz w:val="20"/>
                <w:szCs w:val="20"/>
                <w:lang w:eastAsia="en-GB"/>
              </w:rPr>
            </w:pPr>
          </w:p>
        </w:tc>
      </w:tr>
      <w:tr>
        <w:tc>
          <w:tcPr>
            <w:tcW w:w="3227" w:type="dxa"/>
          </w:tcPr>
          <w:p>
            <w:pPr>
              <w:spacing w:before="0" w:after="0"/>
              <w:rPr>
                <w:rFonts w:eastAsia="Times New Roman"/>
                <w:noProof/>
                <w:sz w:val="20"/>
                <w:szCs w:val="20"/>
                <w:lang w:eastAsia="en-GB"/>
              </w:rPr>
            </w:pPr>
            <w:r>
              <w:rPr>
                <w:rFonts w:eastAsia="Times New Roman"/>
                <w:noProof/>
                <w:sz w:val="20"/>
                <w:szCs w:val="20"/>
                <w:lang w:eastAsia="en-GB"/>
              </w:rPr>
              <w:t>Braking devices</w:t>
            </w:r>
          </w:p>
        </w:tc>
        <w:tc>
          <w:tcPr>
            <w:tcW w:w="2693" w:type="dxa"/>
          </w:tcPr>
          <w:p>
            <w:pPr>
              <w:spacing w:before="0" w:after="0"/>
              <w:rPr>
                <w:noProof/>
                <w:color w:val="000000"/>
                <w:sz w:val="20"/>
                <w:szCs w:val="20"/>
              </w:rPr>
            </w:pPr>
            <w:r>
              <w:rPr>
                <w:noProof/>
                <w:color w:val="000000"/>
                <w:sz w:val="20"/>
                <w:szCs w:val="20"/>
              </w:rPr>
              <w:t>13</w:t>
            </w:r>
          </w:p>
          <w:p>
            <w:pPr>
              <w:spacing w:before="0" w:after="0"/>
              <w:rPr>
                <w:rFonts w:eastAsia="Times New Roman"/>
                <w:noProof/>
                <w:sz w:val="20"/>
                <w:szCs w:val="20"/>
                <w:lang w:eastAsia="en-GB"/>
              </w:rPr>
            </w:pPr>
          </w:p>
        </w:tc>
        <w:tc>
          <w:tcPr>
            <w:tcW w:w="2693" w:type="dxa"/>
          </w:tcPr>
          <w:p>
            <w:pPr>
              <w:spacing w:before="0" w:after="0"/>
              <w:rPr>
                <w:rFonts w:eastAsia="Times New Roman"/>
                <w:noProof/>
                <w:sz w:val="20"/>
                <w:szCs w:val="20"/>
                <w:lang w:eastAsia="en-GB"/>
              </w:rPr>
            </w:pPr>
            <w:r>
              <w:rPr>
                <w:rFonts w:eastAsia="Times New Roman"/>
                <w:noProof/>
                <w:sz w:val="20"/>
                <w:szCs w:val="20"/>
                <w:lang w:eastAsia="en-GB"/>
              </w:rPr>
              <w:t>Regulation (EC) No 661/2009,</w:t>
            </w:r>
            <w:r>
              <w:rPr>
                <w:noProof/>
                <w:color w:val="000000"/>
                <w:sz w:val="20"/>
                <w:szCs w:val="20"/>
              </w:rPr>
              <w:t xml:space="preserve"> </w:t>
            </w:r>
            <w:r>
              <w:rPr>
                <w:rFonts w:eastAsia="Times New Roman"/>
                <w:noProof/>
                <w:sz w:val="20"/>
                <w:szCs w:val="20"/>
                <w:lang w:eastAsia="en-GB"/>
              </w:rPr>
              <w:t>as last amended by Regulation (EU) 2015/166.</w:t>
            </w:r>
          </w:p>
          <w:p>
            <w:pPr>
              <w:spacing w:before="0" w:after="0"/>
              <w:rPr>
                <w:rFonts w:eastAsia="Times New Roman"/>
                <w:noProof/>
                <w:sz w:val="20"/>
                <w:szCs w:val="20"/>
                <w:lang w:eastAsia="en-GB"/>
              </w:rPr>
            </w:pPr>
          </w:p>
        </w:tc>
      </w:tr>
      <w:tr>
        <w:tc>
          <w:tcPr>
            <w:tcW w:w="3227" w:type="dxa"/>
          </w:tcPr>
          <w:p>
            <w:pPr>
              <w:spacing w:before="0" w:after="0"/>
              <w:rPr>
                <w:rFonts w:eastAsia="Times New Roman"/>
                <w:noProof/>
                <w:sz w:val="20"/>
                <w:szCs w:val="20"/>
                <w:lang w:eastAsia="en-GB"/>
              </w:rPr>
            </w:pPr>
            <w:r>
              <w:rPr>
                <w:rFonts w:eastAsia="Times New Roman"/>
                <w:noProof/>
                <w:sz w:val="20"/>
                <w:szCs w:val="20"/>
                <w:lang w:eastAsia="en-GB"/>
              </w:rPr>
              <w:t>Tyres</w:t>
            </w:r>
          </w:p>
        </w:tc>
        <w:tc>
          <w:tcPr>
            <w:tcW w:w="2693" w:type="dxa"/>
          </w:tcPr>
          <w:p>
            <w:pPr>
              <w:spacing w:before="0" w:after="0"/>
              <w:rPr>
                <w:rFonts w:eastAsia="Times New Roman"/>
                <w:noProof/>
                <w:sz w:val="20"/>
                <w:szCs w:val="20"/>
                <w:lang w:eastAsia="en-GB"/>
              </w:rPr>
            </w:pPr>
            <w:r>
              <w:rPr>
                <w:rFonts w:eastAsia="Times New Roman"/>
                <w:noProof/>
                <w:sz w:val="20"/>
                <w:szCs w:val="20"/>
                <w:lang w:eastAsia="en-GB"/>
              </w:rPr>
              <w:t>54</w:t>
            </w:r>
          </w:p>
          <w:p>
            <w:pPr>
              <w:spacing w:before="0" w:after="0"/>
              <w:rPr>
                <w:rFonts w:eastAsia="Times New Roman"/>
                <w:noProof/>
                <w:sz w:val="20"/>
                <w:szCs w:val="20"/>
                <w:lang w:eastAsia="en-GB"/>
              </w:rPr>
            </w:pPr>
            <w:r>
              <w:rPr>
                <w:rFonts w:eastAsia="Times New Roman"/>
                <w:noProof/>
                <w:sz w:val="20"/>
                <w:szCs w:val="20"/>
                <w:lang w:eastAsia="en-GB"/>
              </w:rPr>
              <w:t>117</w:t>
            </w:r>
          </w:p>
          <w:p>
            <w:pPr>
              <w:spacing w:before="0" w:after="0"/>
              <w:rPr>
                <w:rFonts w:eastAsia="Times New Roman"/>
                <w:noProof/>
                <w:sz w:val="20"/>
                <w:szCs w:val="20"/>
                <w:lang w:eastAsia="en-GB"/>
              </w:rPr>
            </w:pPr>
          </w:p>
        </w:tc>
        <w:tc>
          <w:tcPr>
            <w:tcW w:w="2693" w:type="dxa"/>
          </w:tcPr>
          <w:p>
            <w:pPr>
              <w:spacing w:before="0" w:after="0"/>
              <w:rPr>
                <w:rFonts w:eastAsia="Times New Roman"/>
                <w:noProof/>
                <w:sz w:val="20"/>
                <w:szCs w:val="20"/>
                <w:lang w:eastAsia="en-GB"/>
              </w:rPr>
            </w:pPr>
            <w:r>
              <w:rPr>
                <w:rFonts w:eastAsia="Times New Roman"/>
                <w:noProof/>
                <w:sz w:val="20"/>
                <w:szCs w:val="20"/>
                <w:lang w:eastAsia="en-GB"/>
              </w:rPr>
              <w:t>Regulation (EC) No 661/2009,</w:t>
            </w:r>
            <w:r>
              <w:rPr>
                <w:noProof/>
                <w:color w:val="000000"/>
                <w:sz w:val="20"/>
                <w:szCs w:val="20"/>
              </w:rPr>
              <w:t xml:space="preserve"> </w:t>
            </w:r>
            <w:r>
              <w:rPr>
                <w:rFonts w:eastAsia="Times New Roman"/>
                <w:noProof/>
                <w:sz w:val="20"/>
                <w:szCs w:val="20"/>
                <w:lang w:eastAsia="en-GB"/>
              </w:rPr>
              <w:t>as last amended by Regulation (EU) 2015/166.</w:t>
            </w:r>
          </w:p>
          <w:p>
            <w:pPr>
              <w:spacing w:before="0" w:after="0"/>
              <w:rPr>
                <w:rFonts w:eastAsia="Times New Roman"/>
                <w:noProof/>
                <w:sz w:val="20"/>
                <w:szCs w:val="20"/>
                <w:lang w:eastAsia="en-GB"/>
              </w:rPr>
            </w:pPr>
          </w:p>
        </w:tc>
      </w:tr>
      <w:tr>
        <w:tc>
          <w:tcPr>
            <w:tcW w:w="3227" w:type="dxa"/>
          </w:tcPr>
          <w:p>
            <w:pPr>
              <w:spacing w:before="0" w:after="0"/>
              <w:rPr>
                <w:rFonts w:eastAsia="Times New Roman"/>
                <w:noProof/>
                <w:sz w:val="20"/>
                <w:szCs w:val="20"/>
                <w:lang w:eastAsia="en-GB"/>
              </w:rPr>
            </w:pPr>
            <w:r>
              <w:rPr>
                <w:rFonts w:eastAsia="Times New Roman"/>
                <w:noProof/>
                <w:sz w:val="20"/>
                <w:szCs w:val="20"/>
                <w:lang w:eastAsia="en-GB"/>
              </w:rPr>
              <w:t>Lighting and light- signalling devices</w:t>
            </w:r>
          </w:p>
        </w:tc>
        <w:tc>
          <w:tcPr>
            <w:tcW w:w="2693" w:type="dxa"/>
          </w:tcPr>
          <w:p>
            <w:pPr>
              <w:spacing w:before="0" w:after="0"/>
              <w:rPr>
                <w:rFonts w:eastAsia="Times New Roman"/>
                <w:noProof/>
                <w:sz w:val="20"/>
                <w:szCs w:val="20"/>
                <w:lang w:eastAsia="en-GB"/>
              </w:rPr>
            </w:pPr>
            <w:r>
              <w:rPr>
                <w:rFonts w:eastAsia="Times New Roman"/>
                <w:noProof/>
                <w:sz w:val="20"/>
                <w:szCs w:val="20"/>
                <w:lang w:eastAsia="en-GB"/>
              </w:rPr>
              <w:t>48</w:t>
            </w:r>
          </w:p>
        </w:tc>
        <w:tc>
          <w:tcPr>
            <w:tcW w:w="2693" w:type="dxa"/>
          </w:tcPr>
          <w:p>
            <w:pPr>
              <w:spacing w:before="0" w:after="0"/>
              <w:rPr>
                <w:rFonts w:eastAsia="Times New Roman"/>
                <w:noProof/>
                <w:sz w:val="20"/>
                <w:szCs w:val="20"/>
                <w:lang w:eastAsia="en-GB"/>
              </w:rPr>
            </w:pPr>
            <w:r>
              <w:rPr>
                <w:rFonts w:eastAsia="Times New Roman"/>
                <w:noProof/>
                <w:sz w:val="20"/>
                <w:szCs w:val="20"/>
                <w:lang w:eastAsia="en-GB"/>
              </w:rPr>
              <w:t>Regulation (EC) No 661/2009, as last amended by Regulation (EU) 2015/166.</w:t>
            </w:r>
          </w:p>
          <w:p>
            <w:pPr>
              <w:spacing w:before="0" w:after="0"/>
              <w:rPr>
                <w:rFonts w:eastAsia="Times New Roman"/>
                <w:noProof/>
                <w:sz w:val="20"/>
                <w:szCs w:val="20"/>
                <w:lang w:eastAsia="en-GB"/>
              </w:rPr>
            </w:pPr>
          </w:p>
        </w:tc>
      </w:tr>
    </w:tbl>
    <w:p>
      <w:pPr>
        <w:rPr>
          <w:noProof/>
        </w:rPr>
      </w:pPr>
      <w:r>
        <w:rPr>
          <w:noProof/>
        </w:rPr>
        <w:lastRenderedPageBreak/>
        <w:br w:type="page"/>
      </w:r>
    </w:p>
    <w:tbl>
      <w:tblPr>
        <w:tblStyle w:val="TableGrid"/>
        <w:tblW w:w="0" w:type="auto"/>
        <w:tblLook w:val="04A0" w:firstRow="1" w:lastRow="0" w:firstColumn="1" w:lastColumn="0" w:noHBand="0" w:noVBand="1"/>
      </w:tblPr>
      <w:tblGrid>
        <w:gridCol w:w="3227"/>
        <w:gridCol w:w="2693"/>
        <w:gridCol w:w="2693"/>
      </w:tblGrid>
      <w:tr>
        <w:tc>
          <w:tcPr>
            <w:tcW w:w="3227" w:type="dxa"/>
          </w:tcPr>
          <w:p>
            <w:pPr>
              <w:spacing w:before="0" w:after="0"/>
              <w:rPr>
                <w:rFonts w:eastAsia="Times New Roman"/>
                <w:noProof/>
                <w:sz w:val="20"/>
                <w:szCs w:val="20"/>
                <w:lang w:eastAsia="en-GB"/>
              </w:rPr>
            </w:pPr>
            <w:r>
              <w:rPr>
                <w:noProof/>
              </w:rPr>
              <w:lastRenderedPageBreak/>
              <w:br w:type="page"/>
            </w:r>
            <w:r>
              <w:rPr>
                <w:rFonts w:eastAsia="Times New Roman"/>
                <w:noProof/>
                <w:sz w:val="20"/>
                <w:szCs w:val="20"/>
                <w:lang w:eastAsia="en-GB"/>
              </w:rPr>
              <w:t>Fuel tank</w:t>
            </w:r>
          </w:p>
        </w:tc>
        <w:tc>
          <w:tcPr>
            <w:tcW w:w="2693" w:type="dxa"/>
          </w:tcPr>
          <w:p>
            <w:pPr>
              <w:spacing w:before="0" w:after="0"/>
              <w:rPr>
                <w:rFonts w:eastAsia="Times New Roman"/>
                <w:noProof/>
                <w:sz w:val="20"/>
                <w:szCs w:val="20"/>
                <w:lang w:eastAsia="en-GB"/>
              </w:rPr>
            </w:pPr>
            <w:r>
              <w:rPr>
                <w:rFonts w:eastAsia="Times New Roman"/>
                <w:noProof/>
                <w:sz w:val="20"/>
                <w:szCs w:val="20"/>
                <w:lang w:eastAsia="en-GB"/>
              </w:rPr>
              <w:t>34</w:t>
            </w:r>
          </w:p>
          <w:p>
            <w:pPr>
              <w:spacing w:before="0" w:after="0"/>
              <w:rPr>
                <w:rFonts w:eastAsia="Times New Roman"/>
                <w:noProof/>
                <w:sz w:val="20"/>
                <w:szCs w:val="20"/>
                <w:lang w:eastAsia="en-GB"/>
              </w:rPr>
            </w:pPr>
            <w:r>
              <w:rPr>
                <w:rFonts w:eastAsia="Times New Roman"/>
                <w:noProof/>
                <w:sz w:val="20"/>
                <w:szCs w:val="20"/>
                <w:lang w:eastAsia="en-GB"/>
              </w:rPr>
              <w:t>58</w:t>
            </w:r>
          </w:p>
          <w:p>
            <w:pPr>
              <w:spacing w:before="0" w:after="0"/>
              <w:rPr>
                <w:rFonts w:eastAsia="Times New Roman"/>
                <w:noProof/>
                <w:sz w:val="20"/>
                <w:szCs w:val="20"/>
                <w:lang w:eastAsia="en-GB"/>
              </w:rPr>
            </w:pPr>
          </w:p>
        </w:tc>
        <w:tc>
          <w:tcPr>
            <w:tcW w:w="2693" w:type="dxa"/>
          </w:tcPr>
          <w:p>
            <w:pPr>
              <w:spacing w:before="0" w:after="0"/>
              <w:rPr>
                <w:rFonts w:eastAsia="Times New Roman"/>
                <w:noProof/>
                <w:sz w:val="20"/>
                <w:szCs w:val="20"/>
                <w:lang w:eastAsia="en-GB"/>
              </w:rPr>
            </w:pPr>
            <w:r>
              <w:rPr>
                <w:rFonts w:eastAsia="Times New Roman"/>
                <w:noProof/>
                <w:sz w:val="20"/>
                <w:szCs w:val="20"/>
                <w:lang w:eastAsia="en-GB"/>
              </w:rPr>
              <w:t>Regulation (EC) No 661/2009, as last amended by Regulation (EU) 2015/166.</w:t>
            </w:r>
          </w:p>
          <w:p>
            <w:pPr>
              <w:spacing w:before="0" w:after="0"/>
              <w:rPr>
                <w:rFonts w:eastAsia="Times New Roman"/>
                <w:noProof/>
                <w:sz w:val="20"/>
                <w:szCs w:val="20"/>
                <w:lang w:eastAsia="en-GB"/>
              </w:rPr>
            </w:pPr>
          </w:p>
        </w:tc>
      </w:tr>
      <w:tr>
        <w:tc>
          <w:tcPr>
            <w:tcW w:w="3227" w:type="dxa"/>
          </w:tcPr>
          <w:p>
            <w:pPr>
              <w:spacing w:before="0" w:after="0"/>
              <w:rPr>
                <w:noProof/>
                <w:color w:val="000000"/>
                <w:sz w:val="20"/>
                <w:szCs w:val="20"/>
              </w:rPr>
            </w:pPr>
            <w:r>
              <w:rPr>
                <w:noProof/>
                <w:color w:val="000000"/>
                <w:sz w:val="20"/>
                <w:szCs w:val="20"/>
              </w:rPr>
              <w:t>Rear-view mirrors</w:t>
            </w:r>
          </w:p>
          <w:p>
            <w:pPr>
              <w:spacing w:before="0" w:after="0"/>
              <w:rPr>
                <w:noProof/>
                <w:color w:val="000000"/>
                <w:sz w:val="20"/>
                <w:szCs w:val="20"/>
              </w:rPr>
            </w:pPr>
          </w:p>
        </w:tc>
        <w:tc>
          <w:tcPr>
            <w:tcW w:w="2693" w:type="dxa"/>
          </w:tcPr>
          <w:p>
            <w:pPr>
              <w:spacing w:before="0" w:after="0"/>
              <w:rPr>
                <w:rFonts w:eastAsia="Times New Roman"/>
                <w:noProof/>
                <w:sz w:val="20"/>
                <w:szCs w:val="20"/>
                <w:lang w:eastAsia="en-GB"/>
              </w:rPr>
            </w:pPr>
            <w:r>
              <w:rPr>
                <w:rFonts w:eastAsia="Times New Roman"/>
                <w:noProof/>
                <w:sz w:val="20"/>
                <w:szCs w:val="20"/>
                <w:lang w:eastAsia="en-GB"/>
              </w:rPr>
              <w:t>46</w:t>
            </w:r>
          </w:p>
        </w:tc>
        <w:tc>
          <w:tcPr>
            <w:tcW w:w="2693" w:type="dxa"/>
          </w:tcPr>
          <w:p>
            <w:pPr>
              <w:spacing w:before="0" w:after="0"/>
              <w:rPr>
                <w:noProof/>
                <w:color w:val="000000"/>
                <w:sz w:val="20"/>
                <w:szCs w:val="20"/>
              </w:rPr>
            </w:pPr>
            <w:r>
              <w:rPr>
                <w:noProof/>
                <w:color w:val="000000"/>
                <w:sz w:val="20"/>
                <w:szCs w:val="20"/>
              </w:rPr>
              <w:t>Regulation (EC) No 661/2009</w:t>
            </w:r>
            <w:r>
              <w:rPr>
                <w:rFonts w:eastAsia="Times New Roman"/>
                <w:noProof/>
                <w:sz w:val="20"/>
                <w:szCs w:val="20"/>
                <w:lang w:eastAsia="en-GB"/>
              </w:rPr>
              <w:t>, as last amended by Regulation (EU) 2015/166.</w:t>
            </w:r>
          </w:p>
          <w:p>
            <w:pPr>
              <w:spacing w:before="0" w:after="0"/>
              <w:rPr>
                <w:rFonts w:eastAsia="Times New Roman"/>
                <w:noProof/>
                <w:sz w:val="20"/>
                <w:szCs w:val="20"/>
                <w:lang w:eastAsia="en-GB"/>
              </w:rPr>
            </w:pPr>
          </w:p>
        </w:tc>
      </w:tr>
      <w:tr>
        <w:tc>
          <w:tcPr>
            <w:tcW w:w="3227" w:type="dxa"/>
          </w:tcPr>
          <w:p>
            <w:pPr>
              <w:spacing w:before="0" w:after="0"/>
              <w:rPr>
                <w:noProof/>
                <w:color w:val="000000"/>
                <w:sz w:val="20"/>
                <w:szCs w:val="20"/>
              </w:rPr>
            </w:pPr>
            <w:r>
              <w:rPr>
                <w:noProof/>
                <w:color w:val="000000"/>
                <w:sz w:val="20"/>
                <w:szCs w:val="20"/>
              </w:rPr>
              <w:t>Safety-belts – Installation</w:t>
            </w:r>
          </w:p>
          <w:p>
            <w:pPr>
              <w:spacing w:before="0" w:after="0"/>
              <w:rPr>
                <w:rFonts w:eastAsia="Times New Roman"/>
                <w:noProof/>
                <w:sz w:val="20"/>
                <w:szCs w:val="20"/>
                <w:lang w:eastAsia="en-GB"/>
              </w:rPr>
            </w:pPr>
          </w:p>
        </w:tc>
        <w:tc>
          <w:tcPr>
            <w:tcW w:w="2693" w:type="dxa"/>
          </w:tcPr>
          <w:p>
            <w:pPr>
              <w:spacing w:before="0" w:after="0"/>
              <w:rPr>
                <w:rFonts w:eastAsia="Times New Roman"/>
                <w:noProof/>
                <w:sz w:val="20"/>
                <w:szCs w:val="20"/>
                <w:lang w:eastAsia="en-GB"/>
              </w:rPr>
            </w:pPr>
            <w:r>
              <w:rPr>
                <w:rFonts w:eastAsia="Times New Roman"/>
                <w:noProof/>
                <w:sz w:val="20"/>
                <w:szCs w:val="20"/>
                <w:lang w:eastAsia="en-GB"/>
              </w:rPr>
              <w:t>16</w:t>
            </w:r>
          </w:p>
        </w:tc>
        <w:tc>
          <w:tcPr>
            <w:tcW w:w="2693" w:type="dxa"/>
          </w:tcPr>
          <w:p>
            <w:pPr>
              <w:spacing w:before="0" w:after="0"/>
              <w:rPr>
                <w:noProof/>
                <w:color w:val="000000"/>
                <w:sz w:val="20"/>
                <w:szCs w:val="20"/>
              </w:rPr>
            </w:pPr>
            <w:r>
              <w:rPr>
                <w:noProof/>
                <w:color w:val="000000"/>
                <w:sz w:val="20"/>
                <w:szCs w:val="20"/>
              </w:rPr>
              <w:t>Regulation (EC) No 661/2009</w:t>
            </w:r>
            <w:r>
              <w:rPr>
                <w:rFonts w:eastAsia="Times New Roman"/>
                <w:noProof/>
                <w:sz w:val="20"/>
                <w:szCs w:val="20"/>
                <w:lang w:eastAsia="en-GB"/>
              </w:rPr>
              <w:t>, as last amended by Regulation (EU) 2015/166.</w:t>
            </w:r>
          </w:p>
          <w:p>
            <w:pPr>
              <w:spacing w:before="0" w:after="0"/>
              <w:rPr>
                <w:rFonts w:eastAsia="Times New Roman"/>
                <w:noProof/>
                <w:sz w:val="20"/>
                <w:szCs w:val="20"/>
                <w:lang w:eastAsia="en-GB"/>
              </w:rPr>
            </w:pPr>
          </w:p>
        </w:tc>
      </w:tr>
      <w:tr>
        <w:tc>
          <w:tcPr>
            <w:tcW w:w="3227" w:type="dxa"/>
          </w:tcPr>
          <w:p>
            <w:pPr>
              <w:spacing w:before="0" w:after="0"/>
              <w:rPr>
                <w:rFonts w:eastAsia="Times New Roman"/>
                <w:noProof/>
                <w:sz w:val="20"/>
                <w:szCs w:val="20"/>
                <w:lang w:eastAsia="en-GB"/>
              </w:rPr>
            </w:pPr>
            <w:r>
              <w:rPr>
                <w:noProof/>
                <w:color w:val="000000"/>
                <w:sz w:val="20"/>
                <w:szCs w:val="20"/>
              </w:rPr>
              <w:t>Safety-belt – Anchorages</w:t>
            </w:r>
          </w:p>
        </w:tc>
        <w:tc>
          <w:tcPr>
            <w:tcW w:w="2693" w:type="dxa"/>
          </w:tcPr>
          <w:p>
            <w:pPr>
              <w:spacing w:before="0" w:after="0"/>
              <w:rPr>
                <w:rFonts w:eastAsia="Times New Roman"/>
                <w:noProof/>
                <w:sz w:val="20"/>
                <w:szCs w:val="20"/>
                <w:lang w:eastAsia="en-GB"/>
              </w:rPr>
            </w:pPr>
            <w:r>
              <w:rPr>
                <w:rFonts w:eastAsia="Times New Roman"/>
                <w:noProof/>
                <w:sz w:val="20"/>
                <w:szCs w:val="20"/>
                <w:lang w:eastAsia="en-GB"/>
              </w:rPr>
              <w:t>14</w:t>
            </w:r>
          </w:p>
        </w:tc>
        <w:tc>
          <w:tcPr>
            <w:tcW w:w="2693" w:type="dxa"/>
          </w:tcPr>
          <w:p>
            <w:pPr>
              <w:spacing w:before="0" w:after="0"/>
              <w:rPr>
                <w:rFonts w:eastAsia="Times New Roman"/>
                <w:noProof/>
                <w:sz w:val="20"/>
                <w:szCs w:val="20"/>
                <w:lang w:eastAsia="en-GB"/>
              </w:rPr>
            </w:pPr>
            <w:r>
              <w:rPr>
                <w:rFonts w:eastAsia="Times New Roman"/>
                <w:noProof/>
                <w:sz w:val="20"/>
                <w:szCs w:val="20"/>
                <w:lang w:eastAsia="en-GB"/>
              </w:rPr>
              <w:t>Regulation (EC) No 661/2009, as last amended by Regulation (EU) 2015/166.</w:t>
            </w:r>
          </w:p>
          <w:p>
            <w:pPr>
              <w:spacing w:before="0" w:after="0"/>
              <w:rPr>
                <w:rFonts w:eastAsia="Times New Roman"/>
                <w:noProof/>
                <w:sz w:val="20"/>
                <w:szCs w:val="20"/>
                <w:lang w:eastAsia="en-GB"/>
              </w:rPr>
            </w:pPr>
          </w:p>
        </w:tc>
      </w:tr>
      <w:tr>
        <w:tc>
          <w:tcPr>
            <w:tcW w:w="3227" w:type="dxa"/>
          </w:tcPr>
          <w:p>
            <w:pPr>
              <w:spacing w:before="0" w:after="0"/>
              <w:rPr>
                <w:noProof/>
                <w:color w:val="000000"/>
                <w:sz w:val="20"/>
                <w:szCs w:val="20"/>
              </w:rPr>
            </w:pPr>
            <w:r>
              <w:rPr>
                <w:noProof/>
                <w:color w:val="000000"/>
                <w:sz w:val="20"/>
                <w:szCs w:val="20"/>
              </w:rPr>
              <w:t>Seats</w:t>
            </w:r>
          </w:p>
        </w:tc>
        <w:tc>
          <w:tcPr>
            <w:tcW w:w="2693" w:type="dxa"/>
          </w:tcPr>
          <w:p>
            <w:pPr>
              <w:spacing w:before="0" w:after="0"/>
              <w:rPr>
                <w:rFonts w:eastAsia="Times New Roman"/>
                <w:noProof/>
                <w:sz w:val="20"/>
                <w:szCs w:val="20"/>
                <w:lang w:eastAsia="en-GB"/>
              </w:rPr>
            </w:pPr>
            <w:r>
              <w:rPr>
                <w:rFonts w:eastAsia="Times New Roman"/>
                <w:noProof/>
                <w:sz w:val="20"/>
                <w:szCs w:val="20"/>
                <w:lang w:eastAsia="en-GB"/>
              </w:rPr>
              <w:t>17</w:t>
            </w:r>
          </w:p>
        </w:tc>
        <w:tc>
          <w:tcPr>
            <w:tcW w:w="2693" w:type="dxa"/>
          </w:tcPr>
          <w:p>
            <w:pPr>
              <w:spacing w:before="0" w:after="0"/>
              <w:rPr>
                <w:rFonts w:eastAsia="Times New Roman"/>
                <w:noProof/>
                <w:sz w:val="20"/>
                <w:szCs w:val="20"/>
                <w:lang w:eastAsia="en-GB"/>
              </w:rPr>
            </w:pPr>
            <w:r>
              <w:rPr>
                <w:rFonts w:eastAsia="Times New Roman"/>
                <w:noProof/>
                <w:sz w:val="20"/>
                <w:szCs w:val="20"/>
                <w:lang w:eastAsia="en-GB"/>
              </w:rPr>
              <w:t>Regulation (EC) No 661/2009, as last amended by Regulation (EU) 2015/166.</w:t>
            </w:r>
          </w:p>
          <w:p>
            <w:pPr>
              <w:spacing w:before="0" w:after="0"/>
              <w:rPr>
                <w:rFonts w:eastAsia="Times New Roman"/>
                <w:noProof/>
                <w:sz w:val="20"/>
                <w:szCs w:val="20"/>
                <w:lang w:eastAsia="en-GB"/>
              </w:rPr>
            </w:pPr>
          </w:p>
        </w:tc>
      </w:tr>
      <w:tr>
        <w:tc>
          <w:tcPr>
            <w:tcW w:w="3227" w:type="dxa"/>
          </w:tcPr>
          <w:p>
            <w:pPr>
              <w:spacing w:before="0" w:after="0"/>
              <w:rPr>
                <w:noProof/>
                <w:color w:val="000000"/>
                <w:sz w:val="20"/>
                <w:szCs w:val="20"/>
              </w:rPr>
            </w:pPr>
            <w:r>
              <w:rPr>
                <w:noProof/>
                <w:color w:val="000000"/>
                <w:sz w:val="20"/>
                <w:szCs w:val="20"/>
              </w:rPr>
              <w:t>Interior construction (prevention of the risk of fire spreading)</w:t>
            </w:r>
          </w:p>
          <w:p>
            <w:pPr>
              <w:spacing w:before="0" w:after="0"/>
              <w:rPr>
                <w:noProof/>
                <w:color w:val="000000"/>
                <w:sz w:val="20"/>
                <w:szCs w:val="20"/>
              </w:rPr>
            </w:pPr>
          </w:p>
        </w:tc>
        <w:tc>
          <w:tcPr>
            <w:tcW w:w="2693" w:type="dxa"/>
          </w:tcPr>
          <w:p>
            <w:pPr>
              <w:spacing w:before="0" w:after="0"/>
              <w:rPr>
                <w:noProof/>
                <w:color w:val="000000"/>
                <w:sz w:val="20"/>
                <w:szCs w:val="20"/>
              </w:rPr>
            </w:pPr>
            <w:r>
              <w:rPr>
                <w:noProof/>
                <w:color w:val="000000"/>
                <w:sz w:val="20"/>
                <w:szCs w:val="20"/>
              </w:rPr>
              <w:t>118</w:t>
            </w:r>
          </w:p>
        </w:tc>
        <w:tc>
          <w:tcPr>
            <w:tcW w:w="2693" w:type="dxa"/>
          </w:tcPr>
          <w:p>
            <w:pPr>
              <w:spacing w:before="0" w:after="0"/>
              <w:rPr>
                <w:rFonts w:eastAsia="Times New Roman"/>
                <w:noProof/>
                <w:sz w:val="20"/>
                <w:szCs w:val="20"/>
                <w:lang w:eastAsia="en-GB"/>
              </w:rPr>
            </w:pPr>
            <w:r>
              <w:rPr>
                <w:noProof/>
                <w:color w:val="000000"/>
                <w:sz w:val="20"/>
                <w:szCs w:val="20"/>
              </w:rPr>
              <w:t>Regulation (EC) No 661/2009</w:t>
            </w:r>
            <w:r>
              <w:rPr>
                <w:rFonts w:eastAsia="Times New Roman"/>
                <w:noProof/>
                <w:sz w:val="20"/>
                <w:szCs w:val="20"/>
                <w:lang w:eastAsia="en-GB"/>
              </w:rPr>
              <w:t>, as last amended by Regulation (EU) 2015/166.</w:t>
            </w:r>
          </w:p>
          <w:p>
            <w:pPr>
              <w:spacing w:before="0" w:after="0"/>
              <w:rPr>
                <w:noProof/>
                <w:color w:val="000000"/>
                <w:sz w:val="20"/>
                <w:szCs w:val="20"/>
              </w:rPr>
            </w:pPr>
          </w:p>
        </w:tc>
      </w:tr>
      <w:tr>
        <w:tc>
          <w:tcPr>
            <w:tcW w:w="3227" w:type="dxa"/>
          </w:tcPr>
          <w:p>
            <w:pPr>
              <w:spacing w:before="0" w:after="0"/>
              <w:rPr>
                <w:noProof/>
                <w:color w:val="000000"/>
                <w:sz w:val="20"/>
                <w:szCs w:val="20"/>
              </w:rPr>
            </w:pPr>
            <w:r>
              <w:rPr>
                <w:noProof/>
                <w:sz w:val="20"/>
                <w:szCs w:val="20"/>
              </w:rPr>
              <w:br w:type="page"/>
            </w:r>
            <w:r>
              <w:rPr>
                <w:noProof/>
                <w:color w:val="000000"/>
                <w:sz w:val="20"/>
                <w:szCs w:val="20"/>
              </w:rPr>
              <w:t>Interior arrangement (Emergency exits, accessibility, seating dimension, superstructure resistance, etc.)</w:t>
            </w:r>
          </w:p>
          <w:p>
            <w:pPr>
              <w:spacing w:before="0" w:after="0"/>
              <w:rPr>
                <w:noProof/>
                <w:color w:val="000000"/>
                <w:sz w:val="20"/>
                <w:szCs w:val="20"/>
              </w:rPr>
            </w:pPr>
          </w:p>
        </w:tc>
        <w:tc>
          <w:tcPr>
            <w:tcW w:w="2693" w:type="dxa"/>
          </w:tcPr>
          <w:p>
            <w:pPr>
              <w:spacing w:before="0" w:after="0"/>
              <w:rPr>
                <w:noProof/>
                <w:color w:val="000000"/>
                <w:sz w:val="20"/>
                <w:szCs w:val="20"/>
              </w:rPr>
            </w:pPr>
            <w:r>
              <w:rPr>
                <w:noProof/>
                <w:color w:val="000000"/>
                <w:sz w:val="20"/>
                <w:szCs w:val="20"/>
              </w:rPr>
              <w:t>66</w:t>
            </w:r>
          </w:p>
          <w:p>
            <w:pPr>
              <w:spacing w:before="0" w:after="0"/>
              <w:rPr>
                <w:noProof/>
                <w:color w:val="000000"/>
                <w:sz w:val="20"/>
                <w:szCs w:val="20"/>
              </w:rPr>
            </w:pPr>
            <w:r>
              <w:rPr>
                <w:noProof/>
                <w:color w:val="000000"/>
                <w:sz w:val="20"/>
                <w:szCs w:val="20"/>
              </w:rPr>
              <w:t>107</w:t>
            </w:r>
          </w:p>
        </w:tc>
        <w:tc>
          <w:tcPr>
            <w:tcW w:w="2693" w:type="dxa"/>
            <w:vAlign w:val="center"/>
          </w:tcPr>
          <w:p>
            <w:pPr>
              <w:spacing w:before="0" w:after="0"/>
              <w:rPr>
                <w:noProof/>
                <w:color w:val="000000"/>
                <w:sz w:val="20"/>
                <w:szCs w:val="20"/>
              </w:rPr>
            </w:pPr>
            <w:r>
              <w:rPr>
                <w:noProof/>
                <w:color w:val="000000"/>
                <w:sz w:val="20"/>
                <w:szCs w:val="20"/>
              </w:rPr>
              <w:t>Regulation (EC) No 661/2009</w:t>
            </w:r>
            <w:r>
              <w:rPr>
                <w:rFonts w:eastAsia="Times New Roman"/>
                <w:noProof/>
                <w:sz w:val="20"/>
                <w:szCs w:val="20"/>
                <w:lang w:eastAsia="en-GB"/>
              </w:rPr>
              <w:t xml:space="preserve">, </w:t>
            </w:r>
            <w:r>
              <w:rPr>
                <w:noProof/>
                <w:color w:val="000000"/>
                <w:sz w:val="20"/>
                <w:szCs w:val="20"/>
              </w:rPr>
              <w:t xml:space="preserve">as last amended by Regulation (EU) 2015/166. </w:t>
            </w:r>
          </w:p>
        </w:tc>
      </w:tr>
      <w:tr>
        <w:tc>
          <w:tcPr>
            <w:tcW w:w="3227" w:type="dxa"/>
          </w:tcPr>
          <w:p>
            <w:pPr>
              <w:spacing w:before="0" w:after="0"/>
              <w:rPr>
                <w:noProof/>
                <w:color w:val="000000"/>
                <w:sz w:val="20"/>
                <w:szCs w:val="20"/>
              </w:rPr>
            </w:pPr>
            <w:r>
              <w:rPr>
                <w:noProof/>
                <w:color w:val="000000"/>
                <w:sz w:val="20"/>
                <w:szCs w:val="20"/>
              </w:rPr>
              <w:t>Advanced emergency braking systems</w:t>
            </w:r>
          </w:p>
        </w:tc>
        <w:tc>
          <w:tcPr>
            <w:tcW w:w="2693" w:type="dxa"/>
          </w:tcPr>
          <w:p>
            <w:pPr>
              <w:spacing w:before="0" w:after="0"/>
              <w:rPr>
                <w:noProof/>
                <w:color w:val="000000"/>
                <w:sz w:val="20"/>
                <w:szCs w:val="20"/>
              </w:rPr>
            </w:pPr>
            <w:r>
              <w:rPr>
                <w:noProof/>
                <w:color w:val="000000"/>
                <w:sz w:val="20"/>
                <w:szCs w:val="20"/>
              </w:rPr>
              <w:t>131</w:t>
            </w:r>
          </w:p>
        </w:tc>
        <w:tc>
          <w:tcPr>
            <w:tcW w:w="2693" w:type="dxa"/>
          </w:tcPr>
          <w:p>
            <w:pPr>
              <w:spacing w:before="0" w:after="0"/>
              <w:rPr>
                <w:noProof/>
                <w:color w:val="000000"/>
                <w:sz w:val="20"/>
                <w:szCs w:val="20"/>
              </w:rPr>
            </w:pPr>
            <w:r>
              <w:rPr>
                <w:noProof/>
                <w:color w:val="000000"/>
                <w:sz w:val="20"/>
                <w:szCs w:val="20"/>
              </w:rPr>
              <w:t>Regulation (EC) No 661/ 2009, as last amended by Regulation (EU) 2015/166;</w:t>
            </w:r>
          </w:p>
          <w:p>
            <w:pPr>
              <w:spacing w:before="0" w:after="0"/>
              <w:rPr>
                <w:noProof/>
                <w:color w:val="000000"/>
                <w:sz w:val="20"/>
                <w:szCs w:val="20"/>
              </w:rPr>
            </w:pPr>
          </w:p>
          <w:p>
            <w:pPr>
              <w:spacing w:before="0" w:after="0"/>
              <w:rPr>
                <w:noProof/>
                <w:color w:val="000000"/>
                <w:sz w:val="20"/>
                <w:szCs w:val="20"/>
              </w:rPr>
            </w:pPr>
            <w:r>
              <w:rPr>
                <w:noProof/>
                <w:color w:val="000000"/>
                <w:sz w:val="20"/>
                <w:szCs w:val="20"/>
              </w:rPr>
              <w:t>Commission Regulation (EU) No 347/2012, as last amended by Commission Regulation (EU) 2015/562.</w:t>
            </w:r>
          </w:p>
        </w:tc>
      </w:tr>
      <w:tr>
        <w:tc>
          <w:tcPr>
            <w:tcW w:w="3227" w:type="dxa"/>
          </w:tcPr>
          <w:p>
            <w:pPr>
              <w:spacing w:before="0" w:after="0"/>
              <w:rPr>
                <w:noProof/>
                <w:color w:val="000000"/>
                <w:sz w:val="20"/>
                <w:szCs w:val="20"/>
              </w:rPr>
            </w:pPr>
            <w:r>
              <w:rPr>
                <w:noProof/>
                <w:color w:val="000000"/>
                <w:sz w:val="20"/>
                <w:szCs w:val="20"/>
              </w:rPr>
              <w:t>Lane departure warning system</w:t>
            </w:r>
          </w:p>
        </w:tc>
        <w:tc>
          <w:tcPr>
            <w:tcW w:w="2693" w:type="dxa"/>
          </w:tcPr>
          <w:p>
            <w:pPr>
              <w:spacing w:before="0" w:after="0"/>
              <w:rPr>
                <w:noProof/>
                <w:color w:val="000000"/>
                <w:sz w:val="20"/>
                <w:szCs w:val="20"/>
              </w:rPr>
            </w:pPr>
            <w:r>
              <w:rPr>
                <w:noProof/>
                <w:color w:val="000000"/>
                <w:sz w:val="20"/>
                <w:szCs w:val="20"/>
              </w:rPr>
              <w:t>130</w:t>
            </w:r>
          </w:p>
        </w:tc>
        <w:tc>
          <w:tcPr>
            <w:tcW w:w="2693" w:type="dxa"/>
          </w:tcPr>
          <w:p>
            <w:pPr>
              <w:spacing w:before="0" w:after="0"/>
              <w:rPr>
                <w:noProof/>
                <w:color w:val="000000"/>
                <w:sz w:val="20"/>
                <w:szCs w:val="20"/>
              </w:rPr>
            </w:pPr>
            <w:r>
              <w:rPr>
                <w:noProof/>
                <w:color w:val="000000"/>
                <w:sz w:val="20"/>
                <w:szCs w:val="20"/>
              </w:rPr>
              <w:t>Regulation (EC) No 661/ 2009, as last amended by Regulation (EU) 2015/166;</w:t>
            </w:r>
          </w:p>
          <w:p>
            <w:pPr>
              <w:spacing w:before="0" w:after="0"/>
              <w:rPr>
                <w:noProof/>
                <w:color w:val="000000"/>
                <w:sz w:val="20"/>
                <w:szCs w:val="20"/>
              </w:rPr>
            </w:pPr>
          </w:p>
          <w:p>
            <w:pPr>
              <w:spacing w:before="0" w:after="0"/>
              <w:rPr>
                <w:noProof/>
                <w:color w:val="000000"/>
                <w:sz w:val="20"/>
                <w:szCs w:val="20"/>
              </w:rPr>
            </w:pPr>
            <w:r>
              <w:rPr>
                <w:noProof/>
                <w:color w:val="000000"/>
                <w:sz w:val="20"/>
                <w:szCs w:val="20"/>
              </w:rPr>
              <w:t>Commission Regulation (EU) No 351/2012.'.</w:t>
            </w:r>
          </w:p>
        </w:tc>
      </w:tr>
    </w:tbl>
    <w:p>
      <w:pPr>
        <w:spacing w:before="0" w:after="0"/>
        <w:rPr>
          <w:noProof/>
          <w:color w:val="000000"/>
          <w:szCs w:val="24"/>
          <w:u w:val="single"/>
        </w:rPr>
      </w:pPr>
    </w:p>
    <w:p>
      <w:pPr>
        <w:spacing w:before="0" w:after="0"/>
        <w:rPr>
          <w:noProof/>
          <w:color w:val="000000"/>
          <w:szCs w:val="24"/>
          <w:u w:val="single"/>
        </w:rPr>
      </w:pPr>
    </w:p>
    <w:p>
      <w:pPr>
        <w:pStyle w:val="Default"/>
        <w:jc w:val="both"/>
        <w:rPr>
          <w:rFonts w:cs="Times New Roman"/>
          <w:i/>
          <w:noProof/>
        </w:rPr>
      </w:pPr>
      <w:r>
        <w:rPr>
          <w:rFonts w:cs="Times New Roman"/>
          <w:i/>
          <w:noProof/>
        </w:rPr>
        <w:t>4. Adaptation of Annex 3 concerning the model of control document for occasional services exempted from authorisation and of Annex 5 concerning the model of authorisation for non-liberalised occasional services</w:t>
      </w:r>
    </w:p>
    <w:p>
      <w:pPr>
        <w:pStyle w:val="Default"/>
        <w:rPr>
          <w:rFonts w:cs="Times New Roman"/>
          <w:noProof/>
        </w:rPr>
      </w:pPr>
    </w:p>
    <w:p>
      <w:pPr>
        <w:pStyle w:val="Default"/>
        <w:rPr>
          <w:rFonts w:cs="Times New Roman"/>
          <w:noProof/>
          <w:u w:val="single"/>
        </w:rPr>
      </w:pPr>
      <w:r>
        <w:rPr>
          <w:rFonts w:cs="Times New Roman"/>
          <w:noProof/>
          <w:u w:val="single"/>
        </w:rPr>
        <w:t>In Annexes 3 and 5, the footnotes are replaced by the following:</w:t>
      </w:r>
    </w:p>
    <w:p>
      <w:pPr>
        <w:pStyle w:val="Default"/>
        <w:rPr>
          <w:rFonts w:cs="Times New Roman"/>
          <w:noProof/>
        </w:rPr>
      </w:pPr>
    </w:p>
    <w:p>
      <w:pPr>
        <w:pStyle w:val="Default"/>
        <w:ind w:left="720"/>
        <w:jc w:val="both"/>
        <w:rPr>
          <w:rFonts w:cs="Times New Roman"/>
          <w:noProof/>
        </w:rPr>
      </w:pPr>
      <w:r>
        <w:rPr>
          <w:rFonts w:cs="Times New Roman"/>
          <w:noProof/>
        </w:rPr>
        <w:t xml:space="preserve">'Albania (AL), Austria (A), Belgium (B), Bosnia-Herzegovina (BA), Bulgaria (BG), Cyprus (CY), Croatia (HR), Czech Republic (CZ), Denmark (DK), Estonia (EST), Finland (FIN), France (F), Germany (D), Greece (GR), Hungary (H), Ireland (IRL), Italy (I), Latvia (LV), Lithuania (LT), Luxembourg (L), Former Yugoslav Republic of </w:t>
      </w:r>
      <w:r>
        <w:rPr>
          <w:rFonts w:cs="Times New Roman"/>
          <w:noProof/>
        </w:rPr>
        <w:lastRenderedPageBreak/>
        <w:t>Macedonia (MK), Malta (MT), Moldova (MD), Montenegro (ME), Netherlands (NL), Poland (PL), Portugal (P), Romania (RO), Slovak Republic (SK), Slovenia (SLO), Spain (E), Sweden (S), Turkey (TR), Ukraine (UA), United Kingdom (UK), to be completed.'.</w:t>
      </w:r>
    </w:p>
    <w:p>
      <w:pPr>
        <w:pStyle w:val="Default"/>
        <w:rPr>
          <w:rFonts w:cs="Times New Roman"/>
          <w:noProof/>
        </w:rPr>
      </w:pPr>
    </w:p>
    <w:p>
      <w:pPr>
        <w:pStyle w:val="Default"/>
        <w:rPr>
          <w:rFonts w:cs="Times New Roman"/>
          <w:noProof/>
        </w:rPr>
      </w:pPr>
    </w:p>
    <w:p>
      <w:pPr>
        <w:pStyle w:val="Default"/>
        <w:jc w:val="both"/>
        <w:rPr>
          <w:rFonts w:eastAsia="Times New Roman" w:cs="Times New Roman"/>
          <w:i/>
          <w:noProof/>
          <w:lang w:eastAsia="en-GB"/>
        </w:rPr>
      </w:pPr>
      <w:r>
        <w:rPr>
          <w:rFonts w:cs="Times New Roman"/>
          <w:i/>
          <w:noProof/>
        </w:rPr>
        <w:t>5. Adaptation of Annex 5 as regards the model declaration</w:t>
      </w:r>
    </w:p>
    <w:p>
      <w:pPr>
        <w:pStyle w:val="Default"/>
        <w:rPr>
          <w:rFonts w:eastAsia="Times New Roman" w:cs="Times New Roman"/>
          <w:noProof/>
          <w:lang w:eastAsia="en-GB"/>
        </w:rPr>
      </w:pPr>
    </w:p>
    <w:p>
      <w:pPr>
        <w:pStyle w:val="Default"/>
        <w:rPr>
          <w:rFonts w:eastAsia="Times New Roman" w:cs="Times New Roman"/>
          <w:noProof/>
          <w:u w:val="single"/>
          <w:lang w:eastAsia="en-GB"/>
        </w:rPr>
      </w:pPr>
      <w:r>
        <w:rPr>
          <w:rFonts w:eastAsia="Times New Roman" w:cs="Times New Roman"/>
          <w:noProof/>
          <w:u w:val="single"/>
          <w:lang w:eastAsia="en-GB"/>
        </w:rPr>
        <w:t>In Annex 5, the model declaration is amended as follows:</w:t>
      </w:r>
    </w:p>
    <w:p>
      <w:pPr>
        <w:pStyle w:val="Default"/>
        <w:rPr>
          <w:rFonts w:eastAsia="Times New Roman" w:cs="Times New Roman"/>
          <w:noProof/>
          <w:lang w:eastAsia="en-GB"/>
        </w:rPr>
      </w:pPr>
    </w:p>
    <w:p>
      <w:pPr>
        <w:pStyle w:val="Default"/>
        <w:rPr>
          <w:rFonts w:eastAsia="Times New Roman" w:cs="Times New Roman"/>
          <w:noProof/>
          <w:u w:val="single"/>
          <w:lang w:eastAsia="en-GB"/>
        </w:rPr>
      </w:pPr>
      <w:r>
        <w:rPr>
          <w:rFonts w:eastAsia="Times New Roman" w:cs="Times New Roman"/>
          <w:noProof/>
          <w:u w:val="single"/>
          <w:lang w:eastAsia="en-GB"/>
        </w:rPr>
        <w:t>(a) in paragraph 1, the introductory phrase is replaced by the following:</w:t>
      </w:r>
    </w:p>
    <w:p>
      <w:pPr>
        <w:pStyle w:val="Default"/>
        <w:rPr>
          <w:rFonts w:eastAsia="Times New Roman" w:cs="Times New Roman"/>
          <w:noProof/>
          <w:lang w:eastAsia="en-GB"/>
        </w:rPr>
      </w:pPr>
    </w:p>
    <w:p>
      <w:pPr>
        <w:spacing w:before="0" w:after="0"/>
        <w:ind w:left="720"/>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The three conditions established in Chapter I of Regulation (EC) No 1071/2009 of the European Parliament and of the Council of 21 October 2009 establishing common rules concerning the conditions to be complied with to pursue the occupation of road transport operator and repealing Council Directive 96/26/EC (OJ L 300, 14.11.2009, p. 51).';</w:t>
      </w:r>
    </w:p>
    <w:p>
      <w:pPr>
        <w:pStyle w:val="Default"/>
        <w:rPr>
          <w:rFonts w:cs="Times New Roman"/>
          <w:noProof/>
        </w:rPr>
      </w:pPr>
    </w:p>
    <w:p>
      <w:pPr>
        <w:pStyle w:val="Default"/>
        <w:rPr>
          <w:rFonts w:cs="Times New Roman"/>
          <w:noProof/>
        </w:rPr>
      </w:pPr>
    </w:p>
    <w:p>
      <w:pPr>
        <w:pStyle w:val="Default"/>
        <w:jc w:val="both"/>
        <w:rPr>
          <w:rFonts w:eastAsia="Times New Roman" w:cs="Times New Roman"/>
          <w:noProof/>
          <w:u w:val="single"/>
          <w:lang w:eastAsia="en-GB"/>
        </w:rPr>
      </w:pPr>
      <w:r>
        <w:rPr>
          <w:rFonts w:cs="Times New Roman"/>
          <w:noProof/>
          <w:u w:val="single"/>
        </w:rPr>
        <w:t>(b) in paragraph 2, the second subparagraph is deleted</w:t>
      </w:r>
      <w:r>
        <w:rPr>
          <w:rFonts w:eastAsia="Times New Roman" w:cs="Times New Roman"/>
          <w:noProof/>
          <w:u w:val="single"/>
          <w:lang w:eastAsia="en-GB"/>
        </w:rPr>
        <w:t>.</w:t>
      </w:r>
    </w:p>
    <w:p>
      <w:pPr>
        <w:pStyle w:val="Default"/>
        <w:jc w:val="both"/>
        <w:rPr>
          <w:rFonts w:eastAsia="Times New Roman" w:cs="Times New Roman"/>
          <w:noProof/>
          <w:u w:val="single"/>
          <w:lang w:eastAsia="en-GB"/>
        </w:rPr>
      </w:pPr>
    </w:p>
    <w:p>
      <w:pPr>
        <w:pStyle w:val="Default"/>
        <w:jc w:val="both"/>
        <w:rPr>
          <w:rFonts w:eastAsia="Times New Roman" w:cs="Times New Roman"/>
          <w:noProof/>
          <w:u w:val="single"/>
          <w:lang w:eastAsia="en-GB"/>
        </w:rPr>
      </w:pPr>
    </w:p>
    <w:p>
      <w:pPr>
        <w:pStyle w:val="Default"/>
        <w:jc w:val="center"/>
        <w:rPr>
          <w:rFonts w:eastAsia="Times New Roman" w:cs="Times New Roman"/>
          <w:noProof/>
          <w:lang w:eastAsia="en-GB"/>
        </w:rPr>
      </w:pPr>
      <w:r>
        <w:rPr>
          <w:rFonts w:eastAsia="Times New Roman" w:cs="Times New Roman"/>
          <w:noProof/>
          <w:lang w:eastAsia="en-GB"/>
        </w:rPr>
        <w: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321, 26.11.2002, p. 13.</w:t>
      </w:r>
    </w:p>
  </w:footnote>
  <w:footnote w:id="2">
    <w:p>
      <w:pPr>
        <w:pStyle w:val="FootnoteText"/>
        <w:rPr>
          <w:lang w:val="pl-PL"/>
        </w:rPr>
      </w:pPr>
      <w:r>
        <w:rPr>
          <w:rStyle w:val="FootnoteReference"/>
        </w:rPr>
        <w:footnoteRef/>
      </w:r>
      <w:r>
        <w:rPr>
          <w:lang w:val="pl-PL"/>
        </w:rPr>
        <w:tab/>
        <w:t>OJ L 8, 12.1.2012, p. 38.</w:t>
      </w:r>
    </w:p>
  </w:footnote>
  <w:footnote w:id="3">
    <w:p>
      <w:pPr>
        <w:pStyle w:val="FootnoteText"/>
        <w:rPr>
          <w:lang w:val="pl-PL"/>
        </w:rPr>
      </w:pPr>
      <w:r>
        <w:rPr>
          <w:rStyle w:val="FootnoteReference"/>
        </w:rPr>
        <w:footnoteRef/>
      </w:r>
      <w:r>
        <w:rPr>
          <w:lang w:val="pl-PL"/>
        </w:rPr>
        <w:tab/>
        <w:t>OJ L 8, 12.1.2012, p. 46.</w:t>
      </w:r>
    </w:p>
  </w:footnote>
  <w:footnote w:id="4">
    <w:p>
      <w:pPr>
        <w:pStyle w:val="FootnoteText"/>
      </w:pPr>
      <w:r>
        <w:rPr>
          <w:rStyle w:val="FootnoteReference"/>
        </w:rPr>
        <w:footnoteRef/>
      </w:r>
      <w:r>
        <w:tab/>
        <w:t>The adaptation of the acts takes account of the new measures adopted by the European Union up to 30 June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70C1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B0E0B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960567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14C3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6C1B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5EE8D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DD6C760"/>
    <w:lvl w:ilvl="0">
      <w:start w:val="1"/>
      <w:numFmt w:val="decimal"/>
      <w:pStyle w:val="ListNumber"/>
      <w:lvlText w:val="%1."/>
      <w:lvlJc w:val="left"/>
      <w:pPr>
        <w:tabs>
          <w:tab w:val="num" w:pos="360"/>
        </w:tabs>
        <w:ind w:left="360" w:hanging="360"/>
      </w:pPr>
    </w:lvl>
  </w:abstractNum>
  <w:abstractNum w:abstractNumId="7">
    <w:nsid w:val="FFFFFF89"/>
    <w:multiLevelType w:val="singleLevel"/>
    <w:tmpl w:val="CF4E7B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2"/>
    <w:lvlOverride w:ilvl="0">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1 12:09: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7"/>
    <w:docVar w:name="DQCResult_ModifiedMarkers" w:val="0;0"/>
    <w:docVar w:name="DQCResult_ModifiedNumbering" w:val="0;0"/>
    <w:docVar w:name="DQCResult_Objects" w:val="0;0"/>
    <w:docVar w:name="DQCResult_Sections" w:val="0;0"/>
    <w:docVar w:name="DQCResult_StructureCheck" w:val="0;0"/>
    <w:docVar w:name="DQCResult_SuperfluousWhitespace" w:val="0;102"/>
    <w:docVar w:name="DQCResult_UnknownFonts" w:val="0;0"/>
    <w:docVar w:name="DQCResult_UnknownStyles" w:val="0;84"/>
    <w:docVar w:name="DQCStatus" w:val="Green"/>
    <w:docVar w:name="DQCVersion" w:val="3"/>
    <w:docVar w:name="DQCWithWarnings" w:val="0"/>
    <w:docVar w:name="LW_ACCOMPAGNANT.CP" w:val="to the Proposal for a"/>
    <w:docVar w:name="LW_ANNEX_NBR_FIRST" w:val="1"/>
    <w:docVar w:name="LW_ANNEX_NBR_LAST" w:val="1"/>
    <w:docVar w:name="LW_CONFIDENCE" w:val=" "/>
    <w:docVar w:name="LW_CONST_RESTREINT_UE" w:val="RESTREINT UE"/>
    <w:docVar w:name="LW_CORRIGENDUM" w:val="&lt;UNUSED&gt;"/>
    <w:docVar w:name="LW_COVERPAGE_GUID" w:val="5F715572B5DB4537A59BEACDD2F039AD"/>
    <w:docVar w:name="LW_CROSSREFERENCE" w:val="&lt;UNUSED&gt;"/>
    <w:docVar w:name="LW_DocType" w:val="ANNEX"/>
    <w:docVar w:name="LW_EMISSION" w:val="18.3.2016"/>
    <w:docVar w:name="LW_EMISSION_ISODATE" w:val="2016-03-18"/>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position to be adopted, on behalf of the European Union, regarding draft Decision No 1/2016 of the Joint Committee established under the Interbus Agreement on the international occasional carriage of passengers by coach and bus"/>
    <w:docVar w:name="LW_PART_NBR" w:val="1"/>
    <w:docVar w:name="LW_PART_NBR_TOTAL" w:val="1"/>
    <w:docVar w:name="LW_REF.INST.NEW" w:val="COM"/>
    <w:docVar w:name="LW_REF.INST.NEW_ADOPTED" w:val="final"/>
    <w:docVar w:name="LW_REF.INST.NEW_TEXT" w:val="(2016) 156"/>
    <w:docVar w:name="LW_REF.INTERNE" w:val="&lt;UNUSED&gt;"/>
    <w:docVar w:name="LW_SUPERTITRE" w:val="&lt;UNUSED&gt;"/>
    <w:docVar w:name="LW_TITRE.OBJ.CP" w:val="&lt;UNUSED&gt;"/>
    <w:docVar w:name="LW_TYPE.DOC.CP" w:val="ANNEX"/>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normal2">
    <w:name w:val="normal2"/>
    <w:basedOn w:val="Normal"/>
    <w:pPr>
      <w:spacing w:after="0" w:line="312" w:lineRule="atLeast"/>
    </w:pPr>
    <w:rPr>
      <w:rFonts w:eastAsia="Times New Roman"/>
      <w:szCs w:val="24"/>
      <w:lang w:eastAsia="en-GB"/>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vanish w:val="0"/>
      <w:webHidden w:val="0"/>
      <w:color w:val="0099CC"/>
      <w:specVanish w:val="0"/>
    </w:rPr>
  </w:style>
  <w:style w:type="character" w:styleId="Hyperlink">
    <w:name w:val="Hyperlink"/>
    <w:basedOn w:val="DefaultParagraphFont"/>
    <w:uiPriority w:val="99"/>
    <w:unhideWhenUsed/>
    <w:rPr>
      <w:strike w:val="0"/>
      <w:dstrike w:val="0"/>
      <w:color w:val="3366CC"/>
      <w:u w:val="none"/>
      <w:effect w:val="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Date">
    <w:name w:val="Date"/>
    <w:basedOn w:val="Normal"/>
    <w:next w:val="Normal"/>
    <w:link w:val="DateChar"/>
    <w:uiPriority w:val="99"/>
    <w:unhideWhenUsed/>
  </w:style>
  <w:style w:type="character" w:customStyle="1" w:styleId="DateChar">
    <w:name w:val="Date Char"/>
    <w:basedOn w:val="DefaultParagraphFont"/>
    <w:link w:val="Date"/>
    <w:uiPriority w:val="99"/>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odyText2">
    <w:name w:val="Body Text 2"/>
    <w:basedOn w:val="Normal"/>
    <w:link w:val="BodyText2Char"/>
    <w:uiPriority w:val="99"/>
    <w:unhideWhenUsed/>
    <w:pPr>
      <w:spacing w:line="480" w:lineRule="auto"/>
    </w:pPr>
  </w:style>
  <w:style w:type="character" w:customStyle="1" w:styleId="BodyText2Char">
    <w:name w:val="Body Text 2 Char"/>
    <w:basedOn w:val="DefaultParagraphFont"/>
    <w:link w:val="BodyText2"/>
    <w:uiPriority w:val="99"/>
    <w:rPr>
      <w:rFonts w:ascii="Times New Roman" w:hAnsi="Times New Roman" w:cs="Times New Roman"/>
      <w:sz w:val="24"/>
      <w:lang w:val="en-GB"/>
    </w:rPr>
  </w:style>
  <w:style w:type="paragraph" w:styleId="BodyText">
    <w:name w:val="Body Text"/>
    <w:basedOn w:val="Normal"/>
    <w:link w:val="BodyTextChar"/>
    <w:uiPriority w:val="99"/>
    <w:unhideWhenUsed/>
  </w:style>
  <w:style w:type="character" w:customStyle="1" w:styleId="BodyTextChar">
    <w:name w:val="Body Text Char"/>
    <w:basedOn w:val="DefaultParagraphFont"/>
    <w:link w:val="BodyText"/>
    <w:uiPriority w:val="99"/>
    <w:rPr>
      <w:rFonts w:ascii="Times New Roman" w:hAnsi="Times New Roman" w:cs="Times New Roman"/>
      <w:sz w:val="24"/>
      <w:lang w:val="en-GB"/>
    </w:rPr>
  </w:style>
  <w:style w:type="paragraph" w:styleId="BodyTextFirstIndent">
    <w:name w:val="Body Text First Indent"/>
    <w:basedOn w:val="BodyText"/>
    <w:link w:val="BodyTextFirstIndentChar"/>
    <w:uiPriority w:val="99"/>
    <w:unhideWhenUsed/>
    <w:pPr>
      <w:ind w:firstLine="360"/>
    </w:pPr>
  </w:style>
  <w:style w:type="character" w:customStyle="1" w:styleId="BodyTextFirstIndentChar">
    <w:name w:val="Body Text First Indent Char"/>
    <w:basedOn w:val="BodyTextChar"/>
    <w:link w:val="BodyTextFirstIndent"/>
    <w:uiPriority w:val="99"/>
    <w:rPr>
      <w:rFonts w:ascii="Times New Roman" w:hAnsi="Times New Roman" w:cs="Times New Roman"/>
      <w:sz w:val="24"/>
      <w:lang w:val="en-GB"/>
    </w:rPr>
  </w:style>
  <w:style w:type="paragraph" w:styleId="BodyTextIndent">
    <w:name w:val="Body Text Indent"/>
    <w:basedOn w:val="Normal"/>
    <w:link w:val="BodyTextIndentChar"/>
    <w:uiPriority w:val="99"/>
    <w:unhideWhenUsed/>
    <w:pPr>
      <w:ind w:left="283"/>
    </w:pPr>
  </w:style>
  <w:style w:type="character" w:customStyle="1" w:styleId="BodyTextIndentChar">
    <w:name w:val="Body Text Indent Char"/>
    <w:basedOn w:val="DefaultParagraphFont"/>
    <w:link w:val="BodyTextIndent"/>
    <w:uiPriority w:val="99"/>
    <w:rPr>
      <w:rFonts w:ascii="Times New Roman" w:hAnsi="Times New Roman" w:cs="Times New Roman"/>
      <w:sz w:val="24"/>
      <w:lang w:val="en-GB"/>
    </w:rPr>
  </w:style>
  <w:style w:type="paragraph" w:customStyle="1" w:styleId="tbl-txt2">
    <w:name w:val="tbl-txt2"/>
    <w:basedOn w:val="Normal"/>
    <w:pPr>
      <w:spacing w:before="60" w:after="60" w:line="312" w:lineRule="atLeast"/>
      <w:jc w:val="left"/>
    </w:pPr>
    <w:rPr>
      <w:rFonts w:eastAsia="Times New Roman"/>
      <w:sz w:val="22"/>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normal2">
    <w:name w:val="normal2"/>
    <w:basedOn w:val="Normal"/>
    <w:pPr>
      <w:spacing w:after="0" w:line="312" w:lineRule="atLeast"/>
    </w:pPr>
    <w:rPr>
      <w:rFonts w:eastAsia="Times New Roman"/>
      <w:szCs w:val="24"/>
      <w:lang w:eastAsia="en-GB"/>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vanish w:val="0"/>
      <w:webHidden w:val="0"/>
      <w:color w:val="0099CC"/>
      <w:specVanish w:val="0"/>
    </w:rPr>
  </w:style>
  <w:style w:type="character" w:styleId="Hyperlink">
    <w:name w:val="Hyperlink"/>
    <w:basedOn w:val="DefaultParagraphFont"/>
    <w:uiPriority w:val="99"/>
    <w:unhideWhenUsed/>
    <w:rPr>
      <w:strike w:val="0"/>
      <w:dstrike w:val="0"/>
      <w:color w:val="3366CC"/>
      <w:u w:val="none"/>
      <w:effect w:val="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Date">
    <w:name w:val="Date"/>
    <w:basedOn w:val="Normal"/>
    <w:next w:val="Normal"/>
    <w:link w:val="DateChar"/>
    <w:uiPriority w:val="99"/>
    <w:unhideWhenUsed/>
  </w:style>
  <w:style w:type="character" w:customStyle="1" w:styleId="DateChar">
    <w:name w:val="Date Char"/>
    <w:basedOn w:val="DefaultParagraphFont"/>
    <w:link w:val="Date"/>
    <w:uiPriority w:val="99"/>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odyText2">
    <w:name w:val="Body Text 2"/>
    <w:basedOn w:val="Normal"/>
    <w:link w:val="BodyText2Char"/>
    <w:uiPriority w:val="99"/>
    <w:unhideWhenUsed/>
    <w:pPr>
      <w:spacing w:line="480" w:lineRule="auto"/>
    </w:pPr>
  </w:style>
  <w:style w:type="character" w:customStyle="1" w:styleId="BodyText2Char">
    <w:name w:val="Body Text 2 Char"/>
    <w:basedOn w:val="DefaultParagraphFont"/>
    <w:link w:val="BodyText2"/>
    <w:uiPriority w:val="99"/>
    <w:rPr>
      <w:rFonts w:ascii="Times New Roman" w:hAnsi="Times New Roman" w:cs="Times New Roman"/>
      <w:sz w:val="24"/>
      <w:lang w:val="en-GB"/>
    </w:rPr>
  </w:style>
  <w:style w:type="paragraph" w:styleId="BodyText">
    <w:name w:val="Body Text"/>
    <w:basedOn w:val="Normal"/>
    <w:link w:val="BodyTextChar"/>
    <w:uiPriority w:val="99"/>
    <w:unhideWhenUsed/>
  </w:style>
  <w:style w:type="character" w:customStyle="1" w:styleId="BodyTextChar">
    <w:name w:val="Body Text Char"/>
    <w:basedOn w:val="DefaultParagraphFont"/>
    <w:link w:val="BodyText"/>
    <w:uiPriority w:val="99"/>
    <w:rPr>
      <w:rFonts w:ascii="Times New Roman" w:hAnsi="Times New Roman" w:cs="Times New Roman"/>
      <w:sz w:val="24"/>
      <w:lang w:val="en-GB"/>
    </w:rPr>
  </w:style>
  <w:style w:type="paragraph" w:styleId="BodyTextFirstIndent">
    <w:name w:val="Body Text First Indent"/>
    <w:basedOn w:val="BodyText"/>
    <w:link w:val="BodyTextFirstIndentChar"/>
    <w:uiPriority w:val="99"/>
    <w:unhideWhenUsed/>
    <w:pPr>
      <w:ind w:firstLine="360"/>
    </w:pPr>
  </w:style>
  <w:style w:type="character" w:customStyle="1" w:styleId="BodyTextFirstIndentChar">
    <w:name w:val="Body Text First Indent Char"/>
    <w:basedOn w:val="BodyTextChar"/>
    <w:link w:val="BodyTextFirstIndent"/>
    <w:uiPriority w:val="99"/>
    <w:rPr>
      <w:rFonts w:ascii="Times New Roman" w:hAnsi="Times New Roman" w:cs="Times New Roman"/>
      <w:sz w:val="24"/>
      <w:lang w:val="en-GB"/>
    </w:rPr>
  </w:style>
  <w:style w:type="paragraph" w:styleId="BodyTextIndent">
    <w:name w:val="Body Text Indent"/>
    <w:basedOn w:val="Normal"/>
    <w:link w:val="BodyTextIndentChar"/>
    <w:uiPriority w:val="99"/>
    <w:unhideWhenUsed/>
    <w:pPr>
      <w:ind w:left="283"/>
    </w:pPr>
  </w:style>
  <w:style w:type="character" w:customStyle="1" w:styleId="BodyTextIndentChar">
    <w:name w:val="Body Text Indent Char"/>
    <w:basedOn w:val="DefaultParagraphFont"/>
    <w:link w:val="BodyTextIndent"/>
    <w:uiPriority w:val="99"/>
    <w:rPr>
      <w:rFonts w:ascii="Times New Roman" w:hAnsi="Times New Roman" w:cs="Times New Roman"/>
      <w:sz w:val="24"/>
      <w:lang w:val="en-GB"/>
    </w:rPr>
  </w:style>
  <w:style w:type="paragraph" w:customStyle="1" w:styleId="tbl-txt2">
    <w:name w:val="tbl-txt2"/>
    <w:basedOn w:val="Normal"/>
    <w:pPr>
      <w:spacing w:before="60" w:after="60" w:line="312" w:lineRule="atLeast"/>
      <w:jc w:val="left"/>
    </w:pPr>
    <w:rPr>
      <w:rFonts w:eastAsia="Times New Roman"/>
      <w:sz w:val="22"/>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850309">
      <w:bodyDiv w:val="1"/>
      <w:marLeft w:val="0"/>
      <w:marRight w:val="0"/>
      <w:marTop w:val="0"/>
      <w:marBottom w:val="0"/>
      <w:divBdr>
        <w:top w:val="none" w:sz="0" w:space="0" w:color="auto"/>
        <w:left w:val="none" w:sz="0" w:space="0" w:color="auto"/>
        <w:bottom w:val="none" w:sz="0" w:space="0" w:color="auto"/>
        <w:right w:val="none" w:sz="0" w:space="0" w:color="auto"/>
      </w:divBdr>
      <w:divsChild>
        <w:div w:id="815031961">
          <w:marLeft w:val="0"/>
          <w:marRight w:val="0"/>
          <w:marTop w:val="0"/>
          <w:marBottom w:val="0"/>
          <w:divBdr>
            <w:top w:val="none" w:sz="0" w:space="0" w:color="auto"/>
            <w:left w:val="none" w:sz="0" w:space="0" w:color="auto"/>
            <w:bottom w:val="none" w:sz="0" w:space="0" w:color="auto"/>
            <w:right w:val="none" w:sz="0" w:space="0" w:color="auto"/>
          </w:divBdr>
          <w:divsChild>
            <w:div w:id="506557403">
              <w:marLeft w:val="0"/>
              <w:marRight w:val="0"/>
              <w:marTop w:val="0"/>
              <w:marBottom w:val="0"/>
              <w:divBdr>
                <w:top w:val="none" w:sz="0" w:space="0" w:color="auto"/>
                <w:left w:val="none" w:sz="0" w:space="0" w:color="auto"/>
                <w:bottom w:val="none" w:sz="0" w:space="0" w:color="auto"/>
                <w:right w:val="none" w:sz="0" w:space="0" w:color="auto"/>
              </w:divBdr>
              <w:divsChild>
                <w:div w:id="1559976226">
                  <w:marLeft w:val="0"/>
                  <w:marRight w:val="0"/>
                  <w:marTop w:val="0"/>
                  <w:marBottom w:val="0"/>
                  <w:divBdr>
                    <w:top w:val="none" w:sz="0" w:space="0" w:color="auto"/>
                    <w:left w:val="none" w:sz="0" w:space="0" w:color="auto"/>
                    <w:bottom w:val="none" w:sz="0" w:space="0" w:color="auto"/>
                    <w:right w:val="none" w:sz="0" w:space="0" w:color="auto"/>
                  </w:divBdr>
                  <w:divsChild>
                    <w:div w:id="622536919">
                      <w:marLeft w:val="1"/>
                      <w:marRight w:val="1"/>
                      <w:marTop w:val="0"/>
                      <w:marBottom w:val="0"/>
                      <w:divBdr>
                        <w:top w:val="none" w:sz="0" w:space="0" w:color="auto"/>
                        <w:left w:val="none" w:sz="0" w:space="0" w:color="auto"/>
                        <w:bottom w:val="none" w:sz="0" w:space="0" w:color="auto"/>
                        <w:right w:val="none" w:sz="0" w:space="0" w:color="auto"/>
                      </w:divBdr>
                      <w:divsChild>
                        <w:div w:id="469136403">
                          <w:marLeft w:val="0"/>
                          <w:marRight w:val="0"/>
                          <w:marTop w:val="0"/>
                          <w:marBottom w:val="0"/>
                          <w:divBdr>
                            <w:top w:val="none" w:sz="0" w:space="0" w:color="auto"/>
                            <w:left w:val="none" w:sz="0" w:space="0" w:color="auto"/>
                            <w:bottom w:val="none" w:sz="0" w:space="0" w:color="auto"/>
                            <w:right w:val="none" w:sz="0" w:space="0" w:color="auto"/>
                          </w:divBdr>
                          <w:divsChild>
                            <w:div w:id="1607811688">
                              <w:marLeft w:val="0"/>
                              <w:marRight w:val="0"/>
                              <w:marTop w:val="0"/>
                              <w:marBottom w:val="360"/>
                              <w:divBdr>
                                <w:top w:val="none" w:sz="0" w:space="0" w:color="auto"/>
                                <w:left w:val="none" w:sz="0" w:space="0" w:color="auto"/>
                                <w:bottom w:val="none" w:sz="0" w:space="0" w:color="auto"/>
                                <w:right w:val="none" w:sz="0" w:space="0" w:color="auto"/>
                              </w:divBdr>
                              <w:divsChild>
                                <w:div w:id="183054375">
                                  <w:marLeft w:val="0"/>
                                  <w:marRight w:val="0"/>
                                  <w:marTop w:val="0"/>
                                  <w:marBottom w:val="0"/>
                                  <w:divBdr>
                                    <w:top w:val="none" w:sz="0" w:space="0" w:color="auto"/>
                                    <w:left w:val="none" w:sz="0" w:space="0" w:color="auto"/>
                                    <w:bottom w:val="none" w:sz="0" w:space="0" w:color="auto"/>
                                    <w:right w:val="none" w:sz="0" w:space="0" w:color="auto"/>
                                  </w:divBdr>
                                  <w:divsChild>
                                    <w:div w:id="220869259">
                                      <w:marLeft w:val="0"/>
                                      <w:marRight w:val="0"/>
                                      <w:marTop w:val="0"/>
                                      <w:marBottom w:val="0"/>
                                      <w:divBdr>
                                        <w:top w:val="none" w:sz="0" w:space="0" w:color="auto"/>
                                        <w:left w:val="none" w:sz="0" w:space="0" w:color="auto"/>
                                        <w:bottom w:val="none" w:sz="0" w:space="0" w:color="auto"/>
                                        <w:right w:val="none" w:sz="0" w:space="0" w:color="auto"/>
                                      </w:divBdr>
                                      <w:divsChild>
                                        <w:div w:id="1159075135">
                                          <w:marLeft w:val="0"/>
                                          <w:marRight w:val="0"/>
                                          <w:marTop w:val="0"/>
                                          <w:marBottom w:val="0"/>
                                          <w:divBdr>
                                            <w:top w:val="none" w:sz="0" w:space="0" w:color="auto"/>
                                            <w:left w:val="none" w:sz="0" w:space="0" w:color="auto"/>
                                            <w:bottom w:val="none" w:sz="0" w:space="0" w:color="auto"/>
                                            <w:right w:val="none" w:sz="0" w:space="0" w:color="auto"/>
                                          </w:divBdr>
                                          <w:divsChild>
                                            <w:div w:id="1526362478">
                                              <w:marLeft w:val="0"/>
                                              <w:marRight w:val="0"/>
                                              <w:marTop w:val="0"/>
                                              <w:marBottom w:val="0"/>
                                              <w:divBdr>
                                                <w:top w:val="none" w:sz="0" w:space="0" w:color="auto"/>
                                                <w:left w:val="none" w:sz="0" w:space="0" w:color="auto"/>
                                                <w:bottom w:val="none" w:sz="0" w:space="0" w:color="auto"/>
                                                <w:right w:val="none" w:sz="0" w:space="0" w:color="auto"/>
                                              </w:divBdr>
                                              <w:divsChild>
                                                <w:div w:id="1033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274599">
      <w:bodyDiv w:val="1"/>
      <w:marLeft w:val="0"/>
      <w:marRight w:val="0"/>
      <w:marTop w:val="0"/>
      <w:marBottom w:val="0"/>
      <w:divBdr>
        <w:top w:val="none" w:sz="0" w:space="0" w:color="auto"/>
        <w:left w:val="none" w:sz="0" w:space="0" w:color="auto"/>
        <w:bottom w:val="none" w:sz="0" w:space="0" w:color="auto"/>
        <w:right w:val="none" w:sz="0" w:space="0" w:color="auto"/>
      </w:divBdr>
    </w:div>
    <w:div w:id="1478955975">
      <w:bodyDiv w:val="1"/>
      <w:marLeft w:val="0"/>
      <w:marRight w:val="0"/>
      <w:marTop w:val="0"/>
      <w:marBottom w:val="0"/>
      <w:divBdr>
        <w:top w:val="none" w:sz="0" w:space="0" w:color="auto"/>
        <w:left w:val="none" w:sz="0" w:space="0" w:color="auto"/>
        <w:bottom w:val="none" w:sz="0" w:space="0" w:color="auto"/>
        <w:right w:val="none" w:sz="0" w:space="0" w:color="auto"/>
      </w:divBdr>
    </w:div>
    <w:div w:id="1591309591">
      <w:bodyDiv w:val="1"/>
      <w:marLeft w:val="0"/>
      <w:marRight w:val="0"/>
      <w:marTop w:val="0"/>
      <w:marBottom w:val="0"/>
      <w:divBdr>
        <w:top w:val="none" w:sz="0" w:space="0" w:color="auto"/>
        <w:left w:val="none" w:sz="0" w:space="0" w:color="auto"/>
        <w:bottom w:val="none" w:sz="0" w:space="0" w:color="auto"/>
        <w:right w:val="none" w:sz="0" w:space="0" w:color="auto"/>
      </w:divBdr>
    </w:div>
    <w:div w:id="214565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ur-lex.europa.eu/legal-content/EN/AUTO/?uri=uriserv:OJ.L_.2009.141.01.0012.E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eur-lex.europa.eu/legal-content/EN/AUTO/?uri=uriserv:OJ.L_.1996.235.01.0059.EN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5912-B923-499B-905B-4BE1FFEB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15</Pages>
  <Words>3521</Words>
  <Characters>18735</Characters>
  <Application>Microsoft Office Word</Application>
  <DocSecurity>0</DocSecurity>
  <Lines>551</Lines>
  <Paragraphs>190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KOSKINEN Ismo (MOVE)</dc:creator>
  <cp:lastModifiedBy>DIGIT/A3</cp:lastModifiedBy>
  <cp:revision>7</cp:revision>
  <cp:lastPrinted>2015-11-18T11:29:00Z</cp:lastPrinted>
  <dcterms:created xsi:type="dcterms:W3CDTF">2016-02-19T09:50:00Z</dcterms:created>
  <dcterms:modified xsi:type="dcterms:W3CDTF">2016-03-11T11:09:00Z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