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DB" w:rsidRDefault="0074124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1F17B36718848C98CD9881331D0D959" style="width:450.95pt;height:410.55pt">
            <v:imagedata r:id="rId9" o:title=""/>
          </v:shape>
        </w:pict>
      </w:r>
    </w:p>
    <w:p w:rsidR="006C7FDB" w:rsidRDefault="006C7FDB">
      <w:pPr>
        <w:rPr>
          <w:noProof/>
        </w:rPr>
        <w:sectPr w:rsidR="006C7FDB">
          <w:footerReference w:type="default" r:id="rId10"/>
          <w:pgSz w:w="11907" w:h="16839"/>
          <w:pgMar w:top="1134" w:right="1417" w:bottom="1134" w:left="1417" w:header="709" w:footer="709" w:gutter="0"/>
          <w:pgNumType w:start="1"/>
          <w:cols w:space="720"/>
          <w:docGrid w:linePitch="360"/>
        </w:sectPr>
      </w:pPr>
    </w:p>
    <w:p w:rsidR="006C7FDB" w:rsidRDefault="00741244">
      <w:pPr>
        <w:pStyle w:val="Typedudocument"/>
        <w:rPr>
          <w:noProof/>
        </w:rPr>
      </w:pPr>
      <w:r>
        <w:rPr>
          <w:noProof/>
        </w:rPr>
        <w:lastRenderedPageBreak/>
        <w:t>ПРИЛОЖЕНИЕ</w:t>
      </w:r>
    </w:p>
    <w:p w:rsidR="006C7FDB" w:rsidRDefault="00741244">
      <w:pPr>
        <w:pStyle w:val="Accompagnant"/>
        <w:rPr>
          <w:noProof/>
        </w:rPr>
      </w:pPr>
      <w:r>
        <w:rPr>
          <w:noProof/>
        </w:rPr>
        <w:t>към Предложението за</w:t>
      </w:r>
    </w:p>
    <w:p w:rsidR="006C7FDB" w:rsidRDefault="00741244">
      <w:pPr>
        <w:pStyle w:val="Typeacteprincipal"/>
        <w:rPr>
          <w:noProof/>
        </w:rPr>
      </w:pPr>
      <w:r>
        <w:rPr>
          <w:noProof/>
        </w:rPr>
        <w:t>Решение на Съвета</w:t>
      </w:r>
    </w:p>
    <w:p w:rsidR="006C7FDB" w:rsidRDefault="00741244">
      <w:pPr>
        <w:pStyle w:val="Objetacteprincipal"/>
        <w:rPr>
          <w:noProof/>
        </w:rPr>
      </w:pPr>
      <w:r>
        <w:rPr>
          <w:noProof/>
        </w:rPr>
        <w:t xml:space="preserve">относно позицията, която да бъде заета от името </w:t>
      </w:r>
      <w:r>
        <w:rPr>
          <w:noProof/>
        </w:rPr>
        <w:t>на Европейския съюз във връзка с проект за Решение № 1/2016 на Смесения комитет, създаден съгласно Спогодбата за международни случайни превози на пътници, извършвани с автобуси (Интербус)</w:t>
      </w:r>
    </w:p>
    <w:p w:rsidR="006C7FDB" w:rsidRDefault="006C7FDB">
      <w:pPr>
        <w:pStyle w:val="Objetacteprincipal"/>
        <w:rPr>
          <w:noProof/>
        </w:rPr>
      </w:pPr>
    </w:p>
    <w:p w:rsidR="006C7FDB" w:rsidRDefault="00741244">
      <w:pPr>
        <w:pStyle w:val="Titreobjet"/>
        <w:rPr>
          <w:noProof/>
        </w:rPr>
      </w:pPr>
      <w:r>
        <w:rPr>
          <w:noProof/>
        </w:rPr>
        <w:t>ПРОЕКТ ЗА РЕШЕНИЕ № 1/2016 НА СМЕСЕНИЯ КОМИТЕТ, СЪЗДАДЕН СЪГЛАСНО С</w:t>
      </w:r>
      <w:r>
        <w:rPr>
          <w:noProof/>
        </w:rPr>
        <w:t>ПОГОДБАТА ЗА МЕЖДУНАРОДНИ СЛУЧАЙНИ ПРЕВОЗИ НА ПЪТНИЦИ, ИЗВЪРШВАНИ С АВТОБУСИ (ИНТЕРБУС)</w:t>
      </w:r>
    </w:p>
    <w:p w:rsidR="006C7FDB" w:rsidRDefault="00741244">
      <w:pPr>
        <w:pStyle w:val="Date"/>
        <w:jc w:val="center"/>
        <w:rPr>
          <w:b/>
          <w:noProof/>
        </w:rPr>
      </w:pPr>
      <w:r>
        <w:rPr>
          <w:b/>
          <w:noProof/>
        </w:rPr>
        <w:t>от [</w:t>
      </w:r>
      <w:r>
        <w:rPr>
          <w:b/>
          <w:noProof/>
          <w:highlight w:val="yellow"/>
        </w:rPr>
        <w:t>ДАТА</w:t>
      </w:r>
      <w:r>
        <w:rPr>
          <w:b/>
          <w:noProof/>
        </w:rPr>
        <w:t>] година</w:t>
      </w:r>
    </w:p>
    <w:p w:rsidR="006C7FDB" w:rsidRDefault="00741244">
      <w:pPr>
        <w:pStyle w:val="Sous-titreobjet"/>
        <w:rPr>
          <w:noProof/>
        </w:rPr>
      </w:pPr>
      <w:r>
        <w:rPr>
          <w:noProof/>
        </w:rPr>
        <w:t>за адаптиране на член 8 от Спогодбата и на приложения 1, 2, 3 и 5 към нея, и за отмяна на Препоръка № 1/2011</w:t>
      </w:r>
    </w:p>
    <w:p w:rsidR="006C7FDB" w:rsidRDefault="00741244">
      <w:pPr>
        <w:pStyle w:val="Institutionquiagit"/>
        <w:rPr>
          <w:noProof/>
        </w:rPr>
      </w:pPr>
      <w:r>
        <w:rPr>
          <w:noProof/>
        </w:rPr>
        <w:t xml:space="preserve">СМЕСЕНИЯТ КОМИТЕТ, </w:t>
      </w:r>
    </w:p>
    <w:p w:rsidR="006C7FDB" w:rsidRDefault="006C7FDB">
      <w:pPr>
        <w:rPr>
          <w:noProof/>
        </w:rPr>
      </w:pPr>
    </w:p>
    <w:p w:rsidR="006C7FDB" w:rsidRDefault="00741244">
      <w:pPr>
        <w:rPr>
          <w:noProof/>
        </w:rPr>
      </w:pPr>
      <w:r>
        <w:rPr>
          <w:noProof/>
        </w:rPr>
        <w:t xml:space="preserve">като взе предвид </w:t>
      </w:r>
      <w:r>
        <w:rPr>
          <w:noProof/>
        </w:rPr>
        <w:t>Спогодбата за международни случайни превози на пътници, извършвани с автобуси (Интербус)</w:t>
      </w:r>
      <w:r>
        <w:rPr>
          <w:rStyle w:val="FootnoteReference"/>
          <w:noProof/>
        </w:rPr>
        <w:footnoteReference w:id="1"/>
      </w:r>
      <w:r>
        <w:rPr>
          <w:noProof/>
        </w:rPr>
        <w:t>, и по-специално член 24 от нея,</w:t>
      </w:r>
    </w:p>
    <w:p w:rsidR="006C7FDB" w:rsidRDefault="006C7FDB">
      <w:pPr>
        <w:rPr>
          <w:noProof/>
        </w:rPr>
      </w:pPr>
    </w:p>
    <w:p w:rsidR="006C7FDB" w:rsidRDefault="00741244">
      <w:pPr>
        <w:rPr>
          <w:noProof/>
          <w:color w:val="000000"/>
        </w:rPr>
      </w:pPr>
      <w:r>
        <w:rPr>
          <w:noProof/>
        </w:rPr>
        <w:t>като има предвид, че:</w:t>
      </w:r>
      <w:r>
        <w:rPr>
          <w:noProof/>
          <w:color w:val="000000"/>
        </w:rPr>
        <w:t xml:space="preserve"> </w:t>
      </w:r>
    </w:p>
    <w:p w:rsidR="006C7FDB" w:rsidRDefault="006C7FDB">
      <w:pPr>
        <w:rPr>
          <w:noProof/>
          <w:color w:val="000000"/>
        </w:rPr>
      </w:pPr>
    </w:p>
    <w:p w:rsidR="006C7FDB" w:rsidRDefault="00741244">
      <w:pPr>
        <w:pStyle w:val="Considrant"/>
        <w:numPr>
          <w:ilvl w:val="0"/>
          <w:numId w:val="1"/>
        </w:numPr>
        <w:rPr>
          <w:noProof/>
        </w:rPr>
      </w:pPr>
      <w:r>
        <w:rPr>
          <w:noProof/>
        </w:rPr>
        <w:t>С член 23 от Спогодбата бе създаден Смесен комитет, за да се улесни прилагането на спогодбата.</w:t>
      </w:r>
    </w:p>
    <w:p w:rsidR="006C7FDB" w:rsidRDefault="00741244">
      <w:pPr>
        <w:pStyle w:val="Considrant"/>
        <w:rPr>
          <w:noProof/>
          <w:color w:val="000000"/>
        </w:rPr>
      </w:pPr>
      <w:r>
        <w:rPr>
          <w:noProof/>
          <w:color w:val="000000"/>
        </w:rPr>
        <w:t>При последната</w:t>
      </w:r>
      <w:r>
        <w:rPr>
          <w:noProof/>
          <w:color w:val="000000"/>
        </w:rPr>
        <w:t xml:space="preserve"> актуализация на Спогодбата за международни случайни превози на пътници, извършвани с автобуси (Интербус), осъществена с Решение № 1/2011 на Смесения комитет</w:t>
      </w:r>
      <w:r>
        <w:rPr>
          <w:rStyle w:val="FootnoteReference"/>
          <w:noProof/>
          <w:color w:val="000000"/>
        </w:rPr>
        <w:footnoteReference w:id="2"/>
      </w:r>
      <w:r>
        <w:rPr>
          <w:noProof/>
          <w:color w:val="000000"/>
        </w:rPr>
        <w:t>, бяха взети предвид актовете на Съюза, приети до края на 2009 г. Време е да се включат и новите м</w:t>
      </w:r>
      <w:r>
        <w:rPr>
          <w:noProof/>
          <w:color w:val="000000"/>
        </w:rPr>
        <w:t>ерки, приети от Съюза впоследствие.</w:t>
      </w:r>
    </w:p>
    <w:p w:rsidR="006C7FDB" w:rsidRDefault="00741244">
      <w:pPr>
        <w:pStyle w:val="Considrant"/>
        <w:rPr>
          <w:noProof/>
          <w:color w:val="000000"/>
        </w:rPr>
      </w:pPr>
      <w:r>
        <w:rPr>
          <w:noProof/>
          <w:color w:val="000000"/>
        </w:rPr>
        <w:t>В съответствие с член 24, параграф 2, точка б) от Спогодбата, Смесеният комитет изменя или привежда в съответствие контролните документи и другите образци на документи, утвърдени в приложенията към спогодбата. За въвежда</w:t>
      </w:r>
      <w:r>
        <w:rPr>
          <w:noProof/>
          <w:color w:val="000000"/>
        </w:rPr>
        <w:t>нето на приетите от Съюза нови мерки и в съответствие с член 24, параграф 2, буква в) от Спогодбата, Смесеният комитет изменя или привежда в съответствие приложенията за техническите изисквания към автобусите, както и приложение № 1 за изискванията към пре</w:t>
      </w:r>
      <w:r>
        <w:rPr>
          <w:noProof/>
          <w:color w:val="000000"/>
        </w:rPr>
        <w:t xml:space="preserve">возвачите, извършващи превоз на </w:t>
      </w:r>
      <w:r>
        <w:rPr>
          <w:noProof/>
          <w:color w:val="000000"/>
        </w:rPr>
        <w:lastRenderedPageBreak/>
        <w:t>пътници. В съответствие с член 24, параграф 2, буква д) от Спогодбата, Смесеният комитет също така променя или привежда в съответствие изискванията на социалните разпоредби. За тази цел Смесеният комитет следва да предприеме</w:t>
      </w:r>
      <w:r>
        <w:rPr>
          <w:noProof/>
          <w:color w:val="000000"/>
        </w:rPr>
        <w:t xml:space="preserve"> действия, когато възникне необходимост спогодбата да бъде актуализирана с оглед на техническия напредък и промените в законодателството.</w:t>
      </w:r>
    </w:p>
    <w:p w:rsidR="006C7FDB" w:rsidRDefault="00741244">
      <w:pPr>
        <w:pStyle w:val="Considrant"/>
        <w:rPr>
          <w:noProof/>
        </w:rPr>
      </w:pPr>
      <w:r>
        <w:rPr>
          <w:noProof/>
        </w:rPr>
        <w:t>Препоръка № 1/2011 на Смесения комитет</w:t>
      </w:r>
      <w:r>
        <w:rPr>
          <w:rStyle w:val="FootnoteReference"/>
          <w:noProof/>
        </w:rPr>
        <w:footnoteReference w:id="3"/>
      </w:r>
      <w:r>
        <w:rPr>
          <w:noProof/>
        </w:rPr>
        <w:t xml:space="preserve"> съдържа образец на технически доклад, предназначен за крайпътни проверки на ав</w:t>
      </w:r>
      <w:r>
        <w:rPr>
          <w:noProof/>
        </w:rPr>
        <w:t>тобуси. Тя е изгубила своята актуалност и следва да бъде отменена,</w:t>
      </w:r>
    </w:p>
    <w:p w:rsidR="006C7FDB" w:rsidRDefault="006C7FDB">
      <w:pPr>
        <w:rPr>
          <w:noProof/>
          <w:color w:val="000000"/>
        </w:rPr>
      </w:pPr>
    </w:p>
    <w:p w:rsidR="006C7FDB" w:rsidRDefault="00741244">
      <w:pPr>
        <w:pStyle w:val="Formuledadoption"/>
        <w:rPr>
          <w:noProof/>
        </w:rPr>
      </w:pPr>
      <w:r>
        <w:rPr>
          <w:noProof/>
        </w:rPr>
        <w:t xml:space="preserve">ПРИЕ НАСТОЯЩОТО РЕШЕНИЕ: </w:t>
      </w:r>
    </w:p>
    <w:p w:rsidR="006C7FDB" w:rsidRDefault="006C7FDB">
      <w:pPr>
        <w:rPr>
          <w:noProof/>
        </w:rPr>
      </w:pPr>
    </w:p>
    <w:p w:rsidR="006C7FDB" w:rsidRDefault="00741244">
      <w:pPr>
        <w:pStyle w:val="Titrearticle"/>
        <w:rPr>
          <w:noProof/>
        </w:rPr>
      </w:pPr>
      <w:r>
        <w:rPr>
          <w:noProof/>
        </w:rPr>
        <w:t>Член 1</w:t>
      </w:r>
    </w:p>
    <w:p w:rsidR="006C7FDB" w:rsidRDefault="00741244">
      <w:pPr>
        <w:rPr>
          <w:noProof/>
          <w:color w:val="000000"/>
        </w:rPr>
      </w:pPr>
      <w:r>
        <w:rPr>
          <w:noProof/>
        </w:rPr>
        <w:t xml:space="preserve">Изискванията по отношение на социалните разпоредби, посочени в член 8 от Спогодбата, изискванията към автомобилните превозвачи, извършващи превоз на </w:t>
      </w:r>
      <w:r>
        <w:rPr>
          <w:noProof/>
        </w:rPr>
        <w:t>пътници, посочени в приложение 1 към Спогодбата, техническите изисквания към автобусите, посочени в приложение 2 към Спогодбата, образецът на контролни документи за случайните превози, освободени от разрешителни, посочени в приложение 3 към Спогодбата, обр</w:t>
      </w:r>
      <w:r>
        <w:rPr>
          <w:noProof/>
        </w:rPr>
        <w:t>азецът на разрешително за нелиберализираните случайни превози и образецът на декларация, посочени в приложение 5 към Спогодбата, се привеждат в съответствие съгласно определеното в приложението към настоящото решение.</w:t>
      </w:r>
    </w:p>
    <w:p w:rsidR="006C7FDB" w:rsidRDefault="006C7FDB">
      <w:pPr>
        <w:rPr>
          <w:noProof/>
          <w:color w:val="000000"/>
        </w:rPr>
      </w:pPr>
    </w:p>
    <w:p w:rsidR="006C7FDB" w:rsidRDefault="00741244">
      <w:pPr>
        <w:pStyle w:val="Titrearticle"/>
        <w:rPr>
          <w:noProof/>
        </w:rPr>
      </w:pPr>
      <w:r>
        <w:rPr>
          <w:noProof/>
        </w:rPr>
        <w:t>Член 2</w:t>
      </w:r>
    </w:p>
    <w:p w:rsidR="006C7FDB" w:rsidRDefault="00741244">
      <w:pPr>
        <w:rPr>
          <w:noProof/>
          <w:color w:val="000000"/>
        </w:rPr>
      </w:pPr>
      <w:r>
        <w:rPr>
          <w:noProof/>
          <w:color w:val="000000"/>
        </w:rPr>
        <w:t>Препоръка № 1/2011 на Смесения</w:t>
      </w:r>
      <w:r>
        <w:rPr>
          <w:noProof/>
          <w:color w:val="000000"/>
        </w:rPr>
        <w:t xml:space="preserve"> комитет се отменя.</w:t>
      </w:r>
    </w:p>
    <w:p w:rsidR="006C7FDB" w:rsidRDefault="006C7FDB">
      <w:pPr>
        <w:rPr>
          <w:noProof/>
          <w:color w:val="000000"/>
        </w:rPr>
      </w:pPr>
    </w:p>
    <w:p w:rsidR="006C7FDB" w:rsidRDefault="00741244">
      <w:pPr>
        <w:pStyle w:val="Titrearticle"/>
        <w:rPr>
          <w:noProof/>
        </w:rPr>
      </w:pPr>
      <w:r>
        <w:rPr>
          <w:noProof/>
        </w:rPr>
        <w:t>Член 3</w:t>
      </w:r>
    </w:p>
    <w:p w:rsidR="006C7FDB" w:rsidRDefault="00741244">
      <w:pPr>
        <w:rPr>
          <w:noProof/>
          <w:color w:val="000000"/>
        </w:rPr>
      </w:pPr>
      <w:r>
        <w:rPr>
          <w:noProof/>
        </w:rPr>
        <w:t>Настоящото решение влиза в сила на [</w:t>
      </w:r>
      <w:r>
        <w:rPr>
          <w:noProof/>
          <w:highlight w:val="yellow"/>
        </w:rPr>
        <w:t>ДАТА</w:t>
      </w:r>
      <w:r>
        <w:rPr>
          <w:noProof/>
        </w:rPr>
        <w:t>] година.</w:t>
      </w:r>
    </w:p>
    <w:p w:rsidR="006C7FDB" w:rsidRDefault="006C7FDB">
      <w:pPr>
        <w:rPr>
          <w:noProof/>
          <w:color w:val="000000"/>
        </w:rPr>
      </w:pPr>
    </w:p>
    <w:p w:rsidR="006C7FDB" w:rsidRDefault="006C7FDB">
      <w:pPr>
        <w:rPr>
          <w:noProof/>
          <w:color w:val="000000"/>
        </w:rPr>
      </w:pPr>
    </w:p>
    <w:p w:rsidR="006C7FDB" w:rsidRDefault="00741244">
      <w:pPr>
        <w:pStyle w:val="Fait"/>
        <w:rPr>
          <w:noProof/>
        </w:rPr>
      </w:pPr>
      <w:r>
        <w:rPr>
          <w:noProof/>
        </w:rPr>
        <w:t>Съставено в Брюксел на [</w:t>
      </w:r>
      <w:r>
        <w:rPr>
          <w:noProof/>
          <w:highlight w:val="yellow"/>
        </w:rPr>
        <w:t>ДАТА</w:t>
      </w:r>
      <w:r>
        <w:rPr>
          <w:noProof/>
        </w:rPr>
        <w:t xml:space="preserve">] година. </w:t>
      </w:r>
    </w:p>
    <w:p w:rsidR="006C7FDB" w:rsidRDefault="006C7FDB">
      <w:pPr>
        <w:rPr>
          <w:noProof/>
          <w:color w:val="000000"/>
        </w:rPr>
      </w:pPr>
    </w:p>
    <w:p w:rsidR="006C7FDB" w:rsidRDefault="006C7FDB">
      <w:pPr>
        <w:rPr>
          <w:noProof/>
          <w:color w:val="000000"/>
        </w:rPr>
      </w:pPr>
    </w:p>
    <w:p w:rsidR="006C7FDB" w:rsidRDefault="006C7FDB">
      <w:pPr>
        <w:rPr>
          <w:noProof/>
          <w:color w:val="000000"/>
        </w:rPr>
      </w:pPr>
    </w:p>
    <w:p w:rsidR="006C7FDB" w:rsidRDefault="00741244">
      <w:pPr>
        <w:rPr>
          <w:noProof/>
          <w:color w:val="000000"/>
        </w:rPr>
      </w:pPr>
      <w:r>
        <w:rPr>
          <w:noProof/>
        </w:rPr>
        <w:tab/>
      </w:r>
      <w:r>
        <w:rPr>
          <w:noProof/>
        </w:rPr>
        <w:tab/>
      </w:r>
      <w:r>
        <w:rPr>
          <w:noProof/>
        </w:rPr>
        <w:tab/>
      </w:r>
      <w:r>
        <w:rPr>
          <w:noProof/>
        </w:rPr>
        <w:tab/>
      </w:r>
      <w:r>
        <w:rPr>
          <w:noProof/>
        </w:rPr>
        <w:tab/>
      </w:r>
      <w:r>
        <w:rPr>
          <w:noProof/>
        </w:rPr>
        <w:tab/>
      </w:r>
      <w:r>
        <w:rPr>
          <w:noProof/>
        </w:rPr>
        <w:tab/>
      </w:r>
      <w:r>
        <w:rPr>
          <w:noProof/>
          <w:color w:val="000000"/>
        </w:rPr>
        <w:t>За Смесения комитет</w:t>
      </w:r>
    </w:p>
    <w:p w:rsidR="006C7FDB" w:rsidRDefault="006C7FDB">
      <w:pPr>
        <w:rPr>
          <w:noProof/>
          <w:color w:val="000000"/>
        </w:rPr>
      </w:pPr>
    </w:p>
    <w:p w:rsidR="006C7FDB" w:rsidRDefault="006C7FDB">
      <w:pPr>
        <w:rPr>
          <w:noProof/>
          <w:color w:val="000000"/>
        </w:rPr>
      </w:pPr>
    </w:p>
    <w:p w:rsidR="006C7FDB" w:rsidRDefault="006C7FDB">
      <w:pPr>
        <w:rPr>
          <w:noProof/>
          <w:color w:val="000000"/>
        </w:rPr>
      </w:pPr>
    </w:p>
    <w:p w:rsidR="006C7FDB" w:rsidRDefault="00741244">
      <w:pPr>
        <w:rPr>
          <w:i/>
          <w:iCs/>
          <w:noProof/>
          <w:color w:val="000000"/>
        </w:rPr>
      </w:pPr>
      <w:r>
        <w:rPr>
          <w:i/>
          <w:noProof/>
          <w:color w:val="000000"/>
        </w:rPr>
        <w:t xml:space="preserve">Председател </w:t>
      </w:r>
      <w:r>
        <w:rPr>
          <w:noProof/>
        </w:rPr>
        <w:tab/>
      </w:r>
      <w:r>
        <w:rPr>
          <w:noProof/>
        </w:rPr>
        <w:tab/>
      </w:r>
      <w:r>
        <w:rPr>
          <w:noProof/>
        </w:rPr>
        <w:tab/>
      </w:r>
      <w:r>
        <w:rPr>
          <w:noProof/>
        </w:rPr>
        <w:tab/>
      </w:r>
      <w:r>
        <w:rPr>
          <w:noProof/>
        </w:rPr>
        <w:tab/>
      </w:r>
      <w:r>
        <w:rPr>
          <w:noProof/>
        </w:rPr>
        <w:tab/>
      </w:r>
      <w:r>
        <w:rPr>
          <w:noProof/>
        </w:rPr>
        <w:tab/>
      </w:r>
      <w:r>
        <w:rPr>
          <w:i/>
          <w:noProof/>
          <w:color w:val="000000"/>
        </w:rPr>
        <w:t>Секретар</w:t>
      </w:r>
    </w:p>
    <w:p w:rsidR="006C7FDB" w:rsidRDefault="006C7FDB">
      <w:pPr>
        <w:rPr>
          <w:noProof/>
          <w:sz w:val="21"/>
          <w:szCs w:val="21"/>
        </w:rPr>
        <w:sectPr w:rsidR="006C7FDB">
          <w:footerReference w:type="default" r:id="rId11"/>
          <w:footerReference w:type="first" r:id="rId12"/>
          <w:pgSz w:w="11907" w:h="16839"/>
          <w:pgMar w:top="1134" w:right="1417" w:bottom="1134" w:left="1417" w:header="709" w:footer="709" w:gutter="0"/>
          <w:cols w:space="720"/>
          <w:docGrid w:linePitch="360"/>
        </w:sectPr>
      </w:pPr>
    </w:p>
    <w:p w:rsidR="006C7FDB" w:rsidRDefault="00741244">
      <w:pPr>
        <w:jc w:val="center"/>
        <w:rPr>
          <w:noProof/>
        </w:rPr>
      </w:pPr>
      <w:r>
        <w:rPr>
          <w:noProof/>
        </w:rPr>
        <w:t>Приложение</w:t>
      </w:r>
    </w:p>
    <w:p w:rsidR="006C7FDB" w:rsidRDefault="006C7FDB">
      <w:pPr>
        <w:pStyle w:val="Default"/>
        <w:rPr>
          <w:rFonts w:cs="Times New Roman"/>
          <w:noProof/>
        </w:rPr>
      </w:pPr>
    </w:p>
    <w:p w:rsidR="006C7FDB" w:rsidRDefault="00741244">
      <w:pPr>
        <w:pStyle w:val="CM4"/>
        <w:spacing w:before="60" w:after="60"/>
        <w:jc w:val="center"/>
        <w:rPr>
          <w:rFonts w:cs="Times New Roman"/>
          <w:noProof/>
          <w:color w:val="000000"/>
        </w:rPr>
      </w:pPr>
      <w:r>
        <w:rPr>
          <w:b/>
          <w:noProof/>
        </w:rPr>
        <w:t xml:space="preserve">Адаптиране на Спогодбата — член 8 относно социалните разпоредби, приложение 1 относно изискванията към автомобилните превозвачи, извършващи превоз на пътници, приложение 2 относно техническите изисквания към автобусите, </w:t>
      </w:r>
      <w:r>
        <w:rPr>
          <w:b/>
          <w:noProof/>
        </w:rPr>
        <w:t>приложение 3 относно образеца на контролни документи за случайните превози, освободени от разрешителни, приложение 5 относно образеца на разрешително за нелиберализираните случайни превози и образеца на декларация</w:t>
      </w:r>
      <w:r>
        <w:rPr>
          <w:rStyle w:val="FootnoteReference"/>
          <w:rFonts w:cs="Times New Roman"/>
          <w:b/>
          <w:noProof/>
        </w:rPr>
        <w:footnoteReference w:id="4"/>
      </w:r>
      <w:r>
        <w:rPr>
          <w:b/>
          <w:noProof/>
        </w:rPr>
        <w:t>.</w:t>
      </w:r>
    </w:p>
    <w:p w:rsidR="006C7FDB" w:rsidRDefault="006C7FDB">
      <w:pPr>
        <w:pStyle w:val="Default"/>
        <w:rPr>
          <w:rFonts w:cs="Times New Roman"/>
          <w:noProof/>
        </w:rPr>
      </w:pPr>
    </w:p>
    <w:p w:rsidR="006C7FDB" w:rsidRDefault="006C7FDB">
      <w:pPr>
        <w:pStyle w:val="Default"/>
        <w:rPr>
          <w:rFonts w:cs="Times New Roman"/>
          <w:noProof/>
        </w:rPr>
      </w:pPr>
    </w:p>
    <w:p w:rsidR="006C7FDB" w:rsidRDefault="00741244">
      <w:pPr>
        <w:pStyle w:val="Default"/>
        <w:jc w:val="both"/>
        <w:rPr>
          <w:rFonts w:cs="Times New Roman"/>
          <w:i/>
          <w:noProof/>
        </w:rPr>
      </w:pPr>
      <w:r>
        <w:rPr>
          <w:i/>
          <w:noProof/>
        </w:rPr>
        <w:t xml:space="preserve">1. Адаптиране на член 8 от Спогодбата </w:t>
      </w:r>
      <w:r>
        <w:rPr>
          <w:i/>
          <w:noProof/>
        </w:rPr>
        <w:t>по отношение на социалните разпоредби</w:t>
      </w:r>
    </w:p>
    <w:p w:rsidR="006C7FDB" w:rsidRDefault="006C7FDB">
      <w:pPr>
        <w:pStyle w:val="Default"/>
        <w:rPr>
          <w:rFonts w:cs="Times New Roman"/>
          <w:noProof/>
        </w:rPr>
      </w:pPr>
    </w:p>
    <w:p w:rsidR="006C7FDB" w:rsidRDefault="00741244">
      <w:pPr>
        <w:pStyle w:val="Default"/>
        <w:jc w:val="both"/>
        <w:rPr>
          <w:rFonts w:cs="Times New Roman"/>
          <w:noProof/>
          <w:u w:val="single"/>
        </w:rPr>
      </w:pPr>
      <w:r>
        <w:rPr>
          <w:noProof/>
          <w:u w:val="single"/>
        </w:rPr>
        <w:t>В член 8, списъкът на актовете на Съюза се изменя, както следва:</w:t>
      </w:r>
    </w:p>
    <w:p w:rsidR="006C7FDB" w:rsidRDefault="006C7FDB">
      <w:pPr>
        <w:pStyle w:val="Default"/>
        <w:jc w:val="both"/>
        <w:rPr>
          <w:rFonts w:cs="Times New Roman"/>
          <w:noProof/>
        </w:rPr>
      </w:pPr>
    </w:p>
    <w:p w:rsidR="006C7FDB" w:rsidRDefault="00741244">
      <w:pPr>
        <w:pStyle w:val="Default"/>
        <w:jc w:val="both"/>
        <w:rPr>
          <w:rFonts w:cs="Times New Roman"/>
          <w:noProof/>
          <w:u w:val="single"/>
        </w:rPr>
      </w:pPr>
      <w:r>
        <w:rPr>
          <w:noProof/>
          <w:u w:val="single"/>
        </w:rPr>
        <w:t>а) препратката към Регламент (ЕИО) № 3821/85 на Съвета се заменя със следното:</w:t>
      </w:r>
    </w:p>
    <w:p w:rsidR="006C7FDB" w:rsidRDefault="006C7FDB">
      <w:pPr>
        <w:pStyle w:val="Default"/>
        <w:jc w:val="both"/>
        <w:rPr>
          <w:rFonts w:cs="Times New Roman"/>
          <w:noProof/>
          <w:u w:val="single"/>
        </w:rPr>
      </w:pPr>
    </w:p>
    <w:p w:rsidR="006C7FDB" w:rsidRDefault="00741244">
      <w:pPr>
        <w:pStyle w:val="Default"/>
        <w:ind w:left="720" w:hanging="720"/>
        <w:jc w:val="both"/>
        <w:rPr>
          <w:noProof/>
        </w:rPr>
      </w:pPr>
      <w:r>
        <w:rPr>
          <w:noProof/>
        </w:rPr>
        <w:t>„—</w:t>
      </w:r>
      <w:r>
        <w:rPr>
          <w:noProof/>
        </w:rPr>
        <w:tab/>
        <w:t>Регламент (ЕИО) № 3821/85 на Съвета от 20 декември 1985 г. относно к</w:t>
      </w:r>
      <w:r>
        <w:rPr>
          <w:noProof/>
        </w:rPr>
        <w:t>онтролните уреди за регистриране на данните в автомобилния транспорт (ОВ L 370, 31.12.1985 г., стр. 8), последно изменен с Регламент (ЕС) № 1161/2014 на Комисията от 30 октомври 2014 г. (ОВ L 311, 31.10.2014 г., стр. 19), който се прилага до влизането в си</w:t>
      </w:r>
      <w:r>
        <w:rPr>
          <w:noProof/>
        </w:rPr>
        <w:t>ла на Регламент (ЕС) № 165/2014 на Европейския парламент и на Съвета от 4 февруари 2014 г. (ОВ L 60, 28.2.2014 г., стр. 1).</w:t>
      </w:r>
    </w:p>
    <w:p w:rsidR="006C7FDB" w:rsidRDefault="006C7FDB">
      <w:pPr>
        <w:pStyle w:val="Default"/>
        <w:ind w:left="720" w:hanging="720"/>
        <w:jc w:val="both"/>
        <w:rPr>
          <w:noProof/>
        </w:rPr>
      </w:pPr>
    </w:p>
    <w:p w:rsidR="006C7FDB" w:rsidRDefault="00741244">
      <w:pPr>
        <w:pStyle w:val="Default"/>
        <w:ind w:left="720"/>
        <w:jc w:val="both"/>
        <w:rPr>
          <w:rFonts w:eastAsia="Times New Roman"/>
          <w:noProof/>
        </w:rPr>
      </w:pPr>
      <w:r>
        <w:rPr>
          <w:noProof/>
        </w:rPr>
        <w:t>Могат да се прилагат еквивалентните правила, установени със Спогодбата AETR, включително протоколите към нея, вместо Регламент (ЕИО</w:t>
      </w:r>
      <w:r>
        <w:rPr>
          <w:noProof/>
        </w:rPr>
        <w:t>) № 3821/85 на Съвета,“;</w:t>
      </w:r>
    </w:p>
    <w:p w:rsidR="006C7FDB" w:rsidRDefault="006C7FDB">
      <w:pPr>
        <w:pStyle w:val="Default"/>
        <w:jc w:val="both"/>
        <w:rPr>
          <w:rFonts w:cs="Times New Roman"/>
          <w:noProof/>
        </w:rPr>
      </w:pPr>
    </w:p>
    <w:p w:rsidR="006C7FDB" w:rsidRDefault="00741244">
      <w:pPr>
        <w:pStyle w:val="Default"/>
        <w:jc w:val="both"/>
        <w:rPr>
          <w:rFonts w:cs="Times New Roman"/>
          <w:noProof/>
          <w:u w:val="single"/>
        </w:rPr>
      </w:pPr>
      <w:r>
        <w:rPr>
          <w:noProof/>
          <w:u w:val="single"/>
        </w:rPr>
        <w:t>б) добавя се следният акт на Съюза:</w:t>
      </w:r>
    </w:p>
    <w:p w:rsidR="006C7FDB" w:rsidRDefault="006C7FDB">
      <w:pPr>
        <w:pStyle w:val="Default"/>
        <w:jc w:val="both"/>
        <w:rPr>
          <w:rFonts w:cs="Times New Roman"/>
          <w:noProof/>
          <w:u w:val="single"/>
        </w:rPr>
      </w:pPr>
    </w:p>
    <w:p w:rsidR="006C7FDB" w:rsidRDefault="00741244">
      <w:pPr>
        <w:pStyle w:val="Default"/>
        <w:ind w:left="720" w:hanging="720"/>
        <w:jc w:val="both"/>
        <w:rPr>
          <w:noProof/>
        </w:rPr>
      </w:pPr>
      <w:r>
        <w:rPr>
          <w:noProof/>
        </w:rPr>
        <w:t>„—</w:t>
      </w:r>
      <w:r>
        <w:rPr>
          <w:noProof/>
        </w:rPr>
        <w:tab/>
        <w:t>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w:t>
      </w:r>
      <w:r>
        <w:rPr>
          <w:noProof/>
        </w:rPr>
        <w:t xml:space="preserve">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w:t>
      </w:r>
      <w:r>
        <w:rPr>
          <w:noProof/>
        </w:rPr>
        <w:t>транспорт (ОВ L 60, 28.2.2014 г., стр. 1), който се прилага от датата на влизане в сила на актовете за изпълнение, посочени в член 46 от него.</w:t>
      </w:r>
    </w:p>
    <w:p w:rsidR="006C7FDB" w:rsidRDefault="006C7FDB">
      <w:pPr>
        <w:pStyle w:val="Default"/>
        <w:jc w:val="both"/>
        <w:rPr>
          <w:rFonts w:cs="Times New Roman"/>
          <w:noProof/>
          <w:color w:val="000000" w:themeColor="text1"/>
        </w:rPr>
      </w:pPr>
    </w:p>
    <w:p w:rsidR="006C7FDB" w:rsidRDefault="00741244">
      <w:pPr>
        <w:pStyle w:val="Default"/>
        <w:ind w:left="720"/>
        <w:jc w:val="both"/>
        <w:rPr>
          <w:rFonts w:cs="Times New Roman"/>
          <w:noProof/>
          <w:color w:val="000000" w:themeColor="text1"/>
        </w:rPr>
      </w:pPr>
      <w:r>
        <w:rPr>
          <w:noProof/>
        </w:rPr>
        <w:t xml:space="preserve">Могат да се прилагат еквивалентните правила, установени със Спогодбата AETR, включително протоколите към нея, </w:t>
      </w:r>
      <w:r>
        <w:rPr>
          <w:noProof/>
        </w:rPr>
        <w:t>вместо Регламент (ЕИО) № 165/2014 на Съвета.“.</w:t>
      </w:r>
    </w:p>
    <w:p w:rsidR="006C7FDB" w:rsidRDefault="006C7FDB">
      <w:pPr>
        <w:pStyle w:val="Default"/>
        <w:jc w:val="both"/>
        <w:rPr>
          <w:rFonts w:cs="Times New Roman"/>
          <w:noProof/>
          <w:color w:val="000000" w:themeColor="text1"/>
        </w:rPr>
      </w:pPr>
    </w:p>
    <w:p w:rsidR="006C7FDB" w:rsidRDefault="00741244">
      <w:pPr>
        <w:pStyle w:val="Default"/>
        <w:jc w:val="both"/>
        <w:rPr>
          <w:rFonts w:cs="Times New Roman"/>
          <w:i/>
          <w:noProof/>
        </w:rPr>
      </w:pPr>
      <w:r>
        <w:rPr>
          <w:i/>
          <w:noProof/>
        </w:rPr>
        <w:t xml:space="preserve">2. Адаптиране на приложение 1 към Спогодбата за изискванията към автомобилните превозвачи, извършващи превоз на пътници </w:t>
      </w:r>
    </w:p>
    <w:p w:rsidR="006C7FDB" w:rsidRDefault="006C7FDB">
      <w:pPr>
        <w:pStyle w:val="Default"/>
        <w:jc w:val="both"/>
        <w:rPr>
          <w:rFonts w:cs="Times New Roman"/>
          <w:noProof/>
        </w:rPr>
      </w:pPr>
    </w:p>
    <w:p w:rsidR="006C7FDB" w:rsidRDefault="00741244">
      <w:pPr>
        <w:pStyle w:val="Default"/>
        <w:jc w:val="both"/>
        <w:rPr>
          <w:rFonts w:cs="Times New Roman"/>
          <w:noProof/>
          <w:u w:val="single"/>
        </w:rPr>
      </w:pPr>
      <w:r>
        <w:rPr>
          <w:noProof/>
          <w:u w:val="single"/>
        </w:rPr>
        <w:t>В приложение 1 списъкът на актовете на Съюза се заменя със следното:</w:t>
      </w:r>
    </w:p>
    <w:p w:rsidR="006C7FDB" w:rsidRDefault="006C7FDB">
      <w:pPr>
        <w:pStyle w:val="Default"/>
        <w:jc w:val="both"/>
        <w:rPr>
          <w:rFonts w:cs="Times New Roman"/>
          <w:noProof/>
        </w:rPr>
      </w:pPr>
    </w:p>
    <w:p w:rsidR="006C7FDB" w:rsidRDefault="00741244">
      <w:pPr>
        <w:pStyle w:val="Default"/>
        <w:ind w:left="720"/>
        <w:jc w:val="both"/>
        <w:rPr>
          <w:rFonts w:eastAsia="Times New Roman" w:cs="Times New Roman"/>
          <w:noProof/>
        </w:rPr>
      </w:pPr>
      <w:r>
        <w:rPr>
          <w:noProof/>
        </w:rPr>
        <w:t xml:space="preserve">„Регламент (ЕО) </w:t>
      </w:r>
      <w:r>
        <w:rPr>
          <w:noProof/>
        </w:rPr>
        <w:t>№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w:t>
      </w:r>
      <w:r>
        <w:rPr>
          <w:noProof/>
        </w:rPr>
        <w:t>егламент (ЕИО) № 3820/85 на Съвета (ОВ L 102, 11.4.2016 г., стр. 1), последно изменен с Регламент (ЕС) № 165/2014 на Европейския парламент и на Съвета от 4 февруари 2014 г. (ОВ L 60, 28.2.2014 г., стр. 1);</w:t>
      </w:r>
    </w:p>
    <w:p w:rsidR="006C7FDB" w:rsidRDefault="006C7FDB">
      <w:pPr>
        <w:pStyle w:val="Default"/>
        <w:ind w:left="720"/>
        <w:jc w:val="both"/>
        <w:rPr>
          <w:rFonts w:eastAsia="Times New Roman" w:cs="Times New Roman"/>
          <w:noProof/>
        </w:rPr>
      </w:pPr>
    </w:p>
    <w:p w:rsidR="006C7FDB" w:rsidRDefault="00741244">
      <w:pPr>
        <w:pStyle w:val="Default"/>
        <w:ind w:left="720"/>
        <w:jc w:val="both"/>
        <w:rPr>
          <w:rFonts w:cs="Times New Roman"/>
          <w:noProof/>
        </w:rPr>
      </w:pPr>
      <w:r>
        <w:rPr>
          <w:noProof/>
        </w:rPr>
        <w:t>Регламент (ЕО) № 1071/2009 на Европейския парламе</w:t>
      </w:r>
      <w:r>
        <w:rPr>
          <w:noProof/>
        </w:rPr>
        <w:t>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(ОВ L 300, 14.11.2009 г., стр. 51), послед</w:t>
      </w:r>
      <w:r>
        <w:rPr>
          <w:noProof/>
        </w:rPr>
        <w:t>но изменен с Регламент (ЕС) № 517/2013 на Съвета от 13 май 2013 г. (ОВ L 158, 10.6.2013 г., стр. 1);</w:t>
      </w:r>
    </w:p>
    <w:p w:rsidR="006C7FDB" w:rsidRDefault="006C7FDB">
      <w:pPr>
        <w:pStyle w:val="Default"/>
        <w:ind w:left="720"/>
        <w:jc w:val="both"/>
        <w:rPr>
          <w:rFonts w:cs="Times New Roman"/>
          <w:noProof/>
        </w:rPr>
      </w:pPr>
    </w:p>
    <w:p w:rsidR="006C7FDB" w:rsidRDefault="00741244">
      <w:pPr>
        <w:pStyle w:val="Default"/>
        <w:ind w:left="720"/>
        <w:jc w:val="both"/>
        <w:rPr>
          <w:rFonts w:eastAsia="Times New Roman" w:cs="Times New Roman"/>
          <w:noProof/>
          <w:color w:val="auto"/>
        </w:rPr>
      </w:pPr>
      <w:r>
        <w:rPr>
          <w:noProof/>
          <w:color w:val="auto"/>
        </w:rPr>
        <w:t>Регламент (ЕО) № 1073/2009 на Европейския парламент и на Съвета от 21 октомври 2009 г. относно общите правила за достъп до международния пазар на автобусн</w:t>
      </w:r>
      <w:r>
        <w:rPr>
          <w:noProof/>
          <w:color w:val="auto"/>
        </w:rPr>
        <w:t>и превози и за изменение на Регламент (ЕО) № 561/2006 (ОВ L 300, 14.11.2009 г., стр. 88), последно изменен с Регламент (ЕС) № 517/2013 на Съвета от 13 май 2013 г. (ОВ L 158, 10.6.2013 г., стр. 1);</w:t>
      </w:r>
    </w:p>
    <w:p w:rsidR="006C7FDB" w:rsidRDefault="006C7FDB">
      <w:pPr>
        <w:pStyle w:val="Default"/>
        <w:ind w:left="720"/>
        <w:jc w:val="both"/>
        <w:rPr>
          <w:rFonts w:cs="Times New Roman"/>
          <w:noProof/>
          <w:color w:val="auto"/>
        </w:rPr>
      </w:pPr>
    </w:p>
    <w:p w:rsidR="006C7FDB" w:rsidRDefault="00741244">
      <w:pPr>
        <w:pStyle w:val="Default"/>
        <w:ind w:left="720"/>
        <w:jc w:val="both"/>
        <w:rPr>
          <w:rFonts w:eastAsia="Times New Roman" w:cs="Times New Roman"/>
          <w:noProof/>
        </w:rPr>
      </w:pPr>
      <w:r>
        <w:rPr>
          <w:noProof/>
        </w:rPr>
        <w:t xml:space="preserve">Регламент (ЕС) № 181/2011 на Европейския парламент и на </w:t>
      </w:r>
      <w:r>
        <w:rPr>
          <w:noProof/>
        </w:rPr>
        <w:t>Съвета от 16 февруари 2011 г. относно правата на пътниците в автобусния транспорт и за изменение на Регламент (ЕО) № 2006/2004 (ОВ L 55, 28.2.2011 г., стр. 1), доколкото той обхваща случайни превози с автобуси.“</w:t>
      </w:r>
    </w:p>
    <w:p w:rsidR="006C7FDB" w:rsidRDefault="006C7FDB">
      <w:pPr>
        <w:pStyle w:val="Default"/>
        <w:ind w:left="720"/>
        <w:jc w:val="both"/>
        <w:rPr>
          <w:rFonts w:eastAsia="Times New Roman" w:cs="Times New Roman"/>
          <w:noProof/>
        </w:rPr>
      </w:pPr>
    </w:p>
    <w:p w:rsidR="006C7FDB" w:rsidRDefault="006C7FDB">
      <w:pPr>
        <w:pStyle w:val="Default"/>
        <w:ind w:left="720"/>
        <w:jc w:val="both"/>
        <w:rPr>
          <w:rFonts w:cs="Times New Roman"/>
          <w:noProof/>
        </w:rPr>
      </w:pPr>
    </w:p>
    <w:p w:rsidR="006C7FDB" w:rsidRDefault="00741244">
      <w:pPr>
        <w:pStyle w:val="Default"/>
        <w:jc w:val="both"/>
        <w:rPr>
          <w:rFonts w:cs="Times New Roman"/>
          <w:i/>
          <w:noProof/>
        </w:rPr>
      </w:pPr>
      <w:r>
        <w:rPr>
          <w:i/>
          <w:noProof/>
        </w:rPr>
        <w:t>3. Адаптиране на приложение 2 към Спогодба</w:t>
      </w:r>
      <w:r>
        <w:rPr>
          <w:i/>
          <w:noProof/>
        </w:rPr>
        <w:t>та за техническите изисквания към автобусите</w:t>
      </w:r>
    </w:p>
    <w:p w:rsidR="006C7FDB" w:rsidRDefault="006C7FDB">
      <w:pPr>
        <w:pStyle w:val="Default"/>
        <w:jc w:val="both"/>
        <w:rPr>
          <w:rFonts w:cs="Times New Roman"/>
          <w:noProof/>
        </w:rPr>
      </w:pPr>
    </w:p>
    <w:p w:rsidR="006C7FDB" w:rsidRDefault="00741244">
      <w:pPr>
        <w:pStyle w:val="Default"/>
        <w:jc w:val="both"/>
        <w:rPr>
          <w:rFonts w:cs="Times New Roman"/>
          <w:noProof/>
          <w:u w:val="single"/>
        </w:rPr>
      </w:pPr>
      <w:r>
        <w:rPr>
          <w:noProof/>
          <w:u w:val="single"/>
        </w:rPr>
        <w:t>Приложение 2 се изменя, както следва:</w:t>
      </w:r>
    </w:p>
    <w:p w:rsidR="006C7FDB" w:rsidRDefault="006C7FDB">
      <w:pPr>
        <w:pStyle w:val="Default"/>
        <w:jc w:val="both"/>
        <w:rPr>
          <w:rFonts w:cs="Times New Roman"/>
          <w:noProof/>
          <w:u w:val="single"/>
        </w:rPr>
      </w:pPr>
    </w:p>
    <w:p w:rsidR="006C7FDB" w:rsidRDefault="00741244">
      <w:pPr>
        <w:pStyle w:val="Default"/>
        <w:jc w:val="both"/>
        <w:rPr>
          <w:rFonts w:cs="Times New Roman"/>
          <w:noProof/>
          <w:u w:val="single"/>
        </w:rPr>
      </w:pPr>
      <w:r>
        <w:rPr>
          <w:noProof/>
          <w:u w:val="single"/>
        </w:rPr>
        <w:t>а) Член 1 се изменя, както следва:</w:t>
      </w:r>
    </w:p>
    <w:p w:rsidR="006C7FDB" w:rsidRDefault="006C7FDB">
      <w:pPr>
        <w:pStyle w:val="Default"/>
        <w:jc w:val="both"/>
        <w:rPr>
          <w:rFonts w:cs="Times New Roman"/>
          <w:noProof/>
          <w:u w:val="single"/>
        </w:rPr>
      </w:pPr>
    </w:p>
    <w:p w:rsidR="006C7FDB" w:rsidRDefault="00741244">
      <w:pPr>
        <w:pStyle w:val="Default"/>
        <w:jc w:val="both"/>
        <w:rPr>
          <w:rFonts w:cs="Times New Roman"/>
          <w:noProof/>
          <w:u w:val="single"/>
        </w:rPr>
      </w:pPr>
      <w:r>
        <w:rPr>
          <w:noProof/>
          <w:u w:val="single"/>
        </w:rPr>
        <w:t>i) буква а) се заменя със следния текст:</w:t>
      </w:r>
    </w:p>
    <w:p w:rsidR="006C7FDB" w:rsidRDefault="006C7FDB">
      <w:pPr>
        <w:pStyle w:val="Default"/>
        <w:jc w:val="both"/>
        <w:rPr>
          <w:rFonts w:cs="Times New Roman"/>
          <w:noProof/>
        </w:rPr>
      </w:pPr>
    </w:p>
    <w:p w:rsidR="006C7FDB" w:rsidRDefault="00741244">
      <w:pPr>
        <w:spacing w:before="0" w:after="0"/>
        <w:ind w:firstLine="360"/>
        <w:rPr>
          <w:rFonts w:eastAsia="Times New Roman"/>
          <w:noProof/>
          <w:szCs w:val="24"/>
        </w:rPr>
      </w:pPr>
      <w:r>
        <w:rPr>
          <w:noProof/>
        </w:rPr>
        <w:t xml:space="preserve">„а) Прегледи за проверка на техническата изправност на моторните превозни средства и техните </w:t>
      </w:r>
      <w:r>
        <w:rPr>
          <w:noProof/>
        </w:rPr>
        <w:t>ремаркета:</w:t>
      </w:r>
    </w:p>
    <w:p w:rsidR="006C7FDB" w:rsidRDefault="006C7FDB">
      <w:pPr>
        <w:spacing w:before="0" w:after="0"/>
        <w:ind w:firstLine="360"/>
        <w:rPr>
          <w:rFonts w:eastAsia="Times New Roman"/>
          <w:noProof/>
          <w:szCs w:val="24"/>
        </w:rPr>
      </w:pPr>
    </w:p>
    <w:p w:rsidR="006C7FDB" w:rsidRDefault="00741244">
      <w:pPr>
        <w:pStyle w:val="Tiret1"/>
        <w:numPr>
          <w:ilvl w:val="0"/>
          <w:numId w:val="10"/>
        </w:numPr>
        <w:rPr>
          <w:noProof/>
        </w:rPr>
      </w:pPr>
      <w:r>
        <w:rPr>
          <w:noProof/>
        </w:rPr>
        <w:t>Директива 2009/40/ЕО на Европейския парламент и на Съвета от 6 май 2009 г. относно прегледите за проверка на техническата изправност на моторните превозни средства и техните ремаркета (</w:t>
      </w:r>
      <w:hyperlink r:id="rId13">
        <w:r>
          <w:rPr>
            <w:noProof/>
          </w:rPr>
          <w:t>ОВ L 141, 6.6.2009 г., стр. 12</w:t>
        </w:r>
      </w:hyperlink>
      <w:r>
        <w:rPr>
          <w:noProof/>
        </w:rPr>
        <w:t xml:space="preserve">), последно изменена с Директива 2010/48/ЕС на Комисията от 5 юли 2010 г. (ОВ L 173, 8.7.2010 г., стр. 47), която ще се прилага </w:t>
      </w:r>
      <w:r>
        <w:rPr>
          <w:noProof/>
        </w:rPr>
        <w:t>до 19 май 2018 г.;</w:t>
      </w:r>
    </w:p>
    <w:p w:rsidR="006C7FDB" w:rsidRDefault="006C7FDB">
      <w:pPr>
        <w:pStyle w:val="Default"/>
        <w:ind w:left="720"/>
        <w:jc w:val="both"/>
        <w:rPr>
          <w:noProof/>
        </w:rPr>
      </w:pPr>
    </w:p>
    <w:p w:rsidR="006C7FDB" w:rsidRDefault="00741244">
      <w:pPr>
        <w:pStyle w:val="Tiret1"/>
        <w:rPr>
          <w:noProof/>
        </w:rPr>
      </w:pPr>
      <w:r>
        <w:rPr>
          <w:noProof/>
        </w:rPr>
        <w:t>Директива 2014/45/ЕС на Европейския парламент и на Съвета от 3 април 2014 г. относно прегледите за проверка на техническа изправност на моторните превозни средства и техните ремаркета и за отмяна на Директива 2009/40/ЕО (ОВ L 127, 29.4.</w:t>
      </w:r>
      <w:r>
        <w:rPr>
          <w:noProof/>
        </w:rPr>
        <w:t>2014 г., стр. 51), която ще се прилага от 20 май 2018 г.;</w:t>
      </w:r>
    </w:p>
    <w:p w:rsidR="006C7FDB" w:rsidRDefault="006C7FDB">
      <w:pPr>
        <w:pStyle w:val="Default"/>
        <w:ind w:left="720"/>
        <w:jc w:val="both"/>
        <w:rPr>
          <w:noProof/>
        </w:rPr>
      </w:pPr>
    </w:p>
    <w:p w:rsidR="006C7FDB" w:rsidRDefault="00741244">
      <w:pPr>
        <w:pStyle w:val="Tiret1"/>
        <w:rPr>
          <w:noProof/>
        </w:rPr>
      </w:pPr>
      <w:r>
        <w:rPr>
          <w:noProof/>
        </w:rPr>
        <w:t>Директива 2000/30/ЕО на Европейския парламент и на Съвета от 6 юни 2000 г. относно крайпътните технически проверки на движещите се на територията на Общността търговски превозни средства (ОВ L 203,</w:t>
      </w:r>
      <w:r>
        <w:rPr>
          <w:noProof/>
        </w:rPr>
        <w:t xml:space="preserve"> 10.8.2000 г., стр. 1), последно изменена с Директива 2010/47/ЕС на Комисията от 5 юли 2010 г. (ОВ L 173, 8.7.2010 г., стр. 33), която ще се прилага до 19 май 2018 г.;</w:t>
      </w:r>
    </w:p>
    <w:p w:rsidR="006C7FDB" w:rsidRDefault="006C7FDB">
      <w:pPr>
        <w:pStyle w:val="Default"/>
        <w:ind w:left="720"/>
        <w:jc w:val="both"/>
        <w:rPr>
          <w:noProof/>
        </w:rPr>
      </w:pPr>
    </w:p>
    <w:p w:rsidR="006C7FDB" w:rsidRDefault="00741244">
      <w:pPr>
        <w:pStyle w:val="Tiret1"/>
        <w:rPr>
          <w:noProof/>
        </w:rPr>
      </w:pPr>
      <w:r>
        <w:rPr>
          <w:noProof/>
        </w:rPr>
        <w:t>Директива 2014/47/ЕС на Европейския парламент и на Съвета от 3 април 2014 г. относно кр</w:t>
      </w:r>
      <w:r>
        <w:rPr>
          <w:noProof/>
        </w:rPr>
        <w:t>айпътната техническа проверка на изправността на търговски превозни средства, които се движат на територията на Съюза, и за отмяна на Директива 2000/30/ЕО (ОВ L 127, 29.4.2014 г., стр. 134), която ще се прилага от 20 май 2018 г.“;</w:t>
      </w:r>
    </w:p>
    <w:p w:rsidR="006C7FDB" w:rsidRDefault="006C7FDB">
      <w:pPr>
        <w:spacing w:before="0" w:after="0"/>
        <w:rPr>
          <w:rFonts w:eastAsia="Times New Roman"/>
          <w:noProof/>
          <w:szCs w:val="24"/>
        </w:rPr>
      </w:pPr>
    </w:p>
    <w:p w:rsidR="006C7FDB" w:rsidRDefault="00741244">
      <w:pPr>
        <w:spacing w:before="0" w:after="0"/>
        <w:rPr>
          <w:noProof/>
          <w:u w:val="single"/>
        </w:rPr>
      </w:pPr>
      <w:r>
        <w:rPr>
          <w:noProof/>
          <w:u w:val="single"/>
        </w:rPr>
        <w:t>ii) буква в) се заменя с</w:t>
      </w:r>
      <w:r>
        <w:rPr>
          <w:noProof/>
          <w:u w:val="single"/>
        </w:rPr>
        <w:t>ъс следното:</w:t>
      </w:r>
    </w:p>
    <w:p w:rsidR="006C7FDB" w:rsidRDefault="006C7FDB">
      <w:pPr>
        <w:pStyle w:val="normal2"/>
        <w:spacing w:before="0"/>
        <w:rPr>
          <w:noProof/>
        </w:rPr>
      </w:pPr>
    </w:p>
    <w:p w:rsidR="006C7FDB" w:rsidRDefault="00741244">
      <w:pPr>
        <w:spacing w:before="0" w:after="0"/>
        <w:ind w:firstLine="360"/>
        <w:rPr>
          <w:noProof/>
          <w:szCs w:val="24"/>
        </w:rPr>
      </w:pPr>
      <w:r>
        <w:rPr>
          <w:noProof/>
        </w:rPr>
        <w:t>„в) максимални размери и максимално тегло:</w:t>
      </w:r>
    </w:p>
    <w:p w:rsidR="006C7FDB" w:rsidRDefault="006C7FDB">
      <w:pPr>
        <w:spacing w:before="0" w:after="0"/>
        <w:ind w:firstLine="360"/>
        <w:rPr>
          <w:noProof/>
          <w:szCs w:val="24"/>
        </w:rPr>
      </w:pPr>
    </w:p>
    <w:p w:rsidR="006C7FDB" w:rsidRDefault="00741244">
      <w:pPr>
        <w:pStyle w:val="Tiret1"/>
        <w:rPr>
          <w:noProof/>
        </w:rPr>
      </w:pPr>
      <w:r>
        <w:rPr>
          <w:noProof/>
        </w:rPr>
        <w:t>Директива 96/53/ЕО на Съвета от 25 юли 1996 г.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w:t>
      </w:r>
      <w:r>
        <w:rPr>
          <w:noProof/>
        </w:rPr>
        <w:t>а, както и максимално допустимите маси в международния трафик (</w:t>
      </w:r>
      <w:hyperlink r:id="rId14">
        <w:r>
          <w:rPr>
            <w:noProof/>
          </w:rPr>
          <w:t>ОВ L 235, 17.9.1996 г., стр. 59</w:t>
        </w:r>
      </w:hyperlink>
      <w:r>
        <w:rPr>
          <w:noProof/>
        </w:rPr>
        <w:t xml:space="preserve">), последно изменена с Директива (ЕС) 2015/719 на Европейския </w:t>
      </w:r>
      <w:r>
        <w:rPr>
          <w:noProof/>
        </w:rPr>
        <w:t>парламент и на Съвета от 29 април 2015 г. (ОВ L 115, 6.5.2015 г., стр. 1).</w:t>
      </w:r>
    </w:p>
    <w:p w:rsidR="006C7FDB" w:rsidRDefault="006C7FDB">
      <w:pPr>
        <w:pStyle w:val="Text1"/>
        <w:spacing w:before="0" w:after="0"/>
        <w:rPr>
          <w:noProof/>
        </w:rPr>
      </w:pPr>
    </w:p>
    <w:p w:rsidR="006C7FDB" w:rsidRDefault="00741244">
      <w:pPr>
        <w:pStyle w:val="Text2"/>
        <w:rPr>
          <w:noProof/>
        </w:rPr>
      </w:pPr>
      <w:r>
        <w:rPr>
          <w:noProof/>
        </w:rPr>
        <w:t>Измененията, въведени с Директива (ЕС) 2015/719, се прилага от 7 май 2017 г.;</w:t>
      </w:r>
    </w:p>
    <w:p w:rsidR="006C7FDB" w:rsidRDefault="006C7FDB">
      <w:pPr>
        <w:pStyle w:val="Text1"/>
        <w:spacing w:before="0" w:after="0"/>
        <w:rPr>
          <w:noProof/>
        </w:rPr>
      </w:pPr>
    </w:p>
    <w:p w:rsidR="006C7FDB" w:rsidRDefault="00741244">
      <w:pPr>
        <w:pStyle w:val="Tiret1"/>
        <w:rPr>
          <w:rFonts w:eastAsia="Times New Roman"/>
          <w:noProof/>
        </w:rPr>
      </w:pPr>
      <w:r>
        <w:rPr>
          <w:noProof/>
        </w:rPr>
        <w:t>Регламент (ЕО) № 661/2009 на Европейския парламент и на Съвета от 13 юли 2009 г. относно изискванията</w:t>
      </w:r>
      <w:r>
        <w:rPr>
          <w:noProof/>
        </w:rPr>
        <w:t xml:space="preserve">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200, 31.7.2009 г., стр. 1), последно изменен с Регламент (ЕС) № 2015/166</w:t>
      </w:r>
      <w:r>
        <w:rPr>
          <w:noProof/>
        </w:rPr>
        <w:t xml:space="preserve"> на Комисията от 3 февруари 2015 г. (ОВ L 28, 4.2.2015 г., стр. 3);</w:t>
      </w:r>
    </w:p>
    <w:p w:rsidR="006C7FDB" w:rsidRDefault="006C7FDB">
      <w:pPr>
        <w:pStyle w:val="Default"/>
        <w:jc w:val="both"/>
        <w:rPr>
          <w:rFonts w:eastAsia="Times New Roman"/>
          <w:noProof/>
        </w:rPr>
      </w:pPr>
    </w:p>
    <w:p w:rsidR="006C7FDB" w:rsidRDefault="00741244">
      <w:pPr>
        <w:pStyle w:val="Tiret1"/>
        <w:rPr>
          <w:noProof/>
        </w:rPr>
      </w:pPr>
      <w:r>
        <w:rPr>
          <w:noProof/>
        </w:rPr>
        <w:t>Регламент (ЕС) № 1230/2012 на Комисията от 12 декември 2012 г. за прилагане на Регламент (ЕО) № 661/2009 на Европейския парламент и на Съвета във връзка с изискванията за одобрение на тип</w:t>
      </w:r>
      <w:r>
        <w:rPr>
          <w:noProof/>
        </w:rPr>
        <w:t>а по отношение на масите и размерите на моторните превозни средства и техните ремаркета и за изменение на Директива 2007/46/ЕО на Европейския парламент и на Съвета (ОВ L 353, 21.12.2012 г., стр. 31);“;</w:t>
      </w:r>
    </w:p>
    <w:p w:rsidR="006C7FDB" w:rsidRDefault="006C7FDB">
      <w:pPr>
        <w:pStyle w:val="Default"/>
        <w:jc w:val="both"/>
        <w:rPr>
          <w:rFonts w:eastAsia="Times New Roman"/>
          <w:noProof/>
        </w:rPr>
      </w:pPr>
    </w:p>
    <w:p w:rsidR="006C7FDB" w:rsidRDefault="00741244">
      <w:pPr>
        <w:pStyle w:val="Default"/>
        <w:jc w:val="both"/>
        <w:rPr>
          <w:rFonts w:cs="Times New Roman"/>
          <w:noProof/>
          <w:u w:val="single"/>
        </w:rPr>
      </w:pPr>
      <w:r>
        <w:rPr>
          <w:noProof/>
          <w:u w:val="single"/>
        </w:rPr>
        <w:t>iii) буква г) се заменя със следното:</w:t>
      </w:r>
    </w:p>
    <w:p w:rsidR="006C7FDB" w:rsidRDefault="006C7FDB">
      <w:pPr>
        <w:pStyle w:val="Default"/>
        <w:jc w:val="both"/>
        <w:rPr>
          <w:rFonts w:cs="Times New Roman"/>
          <w:noProof/>
          <w:u w:val="single"/>
        </w:rPr>
      </w:pPr>
    </w:p>
    <w:p w:rsidR="006C7FDB" w:rsidRDefault="00741244">
      <w:pPr>
        <w:spacing w:before="0" w:after="0"/>
        <w:ind w:firstLine="720"/>
        <w:rPr>
          <w:rFonts w:eastAsia="Times New Roman"/>
          <w:noProof/>
          <w:szCs w:val="24"/>
        </w:rPr>
      </w:pPr>
      <w:r>
        <w:rPr>
          <w:noProof/>
        </w:rPr>
        <w:t xml:space="preserve">„г) контролни </w:t>
      </w:r>
      <w:r>
        <w:rPr>
          <w:noProof/>
        </w:rPr>
        <w:t>уреди за регистриране на данните в автомобилния транспорт:</w:t>
      </w:r>
    </w:p>
    <w:p w:rsidR="006C7FDB" w:rsidRDefault="006C7FDB">
      <w:pPr>
        <w:spacing w:before="0" w:after="0"/>
        <w:ind w:firstLine="720"/>
        <w:rPr>
          <w:rFonts w:eastAsia="Times New Roman"/>
          <w:noProof/>
          <w:szCs w:val="24"/>
        </w:rPr>
      </w:pPr>
    </w:p>
    <w:p w:rsidR="006C7FDB" w:rsidRDefault="00741244">
      <w:pPr>
        <w:pStyle w:val="Tiret1"/>
        <w:rPr>
          <w:rFonts w:eastAsia="Times New Roman"/>
          <w:noProof/>
        </w:rPr>
      </w:pPr>
      <w:r>
        <w:rPr>
          <w:noProof/>
        </w:rPr>
        <w:t>Регламент (ЕИО) № 3821/85 на Съвета от 20 декември 1985 г. относно контролните уреди за регистриране на данните в автомобилния транспорт (ОВ L 370, 31.12.1985 г., стр. 8), последно изменен с Регла</w:t>
      </w:r>
      <w:r>
        <w:rPr>
          <w:noProof/>
        </w:rPr>
        <w:t xml:space="preserve">мент (ЕС) № 1161/2014 на Комисията от 30 октомври 2014 г. (ОВ L 311, 31.10.2014 г., стр. 19), който се прилага до влизането в сила на Регламент (ЕС) № 165/2014 на Европейския парламент и на Съвета от 4 февруари 2014 г. </w:t>
      </w:r>
    </w:p>
    <w:p w:rsidR="006C7FDB" w:rsidRDefault="00741244">
      <w:pPr>
        <w:pStyle w:val="Text1"/>
        <w:ind w:left="1440" w:hanging="23"/>
        <w:rPr>
          <w:noProof/>
        </w:rPr>
      </w:pPr>
      <w:r>
        <w:rPr>
          <w:noProof/>
        </w:rPr>
        <w:t xml:space="preserve">Могат да се прилагат еквивалентните </w:t>
      </w:r>
      <w:r>
        <w:rPr>
          <w:noProof/>
        </w:rPr>
        <w:t>правила, установени със Спогодбата AETR, включително протоколите към нея, вместо Регламент (ЕИО) № 3821/85 на Съвета;</w:t>
      </w:r>
    </w:p>
    <w:p w:rsidR="006C7FDB" w:rsidRDefault="006C7FDB">
      <w:pPr>
        <w:pStyle w:val="Text1"/>
        <w:ind w:left="1440" w:hanging="23"/>
        <w:rPr>
          <w:noProof/>
        </w:rPr>
      </w:pPr>
    </w:p>
    <w:p w:rsidR="006C7FDB" w:rsidRDefault="00741244">
      <w:pPr>
        <w:pStyle w:val="Tiret1"/>
        <w:rPr>
          <w:rFonts w:eastAsia="Times New Roman"/>
          <w:noProof/>
        </w:rPr>
      </w:pPr>
      <w:r>
        <w:rPr>
          <w:noProof/>
        </w:rPr>
        <w:t>Регламент (ЕС) № 165/2014 на Европейския парламент и на Съвета от 4 февруари 2014 г. относно тахографите в автомобилния транспорт, за отм</w:t>
      </w:r>
      <w:r>
        <w:rPr>
          <w:noProof/>
        </w:rPr>
        <w:t>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w:t>
      </w:r>
      <w:r>
        <w:rPr>
          <w:noProof/>
        </w:rPr>
        <w:t xml:space="preserve"> социалното законодателство, свързани с автомобилния транспорт (ОВ L 60, 28.2.2014 г., стр. 1), който се прилага от датата на влизане в сила на актовете за изпълнение, посочени в член 46 от него.</w:t>
      </w:r>
    </w:p>
    <w:p w:rsidR="006C7FDB" w:rsidRDefault="00741244">
      <w:pPr>
        <w:pStyle w:val="Text1"/>
        <w:ind w:left="1440" w:hanging="23"/>
        <w:rPr>
          <w:noProof/>
        </w:rPr>
      </w:pPr>
      <w:r>
        <w:rPr>
          <w:noProof/>
        </w:rPr>
        <w:t xml:space="preserve">Могат да се прилагат еквивалентните правила, установени със </w:t>
      </w:r>
      <w:r>
        <w:rPr>
          <w:noProof/>
        </w:rPr>
        <w:t>Спогодбата AETR, включително протоколите към нея, вместо Регламент (ЕС) № 165/2014 на Съвета.“;</w:t>
      </w:r>
    </w:p>
    <w:p w:rsidR="006C7FDB" w:rsidRDefault="006C7FDB">
      <w:pPr>
        <w:pStyle w:val="ListParagraph"/>
        <w:spacing w:after="0" w:line="240" w:lineRule="auto"/>
        <w:jc w:val="both"/>
        <w:rPr>
          <w:rFonts w:ascii="Times New Roman" w:eastAsia="Times New Roman" w:hAnsi="Times New Roman" w:cs="Times New Roman"/>
          <w:noProof/>
          <w:sz w:val="24"/>
          <w:szCs w:val="24"/>
        </w:rPr>
      </w:pPr>
    </w:p>
    <w:p w:rsidR="006C7FDB" w:rsidRDefault="006C7FDB">
      <w:pPr>
        <w:pStyle w:val="ListParagraph"/>
        <w:spacing w:after="0" w:line="240" w:lineRule="auto"/>
        <w:jc w:val="both"/>
        <w:rPr>
          <w:rFonts w:ascii="Times New Roman" w:eastAsia="Times New Roman" w:hAnsi="Times New Roman" w:cs="Times New Roman"/>
          <w:noProof/>
          <w:sz w:val="24"/>
          <w:szCs w:val="24"/>
        </w:rPr>
      </w:pPr>
    </w:p>
    <w:p w:rsidR="006C7FDB" w:rsidRDefault="00741244">
      <w:pPr>
        <w:pStyle w:val="Default"/>
        <w:jc w:val="both"/>
        <w:rPr>
          <w:rFonts w:cs="Times New Roman"/>
          <w:noProof/>
          <w:u w:val="single"/>
        </w:rPr>
      </w:pPr>
      <w:r>
        <w:rPr>
          <w:noProof/>
          <w:u w:val="single"/>
        </w:rPr>
        <w:t>б) Член 2 се изменя, както следва:</w:t>
      </w:r>
    </w:p>
    <w:p w:rsidR="006C7FDB" w:rsidRDefault="006C7FDB">
      <w:pPr>
        <w:pStyle w:val="Default"/>
        <w:jc w:val="both"/>
        <w:rPr>
          <w:rFonts w:cs="Times New Roman"/>
          <w:noProof/>
          <w:u w:val="single"/>
        </w:rPr>
      </w:pPr>
    </w:p>
    <w:p w:rsidR="006C7FDB" w:rsidRDefault="00741244">
      <w:pPr>
        <w:pStyle w:val="Default"/>
        <w:jc w:val="both"/>
        <w:rPr>
          <w:rFonts w:cs="Times New Roman"/>
          <w:noProof/>
          <w:u w:val="single"/>
        </w:rPr>
      </w:pPr>
      <w:r>
        <w:rPr>
          <w:noProof/>
          <w:u w:val="single"/>
        </w:rPr>
        <w:t>i) наименованията и позоваванията между първата алинея и таблицата се заменят със следното:</w:t>
      </w:r>
    </w:p>
    <w:p w:rsidR="006C7FDB" w:rsidRDefault="006C7FDB">
      <w:pPr>
        <w:pStyle w:val="Default"/>
        <w:jc w:val="both"/>
        <w:rPr>
          <w:rFonts w:cs="Times New Roman"/>
          <w:noProof/>
          <w:u w:val="single"/>
        </w:rPr>
      </w:pPr>
    </w:p>
    <w:p w:rsidR="006C7FDB" w:rsidRDefault="00741244">
      <w:pPr>
        <w:spacing w:before="0" w:after="0"/>
        <w:ind w:firstLine="360"/>
        <w:rPr>
          <w:rFonts w:eastAsia="Times New Roman"/>
          <w:noProof/>
          <w:szCs w:val="24"/>
        </w:rPr>
      </w:pPr>
      <w:r>
        <w:rPr>
          <w:noProof/>
        </w:rPr>
        <w:t>„Емисии от отработили газове:</w:t>
      </w:r>
    </w:p>
    <w:p w:rsidR="006C7FDB" w:rsidRDefault="006C7FDB">
      <w:pPr>
        <w:spacing w:before="0" w:after="0"/>
        <w:ind w:firstLine="360"/>
        <w:rPr>
          <w:rFonts w:eastAsia="Times New Roman"/>
          <w:noProof/>
          <w:szCs w:val="24"/>
        </w:rPr>
      </w:pPr>
    </w:p>
    <w:p w:rsidR="006C7FDB" w:rsidRDefault="00741244">
      <w:pPr>
        <w:pStyle w:val="Tiret0"/>
        <w:numPr>
          <w:ilvl w:val="0"/>
          <w:numId w:val="11"/>
        </w:numPr>
        <w:spacing w:before="0" w:after="0"/>
        <w:rPr>
          <w:noProof/>
        </w:rPr>
      </w:pPr>
      <w:r>
        <w:rPr>
          <w:noProof/>
        </w:rPr>
        <w:t>Регламент (EО)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w:t>
      </w:r>
      <w:r>
        <w:rPr>
          <w:noProof/>
        </w:rPr>
        <w:t>я за ремонт и техническо обслужване на превозни средства (ОВ L 171, 29.6.2007 г., стр. 1), последно изменен с Регламент (ЕС) № 459/2012 на Комисията от 29 май 2012 г. (OВ L 142, 1.6.2012 г., стр. 16);</w:t>
      </w:r>
    </w:p>
    <w:p w:rsidR="006C7FDB" w:rsidRDefault="006C7FDB">
      <w:pPr>
        <w:spacing w:before="0" w:after="0"/>
        <w:ind w:left="720"/>
        <w:rPr>
          <w:noProof/>
        </w:rPr>
      </w:pPr>
    </w:p>
    <w:p w:rsidR="006C7FDB" w:rsidRDefault="00741244">
      <w:pPr>
        <w:pStyle w:val="Tiret0"/>
        <w:spacing w:before="0" w:after="0"/>
        <w:rPr>
          <w:noProof/>
        </w:rPr>
      </w:pPr>
      <w:r>
        <w:rPr>
          <w:noProof/>
        </w:rPr>
        <w:t>Регламент (ЕО) № 595/2009 на Европейския парламент и н</w:t>
      </w:r>
      <w:r>
        <w:rPr>
          <w:noProof/>
        </w:rPr>
        <w:t>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w:t>
      </w:r>
      <w:r>
        <w:rPr>
          <w:noProof/>
        </w:rPr>
        <w:t>а Регламент (ЕО) № 715/2007 и Директива 2007/46/ЕО и за отмяна на директиви 80/1269/ЕИО, 2005/55/ЕО и 2005/78/ЕО (OВ L 188, 18.7.2009 г., стр. 1), последно изменен с Регламент (ЕС) № 133/2014 на Комисията от 31 януари 2014 г. (OВ L 47, 18.2.2014 г., стр. 1</w:t>
      </w:r>
      <w:r>
        <w:rPr>
          <w:noProof/>
        </w:rPr>
        <w:t>);</w:t>
      </w:r>
    </w:p>
    <w:p w:rsidR="006C7FDB" w:rsidRDefault="006C7FDB">
      <w:pPr>
        <w:spacing w:before="0" w:after="0"/>
        <w:ind w:left="720"/>
        <w:rPr>
          <w:rFonts w:eastAsia="Times New Roman"/>
          <w:noProof/>
          <w:color w:val="0F243E" w:themeColor="text2" w:themeShade="80"/>
          <w:szCs w:val="24"/>
        </w:rPr>
      </w:pPr>
    </w:p>
    <w:p w:rsidR="006C7FDB" w:rsidRDefault="00741244">
      <w:pPr>
        <w:spacing w:before="0" w:after="0"/>
        <w:ind w:left="284"/>
        <w:rPr>
          <w:rFonts w:eastAsia="Times New Roman"/>
          <w:noProof/>
          <w:szCs w:val="24"/>
        </w:rPr>
      </w:pPr>
      <w:r>
        <w:rPr>
          <w:noProof/>
        </w:rPr>
        <w:t>Шумови емисии:</w:t>
      </w:r>
    </w:p>
    <w:p w:rsidR="006C7FDB" w:rsidRDefault="006C7FDB">
      <w:pPr>
        <w:spacing w:before="0" w:after="0"/>
        <w:ind w:left="284"/>
        <w:rPr>
          <w:rFonts w:eastAsia="Times New Roman"/>
          <w:noProof/>
          <w:szCs w:val="24"/>
          <w:u w:val="single"/>
        </w:rPr>
      </w:pPr>
    </w:p>
    <w:p w:rsidR="006C7FDB" w:rsidRDefault="00741244">
      <w:pPr>
        <w:pStyle w:val="Tiret0"/>
        <w:spacing w:before="0" w:after="0"/>
        <w:rPr>
          <w:noProof/>
        </w:rPr>
      </w:pPr>
      <w:r>
        <w:rPr>
          <w:noProof/>
        </w:rPr>
        <w:t>Директива 70/157/ЕИО на Съвета от 6 февруари 1970 г. за сближаване на законодателствата на държавите членки относно допустимото ниво на шума и изпускателната уредба на моторни превозни средства (ОВ L 42, 23.2.1970 г., стр. 16), последно</w:t>
      </w:r>
      <w:r>
        <w:rPr>
          <w:noProof/>
        </w:rPr>
        <w:t xml:space="preserve"> изменена с Директива 2013/15/ЕС на Съвета от 13 май 2013 г. (ОВ L 158, 10.6.2013 г., стр. 172), която се прилага до 30 юни 2027 г. по силата на член 14 от Регламент (ЕС) № 540/2014 на Европейския парламент и на Съвета от 16 април 2014 г.;</w:t>
      </w:r>
    </w:p>
    <w:p w:rsidR="006C7FDB" w:rsidRDefault="006C7FDB">
      <w:pPr>
        <w:pStyle w:val="Text1"/>
        <w:spacing w:before="0" w:after="0"/>
        <w:rPr>
          <w:noProof/>
        </w:rPr>
      </w:pPr>
    </w:p>
    <w:p w:rsidR="006C7FDB" w:rsidRDefault="00741244">
      <w:pPr>
        <w:pStyle w:val="Tiret0"/>
        <w:spacing w:before="0" w:after="0"/>
        <w:rPr>
          <w:noProof/>
        </w:rPr>
      </w:pPr>
      <w:r>
        <w:rPr>
          <w:noProof/>
        </w:rPr>
        <w:t xml:space="preserve">Регламент (ЕС) </w:t>
      </w:r>
      <w:r>
        <w:rPr>
          <w:noProof/>
        </w:rPr>
        <w:t>№ 540/2014 на Европейския парламент и на Съвета от 16 април 2014 г. относно нивото на шума от моторни превозни средства и заменяемите шумозаглушителни уредби, за изменение на Директива 2007/46/ЕО и за отмяна на Директива 70/157/ЕИО (ОВ L 158, 27.5.2014 г.,</w:t>
      </w:r>
      <w:r>
        <w:rPr>
          <w:noProof/>
        </w:rPr>
        <w:t xml:space="preserve"> стр. 131), който се прилага в съответствие с член 15 от него, съответно от 1 юли 2016 г., 1 юли 2019 г. и 1 юли 2027 г.;</w:t>
      </w:r>
    </w:p>
    <w:p w:rsidR="00741244" w:rsidRDefault="00741244" w:rsidP="00741244">
      <w:pPr>
        <w:rPr>
          <w:noProof/>
          <w:lang w:val="fr-BE"/>
        </w:rPr>
      </w:pPr>
    </w:p>
    <w:p w:rsidR="006C7FDB" w:rsidRDefault="00741244" w:rsidP="00741244">
      <w:pPr>
        <w:rPr>
          <w:rFonts w:eastAsia="Times New Roman"/>
          <w:noProof/>
          <w:szCs w:val="24"/>
        </w:rPr>
      </w:pPr>
      <w:r>
        <w:rPr>
          <w:noProof/>
        </w:rPr>
        <w:t>Спирачни устройства:</w:t>
      </w:r>
    </w:p>
    <w:p w:rsidR="006C7FDB" w:rsidRDefault="006C7FDB">
      <w:pPr>
        <w:spacing w:before="0" w:after="0"/>
        <w:ind w:left="284"/>
        <w:rPr>
          <w:rFonts w:eastAsia="Times New Roman"/>
          <w:noProof/>
          <w:szCs w:val="24"/>
          <w:u w:val="single"/>
        </w:rPr>
      </w:pPr>
    </w:p>
    <w:p w:rsidR="006C7FDB" w:rsidRDefault="00741244">
      <w:pPr>
        <w:pStyle w:val="Tiret0"/>
        <w:spacing w:before="0" w:after="0"/>
        <w:rPr>
          <w:noProof/>
        </w:rPr>
      </w:pPr>
      <w:r>
        <w:rPr>
          <w:noProof/>
        </w:rPr>
        <w:t>Регламент (ЕО) № 661/2009 на Европейския парламент и на Съвета от 13 юли 2009 г. относно изискванията за одобр</w:t>
      </w:r>
      <w:r>
        <w:rPr>
          <w:noProof/>
        </w:rPr>
        <w:t>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200, 31.7.2009 г., стр. 1), последно изменен с Регламент (ЕС) № 2015/166 на Комис</w:t>
      </w:r>
      <w:r>
        <w:rPr>
          <w:noProof/>
        </w:rPr>
        <w:t>ията от 3 февруари 2015 г. (ОВ L 28, 4.2.2015 г., стр. 3);</w:t>
      </w:r>
    </w:p>
    <w:p w:rsidR="006C7FDB" w:rsidRDefault="006C7FDB">
      <w:pPr>
        <w:pStyle w:val="Default"/>
        <w:ind w:left="130" w:firstLine="720"/>
        <w:rPr>
          <w:noProof/>
        </w:rPr>
      </w:pPr>
    </w:p>
    <w:p w:rsidR="006C7FDB" w:rsidRDefault="00741244">
      <w:pPr>
        <w:spacing w:before="0" w:after="0"/>
        <w:ind w:left="360"/>
        <w:rPr>
          <w:rFonts w:eastAsia="Times New Roman"/>
          <w:noProof/>
          <w:szCs w:val="24"/>
        </w:rPr>
      </w:pPr>
      <w:r>
        <w:rPr>
          <w:noProof/>
        </w:rPr>
        <w:t>Гуми:</w:t>
      </w:r>
    </w:p>
    <w:p w:rsidR="006C7FDB" w:rsidRDefault="006C7FDB">
      <w:pPr>
        <w:spacing w:before="0" w:after="0"/>
        <w:ind w:left="360"/>
        <w:rPr>
          <w:rFonts w:eastAsia="Times New Roman"/>
          <w:noProof/>
          <w:szCs w:val="24"/>
        </w:rPr>
      </w:pPr>
    </w:p>
    <w:p w:rsidR="006C7FDB" w:rsidRDefault="00741244">
      <w:pPr>
        <w:pStyle w:val="Tiret0"/>
        <w:spacing w:before="0" w:after="0"/>
        <w:rPr>
          <w:noProof/>
        </w:rPr>
      </w:pPr>
      <w:r>
        <w:rPr>
          <w:noProof/>
        </w:rPr>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w:t>
      </w:r>
      <w:r>
        <w:rPr>
          <w:noProof/>
        </w:rPr>
        <w:t xml:space="preserve"> техните ремаркета и системи, компоненти и отделни технически възли, предназначени за тях (ОВ L 200, 31.7.2009 г., стр. 1), последно изменен с Регламент (ЕС) № 2015/166 на Комисията от 3 февруари 2015 г. (ОВ L 28, 4.2.2015 г., стр. 3);</w:t>
      </w:r>
    </w:p>
    <w:p w:rsidR="006C7FDB" w:rsidRDefault="006C7FDB">
      <w:pPr>
        <w:pStyle w:val="Default"/>
        <w:rPr>
          <w:noProof/>
        </w:rPr>
      </w:pPr>
    </w:p>
    <w:p w:rsidR="006C7FDB" w:rsidRDefault="00741244">
      <w:pPr>
        <w:spacing w:before="0" w:after="0"/>
        <w:ind w:firstLine="360"/>
        <w:rPr>
          <w:rFonts w:eastAsia="Times New Roman"/>
          <w:noProof/>
          <w:szCs w:val="24"/>
        </w:rPr>
      </w:pPr>
      <w:r>
        <w:rPr>
          <w:noProof/>
        </w:rPr>
        <w:t>Устройства за освет</w:t>
      </w:r>
      <w:r>
        <w:rPr>
          <w:noProof/>
        </w:rPr>
        <w:t xml:space="preserve">яване и светлинна сигнализация: </w:t>
      </w:r>
    </w:p>
    <w:p w:rsidR="006C7FDB" w:rsidRDefault="006C7FDB">
      <w:pPr>
        <w:spacing w:before="0" w:after="0"/>
        <w:ind w:firstLine="360"/>
        <w:rPr>
          <w:rFonts w:eastAsia="Times New Roman"/>
          <w:noProof/>
          <w:szCs w:val="24"/>
        </w:rPr>
      </w:pPr>
    </w:p>
    <w:p w:rsidR="006C7FDB" w:rsidRDefault="00741244">
      <w:pPr>
        <w:pStyle w:val="Tiret0"/>
        <w:spacing w:before="0" w:after="0"/>
        <w:rPr>
          <w:noProof/>
        </w:rPr>
      </w:pPr>
      <w:r>
        <w:rPr>
          <w:noProof/>
        </w:rPr>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w:t>
      </w:r>
      <w:r>
        <w:rPr>
          <w:noProof/>
        </w:rPr>
        <w:t>поненти и отделни технически възли, предназначени за тях (ОВ L 200, 31.7.2009 г., стр. 1), последно изменен с Регламент (ЕС) № 2015/166 на Комисията от 3 февруари 2015 г. (ОВ L 28, 4.2.2015 г., стр. 3);</w:t>
      </w:r>
    </w:p>
    <w:p w:rsidR="006C7FDB" w:rsidRDefault="006C7FDB">
      <w:pPr>
        <w:spacing w:before="0" w:after="0"/>
        <w:rPr>
          <w:noProof/>
        </w:rPr>
      </w:pPr>
    </w:p>
    <w:p w:rsidR="006C7FDB" w:rsidRDefault="00741244">
      <w:pPr>
        <w:spacing w:before="0" w:after="0"/>
        <w:ind w:firstLine="360"/>
        <w:rPr>
          <w:rFonts w:eastAsia="Times New Roman"/>
          <w:noProof/>
          <w:szCs w:val="24"/>
        </w:rPr>
      </w:pPr>
      <w:r>
        <w:rPr>
          <w:noProof/>
        </w:rPr>
        <w:t xml:space="preserve">Резервоар за гориво: </w:t>
      </w:r>
    </w:p>
    <w:p w:rsidR="006C7FDB" w:rsidRDefault="006C7FDB">
      <w:pPr>
        <w:spacing w:before="0" w:after="0"/>
        <w:ind w:firstLine="360"/>
        <w:rPr>
          <w:rFonts w:eastAsia="Times New Roman"/>
          <w:noProof/>
          <w:szCs w:val="24"/>
        </w:rPr>
      </w:pPr>
    </w:p>
    <w:p w:rsidR="006C7FDB" w:rsidRDefault="00741244">
      <w:pPr>
        <w:pStyle w:val="Tiret0"/>
        <w:spacing w:before="0" w:after="0"/>
        <w:rPr>
          <w:noProof/>
        </w:rPr>
      </w:pPr>
      <w:r>
        <w:rPr>
          <w:noProof/>
        </w:rPr>
        <w:t xml:space="preserve">Регламент (ЕО) № 661/2009 на </w:t>
      </w:r>
      <w:r>
        <w:rPr>
          <w:noProof/>
        </w:rPr>
        <w:t>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w:t>
      </w:r>
      <w:r>
        <w:rPr>
          <w:noProof/>
        </w:rPr>
        <w:t>200, 31.7.2009 г., стр. 1), последно изменен с Регламент (ЕС) № 2015/166 на Комисията от 3 февруари 2015 г. (ОВ L 28, 4.2.2015 г., стр. 3):</w:t>
      </w:r>
    </w:p>
    <w:p w:rsidR="006C7FDB" w:rsidRDefault="006C7FDB">
      <w:pPr>
        <w:spacing w:before="0" w:after="0"/>
        <w:rPr>
          <w:rFonts w:eastAsia="Times New Roman"/>
          <w:noProof/>
          <w:szCs w:val="24"/>
        </w:rPr>
      </w:pPr>
    </w:p>
    <w:p w:rsidR="006C7FDB" w:rsidRDefault="00741244">
      <w:pPr>
        <w:spacing w:before="0" w:after="0"/>
        <w:ind w:firstLine="360"/>
        <w:rPr>
          <w:rFonts w:eastAsia="Times New Roman"/>
          <w:noProof/>
          <w:szCs w:val="24"/>
        </w:rPr>
      </w:pPr>
      <w:r>
        <w:rPr>
          <w:noProof/>
        </w:rPr>
        <w:t xml:space="preserve">Огледала за обратно виждане: </w:t>
      </w:r>
    </w:p>
    <w:p w:rsidR="006C7FDB" w:rsidRDefault="006C7FDB">
      <w:pPr>
        <w:spacing w:before="0" w:after="0"/>
        <w:ind w:firstLine="360"/>
        <w:rPr>
          <w:rFonts w:eastAsia="Times New Roman"/>
          <w:noProof/>
          <w:szCs w:val="24"/>
        </w:rPr>
      </w:pPr>
    </w:p>
    <w:p w:rsidR="006C7FDB" w:rsidRDefault="00741244">
      <w:pPr>
        <w:pStyle w:val="Tiret0"/>
        <w:spacing w:before="0" w:after="0"/>
        <w:rPr>
          <w:noProof/>
        </w:rPr>
      </w:pPr>
      <w:r>
        <w:rPr>
          <w:noProof/>
        </w:rPr>
        <w:t xml:space="preserve">Регламент (ЕО) № 661/2009 на Европейския парламент и на Съвета от 13 юли 2009 г. </w:t>
      </w:r>
      <w:r>
        <w:rPr>
          <w:noProof/>
        </w:rPr>
        <w:t>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200, 31.7.2009 г., стр. 1), последно изменен с Регла</w:t>
      </w:r>
      <w:r>
        <w:rPr>
          <w:noProof/>
        </w:rPr>
        <w:t>мент (ЕС) № 2015/166 на Комисията от 3 февруари 2015 г. (ОВ L 28, 4.2.2015 г., стр. 3):</w:t>
      </w:r>
    </w:p>
    <w:p w:rsidR="006C7FDB" w:rsidRDefault="006C7FDB">
      <w:pPr>
        <w:spacing w:before="0" w:after="0"/>
        <w:rPr>
          <w:rFonts w:eastAsia="Times New Roman"/>
          <w:noProof/>
          <w:szCs w:val="24"/>
        </w:rPr>
      </w:pPr>
    </w:p>
    <w:p w:rsidR="006C7FDB" w:rsidRDefault="00741244">
      <w:pPr>
        <w:pStyle w:val="BodyTextIndent"/>
        <w:spacing w:before="0" w:after="0"/>
        <w:rPr>
          <w:rFonts w:eastAsia="Times New Roman"/>
          <w:noProof/>
          <w:szCs w:val="24"/>
        </w:rPr>
      </w:pPr>
      <w:r>
        <w:rPr>
          <w:noProof/>
        </w:rPr>
        <w:t xml:space="preserve">Обезопасителни колани — монтиране: </w:t>
      </w:r>
    </w:p>
    <w:p w:rsidR="006C7FDB" w:rsidRDefault="006C7FDB">
      <w:pPr>
        <w:pStyle w:val="BodyTextIndent"/>
        <w:spacing w:before="0" w:after="0"/>
        <w:rPr>
          <w:rFonts w:eastAsia="Times New Roman"/>
          <w:noProof/>
          <w:szCs w:val="24"/>
        </w:rPr>
      </w:pPr>
    </w:p>
    <w:p w:rsidR="006C7FDB" w:rsidRDefault="00741244">
      <w:pPr>
        <w:pStyle w:val="Tiret0"/>
        <w:spacing w:before="0" w:after="0"/>
        <w:rPr>
          <w:noProof/>
        </w:rPr>
      </w:pPr>
      <w:r>
        <w:rPr>
          <w:noProof/>
        </w:rPr>
        <w:t>Регламент (ЕО) № 661/2009 на Европейския парламент и на Съвета от 13 юли 2009 г. относно изискванията за одобрение на типа по отно</w:t>
      </w:r>
      <w:r>
        <w:rPr>
          <w:noProof/>
        </w:rPr>
        <w:t>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200, 31.7.2009 г., стр. 1), последно изменен с Регламент (ЕС) № 2015/166 на Комисията от 3 февруари 2</w:t>
      </w:r>
      <w:r>
        <w:rPr>
          <w:noProof/>
        </w:rPr>
        <w:t>015 г. (ОВ L 28, 4.2.2015 г., стр. 3);</w:t>
      </w:r>
    </w:p>
    <w:p w:rsidR="006C7FDB" w:rsidRDefault="006C7FDB">
      <w:pPr>
        <w:spacing w:before="0" w:after="0"/>
        <w:rPr>
          <w:rFonts w:eastAsia="Times New Roman"/>
          <w:noProof/>
          <w:szCs w:val="24"/>
        </w:rPr>
      </w:pPr>
    </w:p>
    <w:p w:rsidR="00741244" w:rsidRDefault="00741244" w:rsidP="00741244">
      <w:pPr>
        <w:spacing w:before="0" w:after="200" w:line="276" w:lineRule="auto"/>
        <w:jc w:val="left"/>
        <w:rPr>
          <w:noProof/>
          <w:lang w:val="fr-BE"/>
        </w:rPr>
      </w:pPr>
    </w:p>
    <w:p w:rsidR="006C7FDB" w:rsidRDefault="00741244" w:rsidP="00741244">
      <w:pPr>
        <w:spacing w:before="0" w:after="200" w:line="276" w:lineRule="auto"/>
        <w:jc w:val="left"/>
        <w:rPr>
          <w:rFonts w:eastAsia="Times New Roman"/>
          <w:noProof/>
          <w:szCs w:val="24"/>
        </w:rPr>
      </w:pPr>
      <w:bookmarkStart w:id="0" w:name="_GoBack"/>
      <w:bookmarkEnd w:id="0"/>
      <w:r>
        <w:rPr>
          <w:noProof/>
        </w:rPr>
        <w:t xml:space="preserve">Обезопасителни колани — анкерни закрепвания на обезопасителните колани: </w:t>
      </w:r>
    </w:p>
    <w:p w:rsidR="006C7FDB" w:rsidRDefault="006C7FDB">
      <w:pPr>
        <w:spacing w:before="0" w:after="0"/>
        <w:ind w:firstLine="360"/>
        <w:rPr>
          <w:rFonts w:eastAsia="Times New Roman"/>
          <w:noProof/>
          <w:szCs w:val="24"/>
        </w:rPr>
      </w:pPr>
    </w:p>
    <w:p w:rsidR="006C7FDB" w:rsidRDefault="00741244">
      <w:pPr>
        <w:pStyle w:val="Tiret0"/>
        <w:spacing w:before="0" w:after="0"/>
        <w:rPr>
          <w:noProof/>
        </w:rPr>
      </w:pPr>
      <w:r>
        <w:rPr>
          <w:noProof/>
        </w:rPr>
        <w:t>Регламент (ЕО) № 661/2009 на Европейския парламент и на Съвета от 13 юли 2009 г. относно изискванията за одобрение на типа по отношение на о</w:t>
      </w:r>
      <w:r>
        <w:rPr>
          <w:noProof/>
        </w:rPr>
        <w:t>бщата безопасност на моторните превозни средства, техните ремаркета и системи, компоненти и отделни технически възли, предназначени за тях (ОВ L 200, 31.7.2009 г., стр. 1), последно изменен с Регламент (ЕС) № 2015/166 на Комисията от 3 февруари 2015 г. (ОВ</w:t>
      </w:r>
      <w:r>
        <w:rPr>
          <w:noProof/>
        </w:rPr>
        <w:t xml:space="preserve"> L 28, 4.2.2015 г., стр. 3);</w:t>
      </w:r>
    </w:p>
    <w:p w:rsidR="006C7FDB" w:rsidRDefault="006C7FDB">
      <w:pPr>
        <w:pStyle w:val="Default"/>
        <w:rPr>
          <w:noProof/>
        </w:rPr>
      </w:pPr>
    </w:p>
    <w:p w:rsidR="006C7FDB" w:rsidRDefault="00741244">
      <w:pPr>
        <w:spacing w:before="0" w:after="0"/>
        <w:ind w:firstLine="360"/>
        <w:rPr>
          <w:rFonts w:eastAsia="Times New Roman"/>
          <w:noProof/>
          <w:szCs w:val="24"/>
        </w:rPr>
      </w:pPr>
      <w:r>
        <w:rPr>
          <w:noProof/>
        </w:rPr>
        <w:t xml:space="preserve">Седалки: </w:t>
      </w:r>
    </w:p>
    <w:p w:rsidR="006C7FDB" w:rsidRDefault="006C7FDB">
      <w:pPr>
        <w:spacing w:before="0" w:after="0"/>
        <w:ind w:firstLine="360"/>
        <w:rPr>
          <w:rFonts w:eastAsia="Times New Roman"/>
          <w:noProof/>
          <w:szCs w:val="24"/>
        </w:rPr>
      </w:pPr>
    </w:p>
    <w:p w:rsidR="006C7FDB" w:rsidRDefault="00741244">
      <w:pPr>
        <w:pStyle w:val="Tiret0"/>
        <w:spacing w:before="0" w:after="0"/>
        <w:rPr>
          <w:noProof/>
        </w:rPr>
      </w:pPr>
      <w:r>
        <w:rPr>
          <w:noProof/>
        </w:rPr>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w:t>
      </w:r>
      <w:r>
        <w:rPr>
          <w:noProof/>
        </w:rPr>
        <w:t>ми, компоненти и отделни технически възли, предназначени за тях (ОВ L 200, 31.7.2009 г., стр. 1), последно изменен с Регламент (ЕС) № 2015/166 на Комисията от 3 февруари 2015 г. (ОВ L 28, 4.2.2015 г., стр. 3):</w:t>
      </w:r>
    </w:p>
    <w:p w:rsidR="006C7FDB" w:rsidRDefault="006C7FDB">
      <w:pPr>
        <w:pStyle w:val="Default"/>
        <w:ind w:left="360"/>
        <w:rPr>
          <w:noProof/>
        </w:rPr>
      </w:pPr>
    </w:p>
    <w:p w:rsidR="006C7FDB" w:rsidRDefault="00741244">
      <w:pPr>
        <w:spacing w:before="0" w:after="0"/>
        <w:ind w:firstLine="360"/>
        <w:rPr>
          <w:rFonts w:eastAsia="Times New Roman"/>
          <w:noProof/>
          <w:szCs w:val="24"/>
        </w:rPr>
      </w:pPr>
      <w:r>
        <w:rPr>
          <w:noProof/>
        </w:rPr>
        <w:t>Вътрешна конструкция (предотвратяване на риск</w:t>
      </w:r>
      <w:r>
        <w:rPr>
          <w:noProof/>
        </w:rPr>
        <w:t xml:space="preserve">а от разпространяване на пожар): </w:t>
      </w:r>
    </w:p>
    <w:p w:rsidR="006C7FDB" w:rsidRDefault="006C7FDB">
      <w:pPr>
        <w:spacing w:before="0" w:after="0"/>
        <w:ind w:firstLine="360"/>
        <w:rPr>
          <w:rFonts w:eastAsia="Times New Roman"/>
          <w:noProof/>
          <w:szCs w:val="24"/>
        </w:rPr>
      </w:pPr>
    </w:p>
    <w:p w:rsidR="006C7FDB" w:rsidRDefault="00741244">
      <w:pPr>
        <w:pStyle w:val="Tiret0"/>
        <w:spacing w:before="0" w:after="0"/>
        <w:rPr>
          <w:noProof/>
        </w:rPr>
      </w:pPr>
      <w:r>
        <w:rPr>
          <w:noProof/>
        </w:rPr>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w:t>
      </w:r>
      <w:r>
        <w:rPr>
          <w:noProof/>
        </w:rPr>
        <w:t>мпоненти и отделни технически възли, предназначени за тях (ОВ L 200, 31.7.2009 г., стр. 1), последно изменен с Регламент (ЕС) № 2015/166 на Комисията от 3 февруари 2015 г. (ОВ L 28, 4.2.2015 г., стр. 3);</w:t>
      </w:r>
    </w:p>
    <w:p w:rsidR="006C7FDB" w:rsidRDefault="006C7FDB">
      <w:pPr>
        <w:spacing w:before="0" w:after="0"/>
        <w:rPr>
          <w:rFonts w:eastAsia="Times New Roman"/>
          <w:noProof/>
          <w:szCs w:val="24"/>
        </w:rPr>
      </w:pPr>
    </w:p>
    <w:p w:rsidR="006C7FDB" w:rsidRDefault="00741244">
      <w:pPr>
        <w:spacing w:before="0" w:after="0"/>
        <w:ind w:left="360"/>
        <w:rPr>
          <w:noProof/>
        </w:rPr>
      </w:pPr>
      <w:r>
        <w:rPr>
          <w:noProof/>
        </w:rPr>
        <w:t>Вътрешно оборудване (аварийни изходи, достъп, разме</w:t>
      </w:r>
      <w:r>
        <w:rPr>
          <w:noProof/>
        </w:rPr>
        <w:t>ри на местата за сядане, устойчивост на горната част на конструкцията и т.н.):</w:t>
      </w:r>
      <w:r>
        <w:rPr>
          <w:noProof/>
        </w:rPr>
        <w:br/>
        <w:t xml:space="preserve"> </w:t>
      </w:r>
    </w:p>
    <w:p w:rsidR="006C7FDB" w:rsidRDefault="006C7FDB">
      <w:pPr>
        <w:pStyle w:val="BodyTextIndent"/>
        <w:spacing w:before="0" w:after="0"/>
        <w:rPr>
          <w:noProof/>
        </w:rPr>
      </w:pPr>
    </w:p>
    <w:p w:rsidR="006C7FDB" w:rsidRDefault="00741244">
      <w:pPr>
        <w:pStyle w:val="Tiret0"/>
        <w:spacing w:before="0" w:after="0"/>
        <w:rPr>
          <w:noProof/>
        </w:rPr>
      </w:pPr>
      <w:r>
        <w:rPr>
          <w:noProof/>
        </w:rPr>
        <w:t xml:space="preserve">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w:t>
      </w:r>
      <w:r>
        <w:rPr>
          <w:noProof/>
        </w:rPr>
        <w:t>превозни средства, техните ремаркета и системи, компоненти и отделни технически възли, предназначени за тях (ОВ L 200, 31.7.2009 г., стр. 1), последно изменен с Регламент (ЕС) № 2015/166 на Комисията от 3 февруари 2015 г. (ОВ L 28, 4.2.2015 г., стр. 3);</w:t>
      </w:r>
    </w:p>
    <w:p w:rsidR="006C7FDB" w:rsidRDefault="006C7FDB">
      <w:pPr>
        <w:spacing w:before="0" w:after="0"/>
        <w:rPr>
          <w:rFonts w:eastAsia="Times New Roman"/>
          <w:noProof/>
          <w:szCs w:val="24"/>
        </w:rPr>
      </w:pPr>
    </w:p>
    <w:p w:rsidR="006C7FDB" w:rsidRDefault="00741244">
      <w:pPr>
        <w:spacing w:before="0" w:after="0"/>
        <w:ind w:firstLine="360"/>
        <w:rPr>
          <w:rFonts w:eastAsia="Times New Roman"/>
          <w:noProof/>
          <w:szCs w:val="24"/>
        </w:rPr>
      </w:pPr>
      <w:r>
        <w:rPr>
          <w:noProof/>
        </w:rPr>
        <w:t>У</w:t>
      </w:r>
      <w:r>
        <w:rPr>
          <w:noProof/>
        </w:rPr>
        <w:t>съвършенствани системи за аварийно спиране:</w:t>
      </w:r>
    </w:p>
    <w:p w:rsidR="006C7FDB" w:rsidRDefault="006C7FDB">
      <w:pPr>
        <w:spacing w:before="0" w:after="0"/>
        <w:ind w:firstLine="360"/>
        <w:rPr>
          <w:rFonts w:eastAsia="Times New Roman"/>
          <w:noProof/>
          <w:szCs w:val="24"/>
        </w:rPr>
      </w:pPr>
    </w:p>
    <w:p w:rsidR="006C7FDB" w:rsidRDefault="00741244">
      <w:pPr>
        <w:pStyle w:val="Tiret0"/>
        <w:spacing w:before="0" w:after="0"/>
        <w:rPr>
          <w:noProof/>
        </w:rPr>
      </w:pPr>
      <w:r>
        <w:rPr>
          <w:noProof/>
        </w:rPr>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w:t>
      </w:r>
      <w:r>
        <w:rPr>
          <w:noProof/>
        </w:rPr>
        <w:t>истеми, компоненти и отделни технически възли, предназначени за тях (ОВ L 200, 31.7.2009 г., стр. 1), последно изменен с Регламент (ЕС) № 2015/166 на Комисията от 3 февруари 2015 г. (ОВ L 28, 4.2.2015 г., стр. 3);</w:t>
      </w:r>
    </w:p>
    <w:p w:rsidR="006C7FDB" w:rsidRDefault="006C7FDB">
      <w:pPr>
        <w:spacing w:before="0" w:after="0"/>
        <w:rPr>
          <w:rFonts w:eastAsia="Times New Roman"/>
          <w:noProof/>
          <w:szCs w:val="24"/>
        </w:rPr>
      </w:pPr>
    </w:p>
    <w:p w:rsidR="006C7FDB" w:rsidRDefault="00741244">
      <w:pPr>
        <w:pStyle w:val="Tiret0"/>
        <w:spacing w:before="0" w:after="0"/>
        <w:rPr>
          <w:noProof/>
        </w:rPr>
      </w:pPr>
      <w:r>
        <w:rPr>
          <w:noProof/>
        </w:rPr>
        <w:t>Регламент (ЕС) № 347/2012 на Комисията от</w:t>
      </w:r>
      <w:r>
        <w:rPr>
          <w:noProof/>
        </w:rPr>
        <w:t xml:space="preserve"> 16 април 2012 г. за прилагане на Регламент (ЕО) № 661/2009 на Европейския парламент и на Съвета по отношение на изискванията за одобрение на типа за някои категории моторни превозни средства относно усъвършенствани системи за аварийно спиране (ОВ L 109, 2</w:t>
      </w:r>
      <w:r>
        <w:rPr>
          <w:noProof/>
        </w:rPr>
        <w:t>1.4.2012 г., стр. 1), последно изменен с Регламент (ЕС) 2015/562 на Комисията от 8 април 2015 г. (ОВ L 93, 9.4.2015 г., стр. 35);</w:t>
      </w:r>
    </w:p>
    <w:p w:rsidR="006C7FDB" w:rsidRDefault="006C7FDB">
      <w:pPr>
        <w:spacing w:before="0" w:after="0"/>
        <w:rPr>
          <w:rFonts w:eastAsia="Times New Roman"/>
          <w:noProof/>
          <w:szCs w:val="24"/>
        </w:rPr>
      </w:pPr>
    </w:p>
    <w:p w:rsidR="006C7FDB" w:rsidRDefault="00741244">
      <w:pPr>
        <w:spacing w:before="0" w:after="200" w:line="276" w:lineRule="auto"/>
        <w:jc w:val="left"/>
        <w:rPr>
          <w:rFonts w:eastAsia="Times New Roman"/>
          <w:noProof/>
          <w:szCs w:val="24"/>
        </w:rPr>
      </w:pPr>
      <w:r>
        <w:rPr>
          <w:noProof/>
        </w:rPr>
        <w:br w:type="page"/>
      </w:r>
    </w:p>
    <w:p w:rsidR="006C7FDB" w:rsidRDefault="00741244">
      <w:pPr>
        <w:spacing w:before="0" w:after="0"/>
        <w:ind w:firstLine="360"/>
        <w:rPr>
          <w:rFonts w:eastAsia="Times New Roman"/>
          <w:noProof/>
          <w:szCs w:val="24"/>
        </w:rPr>
      </w:pPr>
      <w:r>
        <w:rPr>
          <w:noProof/>
        </w:rPr>
        <w:t>Система за предупреждение при напускане на лентата за движение:</w:t>
      </w:r>
    </w:p>
    <w:p w:rsidR="006C7FDB" w:rsidRDefault="006C7FDB">
      <w:pPr>
        <w:spacing w:before="0" w:after="0"/>
        <w:ind w:firstLine="360"/>
        <w:rPr>
          <w:rFonts w:eastAsia="Times New Roman"/>
          <w:noProof/>
          <w:szCs w:val="24"/>
        </w:rPr>
      </w:pPr>
    </w:p>
    <w:p w:rsidR="006C7FDB" w:rsidRDefault="00741244">
      <w:pPr>
        <w:pStyle w:val="Tiret0"/>
        <w:spacing w:before="0" w:after="0"/>
        <w:rPr>
          <w:noProof/>
        </w:rPr>
      </w:pPr>
      <w:r>
        <w:rPr>
          <w:noProof/>
        </w:rPr>
        <w:t>Регламент (ЕО) № 661/2009 на Европейския парламент и на Съ</w:t>
      </w:r>
      <w:r>
        <w:rPr>
          <w:noProof/>
        </w:rPr>
        <w:t>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200, 31.7.2009 г., стр. 1), п</w:t>
      </w:r>
      <w:r>
        <w:rPr>
          <w:noProof/>
        </w:rPr>
        <w:t>оследно изменен с Регламент (ЕС) № 2015/166 на Комисията от 3 февруари 2015 г. (ОВ L 28, 4.2.2015 г., стр. 3);</w:t>
      </w:r>
    </w:p>
    <w:p w:rsidR="006C7FDB" w:rsidRDefault="006C7FDB">
      <w:pPr>
        <w:spacing w:before="0" w:after="0"/>
        <w:rPr>
          <w:rFonts w:eastAsia="Times New Roman"/>
          <w:noProof/>
          <w:szCs w:val="24"/>
        </w:rPr>
      </w:pPr>
    </w:p>
    <w:p w:rsidR="006C7FDB" w:rsidRDefault="00741244">
      <w:pPr>
        <w:pStyle w:val="Tiret0"/>
        <w:spacing w:before="0" w:after="0"/>
        <w:rPr>
          <w:noProof/>
        </w:rPr>
      </w:pPr>
      <w:r>
        <w:rPr>
          <w:noProof/>
        </w:rPr>
        <w:t>Регламент (ЕС) № 351/2012 на Комисията от 23 април 2012 г. за прилагане на Регламент (ЕО) № 661/2009 на Европейския парламент и на Съвета по отн</w:t>
      </w:r>
      <w:r>
        <w:rPr>
          <w:noProof/>
        </w:rPr>
        <w:t>ошение на изискванията за одобрение на типа, отнасящи се до монтирането в моторните превозни средства на системи за предупреждение при напускане на лентата за движение (OВ L 110, 24.4.2012 г., стр. 18).“;</w:t>
      </w:r>
    </w:p>
    <w:p w:rsidR="006C7FDB" w:rsidRDefault="006C7FDB">
      <w:pPr>
        <w:spacing w:before="0" w:after="0"/>
        <w:rPr>
          <w:rFonts w:eastAsia="Times New Roman"/>
          <w:noProof/>
          <w:szCs w:val="24"/>
        </w:rPr>
      </w:pPr>
    </w:p>
    <w:p w:rsidR="006C7FDB" w:rsidRDefault="00741244">
      <w:pPr>
        <w:pStyle w:val="Default"/>
        <w:jc w:val="both"/>
        <w:rPr>
          <w:noProof/>
        </w:rPr>
      </w:pPr>
      <w:r>
        <w:rPr>
          <w:noProof/>
          <w:u w:val="single"/>
        </w:rPr>
        <w:t>ii) таблицата се заменя със следната таблица:</w:t>
      </w:r>
    </w:p>
    <w:p w:rsidR="006C7FDB" w:rsidRDefault="006C7FDB">
      <w:pPr>
        <w:pStyle w:val="Default"/>
        <w:jc w:val="both"/>
        <w:rPr>
          <w:noProof/>
        </w:rPr>
      </w:pPr>
    </w:p>
    <w:tbl>
      <w:tblPr>
        <w:tblStyle w:val="TableGrid"/>
        <w:tblW w:w="0" w:type="auto"/>
        <w:tblLook w:val="04A0" w:firstRow="1" w:lastRow="0" w:firstColumn="1" w:lastColumn="0" w:noHBand="0" w:noVBand="1"/>
      </w:tblPr>
      <w:tblGrid>
        <w:gridCol w:w="3227"/>
        <w:gridCol w:w="2693"/>
        <w:gridCol w:w="2693"/>
      </w:tblGrid>
      <w:tr w:rsidR="006C7FDB">
        <w:tc>
          <w:tcPr>
            <w:tcW w:w="3227" w:type="dxa"/>
          </w:tcPr>
          <w:p w:rsidR="006C7FDB" w:rsidRDefault="00741244">
            <w:pPr>
              <w:spacing w:before="0" w:after="0"/>
              <w:rPr>
                <w:rFonts w:eastAsia="Times New Roman"/>
                <w:b/>
                <w:noProof/>
                <w:sz w:val="20"/>
                <w:szCs w:val="20"/>
              </w:rPr>
            </w:pPr>
            <w:r>
              <w:rPr>
                <w:b/>
                <w:noProof/>
                <w:sz w:val="20"/>
              </w:rPr>
              <w:t>„На</w:t>
            </w:r>
            <w:r>
              <w:rPr>
                <w:b/>
                <w:noProof/>
                <w:sz w:val="20"/>
              </w:rPr>
              <w:t>именование</w:t>
            </w:r>
          </w:p>
        </w:tc>
        <w:tc>
          <w:tcPr>
            <w:tcW w:w="2693" w:type="dxa"/>
          </w:tcPr>
          <w:p w:rsidR="006C7FDB" w:rsidRDefault="00741244">
            <w:pPr>
              <w:spacing w:before="0" w:after="0"/>
              <w:rPr>
                <w:rFonts w:eastAsia="Times New Roman"/>
                <w:b/>
                <w:noProof/>
                <w:sz w:val="20"/>
                <w:szCs w:val="20"/>
              </w:rPr>
            </w:pPr>
            <w:r>
              <w:rPr>
                <w:b/>
                <w:noProof/>
                <w:sz w:val="20"/>
              </w:rPr>
              <w:t>Правила на ИКЕ на ООН</w:t>
            </w:r>
          </w:p>
          <w:p w:rsidR="006C7FDB" w:rsidRDefault="00741244">
            <w:pPr>
              <w:pStyle w:val="Default"/>
              <w:rPr>
                <w:rFonts w:eastAsia="Times New Roman" w:cs="Times New Roman"/>
                <w:noProof/>
                <w:sz w:val="20"/>
                <w:szCs w:val="20"/>
              </w:rPr>
            </w:pPr>
            <w:r>
              <w:rPr>
                <w:noProof/>
                <w:sz w:val="20"/>
              </w:rPr>
              <w:t>(в последната си приложима версия)</w:t>
            </w:r>
          </w:p>
          <w:p w:rsidR="006C7FDB" w:rsidRDefault="006C7FDB">
            <w:pPr>
              <w:spacing w:before="0" w:after="0"/>
              <w:rPr>
                <w:rFonts w:eastAsia="Times New Roman"/>
                <w:b/>
                <w:noProof/>
                <w:sz w:val="20"/>
                <w:szCs w:val="20"/>
              </w:rPr>
            </w:pPr>
          </w:p>
        </w:tc>
        <w:tc>
          <w:tcPr>
            <w:tcW w:w="2693" w:type="dxa"/>
          </w:tcPr>
          <w:p w:rsidR="006C7FDB" w:rsidRDefault="00741244">
            <w:pPr>
              <w:spacing w:before="0" w:after="0"/>
              <w:jc w:val="left"/>
              <w:rPr>
                <w:rFonts w:eastAsia="Times New Roman"/>
                <w:b/>
                <w:noProof/>
                <w:sz w:val="20"/>
                <w:szCs w:val="20"/>
              </w:rPr>
            </w:pPr>
            <w:r>
              <w:rPr>
                <w:b/>
                <w:noProof/>
                <w:sz w:val="20"/>
              </w:rPr>
              <w:t>Акт на Съюза</w:t>
            </w:r>
            <w:r>
              <w:rPr>
                <w:rFonts w:eastAsia="Times New Roman"/>
                <w:b/>
                <w:noProof/>
                <w:sz w:val="20"/>
                <w:szCs w:val="20"/>
              </w:rPr>
              <w:br/>
            </w:r>
          </w:p>
        </w:tc>
      </w:tr>
      <w:tr w:rsidR="006C7FDB">
        <w:tc>
          <w:tcPr>
            <w:tcW w:w="3227" w:type="dxa"/>
          </w:tcPr>
          <w:p w:rsidR="006C7FDB" w:rsidRDefault="00741244">
            <w:pPr>
              <w:spacing w:before="0" w:after="0"/>
              <w:rPr>
                <w:rFonts w:eastAsia="Times New Roman"/>
                <w:noProof/>
                <w:sz w:val="20"/>
                <w:szCs w:val="20"/>
              </w:rPr>
            </w:pPr>
            <w:r>
              <w:rPr>
                <w:noProof/>
                <w:sz w:val="20"/>
              </w:rPr>
              <w:t>Емисии от отработили газове</w:t>
            </w:r>
          </w:p>
        </w:tc>
        <w:tc>
          <w:tcPr>
            <w:tcW w:w="2693" w:type="dxa"/>
          </w:tcPr>
          <w:p w:rsidR="006C7FDB" w:rsidRDefault="00741244">
            <w:pPr>
              <w:spacing w:before="0" w:after="0"/>
              <w:rPr>
                <w:rFonts w:eastAsia="Times New Roman"/>
                <w:noProof/>
                <w:sz w:val="20"/>
                <w:szCs w:val="20"/>
              </w:rPr>
            </w:pPr>
            <w:r>
              <w:rPr>
                <w:noProof/>
                <w:sz w:val="20"/>
              </w:rPr>
              <w:t>49</w:t>
            </w:r>
          </w:p>
          <w:p w:rsidR="006C7FDB" w:rsidRDefault="006C7FDB">
            <w:pPr>
              <w:spacing w:before="0" w:after="0"/>
              <w:rPr>
                <w:rFonts w:eastAsia="Times New Roman"/>
                <w:noProof/>
                <w:sz w:val="20"/>
                <w:szCs w:val="20"/>
              </w:rPr>
            </w:pPr>
          </w:p>
        </w:tc>
        <w:tc>
          <w:tcPr>
            <w:tcW w:w="2693" w:type="dxa"/>
          </w:tcPr>
          <w:p w:rsidR="006C7FDB" w:rsidRDefault="00741244">
            <w:pPr>
              <w:spacing w:before="0" w:after="0"/>
              <w:rPr>
                <w:rFonts w:eastAsia="Times New Roman"/>
                <w:noProof/>
                <w:sz w:val="20"/>
                <w:szCs w:val="20"/>
              </w:rPr>
            </w:pPr>
            <w:r>
              <w:rPr>
                <w:noProof/>
                <w:sz w:val="20"/>
              </w:rPr>
              <w:t>Регламент (ЕО) № 715/2007, последно изменен с Регламент (ЕС) № 459/2012.</w:t>
            </w:r>
          </w:p>
          <w:p w:rsidR="006C7FDB" w:rsidRDefault="006C7FDB">
            <w:pPr>
              <w:spacing w:before="0" w:after="0"/>
              <w:rPr>
                <w:rFonts w:eastAsia="Times New Roman"/>
                <w:noProof/>
                <w:sz w:val="20"/>
                <w:szCs w:val="20"/>
              </w:rPr>
            </w:pPr>
          </w:p>
          <w:p w:rsidR="006C7FDB" w:rsidRDefault="00741244">
            <w:pPr>
              <w:spacing w:before="0" w:after="0"/>
              <w:rPr>
                <w:rFonts w:eastAsia="Times New Roman"/>
                <w:noProof/>
                <w:sz w:val="20"/>
                <w:szCs w:val="20"/>
              </w:rPr>
            </w:pPr>
            <w:r>
              <w:rPr>
                <w:noProof/>
                <w:sz w:val="20"/>
              </w:rPr>
              <w:t xml:space="preserve">Регламент (ЕО) № 595/2009, последно изменен с Регламент (ЕС) № </w:t>
            </w:r>
            <w:r>
              <w:rPr>
                <w:noProof/>
                <w:sz w:val="20"/>
              </w:rPr>
              <w:t>133/2014.</w:t>
            </w:r>
          </w:p>
          <w:p w:rsidR="006C7FDB" w:rsidRDefault="006C7FDB">
            <w:pPr>
              <w:spacing w:before="0" w:after="0"/>
              <w:rPr>
                <w:rFonts w:eastAsia="Times New Roman"/>
                <w:noProof/>
                <w:sz w:val="20"/>
                <w:szCs w:val="20"/>
              </w:rPr>
            </w:pPr>
          </w:p>
        </w:tc>
      </w:tr>
      <w:tr w:rsidR="006C7FDB">
        <w:tc>
          <w:tcPr>
            <w:tcW w:w="3227" w:type="dxa"/>
          </w:tcPr>
          <w:p w:rsidR="006C7FDB" w:rsidRDefault="00741244">
            <w:pPr>
              <w:spacing w:before="0" w:after="0"/>
              <w:rPr>
                <w:rFonts w:eastAsia="Times New Roman"/>
                <w:noProof/>
                <w:sz w:val="20"/>
                <w:szCs w:val="20"/>
              </w:rPr>
            </w:pPr>
            <w:r>
              <w:rPr>
                <w:noProof/>
                <w:sz w:val="20"/>
              </w:rPr>
              <w:t>Шумови емисии</w:t>
            </w:r>
          </w:p>
        </w:tc>
        <w:tc>
          <w:tcPr>
            <w:tcW w:w="2693" w:type="dxa"/>
          </w:tcPr>
          <w:p w:rsidR="006C7FDB" w:rsidRDefault="00741244">
            <w:pPr>
              <w:spacing w:before="0" w:after="0"/>
              <w:rPr>
                <w:rFonts w:eastAsia="Times New Roman"/>
                <w:noProof/>
                <w:sz w:val="20"/>
                <w:szCs w:val="20"/>
              </w:rPr>
            </w:pPr>
            <w:r>
              <w:rPr>
                <w:noProof/>
                <w:sz w:val="20"/>
              </w:rPr>
              <w:t>51</w:t>
            </w:r>
          </w:p>
          <w:p w:rsidR="006C7FDB" w:rsidRDefault="006C7FDB">
            <w:pPr>
              <w:spacing w:before="0" w:after="0"/>
              <w:rPr>
                <w:rFonts w:eastAsia="Times New Roman"/>
                <w:noProof/>
                <w:sz w:val="20"/>
                <w:szCs w:val="20"/>
              </w:rPr>
            </w:pPr>
          </w:p>
        </w:tc>
        <w:tc>
          <w:tcPr>
            <w:tcW w:w="2693" w:type="dxa"/>
          </w:tcPr>
          <w:p w:rsidR="006C7FDB" w:rsidRDefault="00741244">
            <w:pPr>
              <w:spacing w:before="0" w:after="0"/>
              <w:rPr>
                <w:rFonts w:eastAsia="Times New Roman"/>
                <w:noProof/>
                <w:sz w:val="20"/>
                <w:szCs w:val="20"/>
              </w:rPr>
            </w:pPr>
            <w:r>
              <w:rPr>
                <w:noProof/>
                <w:sz w:val="20"/>
              </w:rPr>
              <w:t>Директива 70/157/ЕИО, последно изменена с Директива 2013/15/ЕС на Съвета, която се прилага до 30 юни 2027 г. по силата на член 14 от Регламент (ЕС) № 540/2014;</w:t>
            </w:r>
          </w:p>
          <w:p w:rsidR="006C7FDB" w:rsidRDefault="006C7FDB">
            <w:pPr>
              <w:spacing w:before="0" w:after="0"/>
              <w:rPr>
                <w:rFonts w:eastAsia="Times New Roman"/>
                <w:noProof/>
                <w:sz w:val="20"/>
                <w:szCs w:val="20"/>
              </w:rPr>
            </w:pPr>
          </w:p>
          <w:p w:rsidR="006C7FDB" w:rsidRDefault="00741244">
            <w:pPr>
              <w:spacing w:before="0" w:after="0"/>
              <w:rPr>
                <w:rFonts w:eastAsia="Times New Roman"/>
                <w:noProof/>
                <w:sz w:val="20"/>
                <w:szCs w:val="20"/>
              </w:rPr>
            </w:pPr>
            <w:r>
              <w:rPr>
                <w:noProof/>
                <w:sz w:val="20"/>
              </w:rPr>
              <w:t>Регламент (ЕС) № 540/2014, който се прилага в съответствие с член</w:t>
            </w:r>
            <w:r>
              <w:rPr>
                <w:noProof/>
                <w:sz w:val="20"/>
              </w:rPr>
              <w:t> 15 от него, съответно от 1 юли 2016 г., 1 юли 2019 г. и 1 юли 2027 г.</w:t>
            </w:r>
          </w:p>
          <w:p w:rsidR="006C7FDB" w:rsidRDefault="006C7FDB">
            <w:pPr>
              <w:spacing w:before="0" w:after="0"/>
              <w:rPr>
                <w:rFonts w:eastAsia="Times New Roman"/>
                <w:noProof/>
                <w:sz w:val="20"/>
                <w:szCs w:val="20"/>
              </w:rPr>
            </w:pPr>
          </w:p>
        </w:tc>
      </w:tr>
      <w:tr w:rsidR="006C7FDB">
        <w:tc>
          <w:tcPr>
            <w:tcW w:w="3227" w:type="dxa"/>
          </w:tcPr>
          <w:p w:rsidR="006C7FDB" w:rsidRDefault="00741244">
            <w:pPr>
              <w:spacing w:before="0" w:after="0"/>
              <w:rPr>
                <w:rFonts w:eastAsia="Times New Roman"/>
                <w:noProof/>
                <w:sz w:val="20"/>
                <w:szCs w:val="20"/>
              </w:rPr>
            </w:pPr>
            <w:r>
              <w:rPr>
                <w:noProof/>
                <w:sz w:val="20"/>
              </w:rPr>
              <w:t>Спирачни устройства</w:t>
            </w:r>
          </w:p>
        </w:tc>
        <w:tc>
          <w:tcPr>
            <w:tcW w:w="2693" w:type="dxa"/>
          </w:tcPr>
          <w:p w:rsidR="006C7FDB" w:rsidRDefault="00741244">
            <w:pPr>
              <w:spacing w:before="0" w:after="0"/>
              <w:rPr>
                <w:noProof/>
                <w:color w:val="000000"/>
                <w:sz w:val="20"/>
                <w:szCs w:val="20"/>
              </w:rPr>
            </w:pPr>
            <w:r>
              <w:rPr>
                <w:noProof/>
                <w:color w:val="000000"/>
                <w:sz w:val="20"/>
              </w:rPr>
              <w:t>13</w:t>
            </w:r>
          </w:p>
          <w:p w:rsidR="006C7FDB" w:rsidRDefault="006C7FDB">
            <w:pPr>
              <w:spacing w:before="0" w:after="0"/>
              <w:rPr>
                <w:rFonts w:eastAsia="Times New Roman"/>
                <w:noProof/>
                <w:sz w:val="20"/>
                <w:szCs w:val="20"/>
              </w:rPr>
            </w:pPr>
          </w:p>
        </w:tc>
        <w:tc>
          <w:tcPr>
            <w:tcW w:w="2693" w:type="dxa"/>
          </w:tcPr>
          <w:p w:rsidR="006C7FDB" w:rsidRDefault="00741244">
            <w:pPr>
              <w:spacing w:before="0" w:after="0"/>
              <w:rPr>
                <w:rFonts w:eastAsia="Times New Roman"/>
                <w:noProof/>
                <w:sz w:val="20"/>
                <w:szCs w:val="20"/>
              </w:rPr>
            </w:pPr>
            <w:r>
              <w:rPr>
                <w:noProof/>
                <w:sz w:val="20"/>
              </w:rPr>
              <w:t>Регламент (ЕО) № 661/2009, последно изменен с Регламент (ЕС) 2015/166.</w:t>
            </w:r>
          </w:p>
          <w:p w:rsidR="006C7FDB" w:rsidRDefault="006C7FDB">
            <w:pPr>
              <w:spacing w:before="0" w:after="0"/>
              <w:rPr>
                <w:rFonts w:eastAsia="Times New Roman"/>
                <w:noProof/>
                <w:sz w:val="20"/>
                <w:szCs w:val="20"/>
              </w:rPr>
            </w:pPr>
          </w:p>
        </w:tc>
      </w:tr>
      <w:tr w:rsidR="006C7FDB">
        <w:tc>
          <w:tcPr>
            <w:tcW w:w="3227" w:type="dxa"/>
          </w:tcPr>
          <w:p w:rsidR="006C7FDB" w:rsidRDefault="00741244">
            <w:pPr>
              <w:spacing w:before="0" w:after="0"/>
              <w:rPr>
                <w:rFonts w:eastAsia="Times New Roman"/>
                <w:noProof/>
                <w:sz w:val="20"/>
                <w:szCs w:val="20"/>
              </w:rPr>
            </w:pPr>
            <w:r>
              <w:rPr>
                <w:noProof/>
                <w:sz w:val="20"/>
              </w:rPr>
              <w:t>Гуми</w:t>
            </w:r>
          </w:p>
        </w:tc>
        <w:tc>
          <w:tcPr>
            <w:tcW w:w="2693" w:type="dxa"/>
          </w:tcPr>
          <w:p w:rsidR="006C7FDB" w:rsidRDefault="00741244">
            <w:pPr>
              <w:spacing w:before="0" w:after="0"/>
              <w:rPr>
                <w:rFonts w:eastAsia="Times New Roman"/>
                <w:noProof/>
                <w:sz w:val="20"/>
                <w:szCs w:val="20"/>
              </w:rPr>
            </w:pPr>
            <w:r>
              <w:rPr>
                <w:noProof/>
                <w:sz w:val="20"/>
              </w:rPr>
              <w:t>54</w:t>
            </w:r>
          </w:p>
          <w:p w:rsidR="006C7FDB" w:rsidRDefault="00741244">
            <w:pPr>
              <w:spacing w:before="0" w:after="0"/>
              <w:rPr>
                <w:rFonts w:eastAsia="Times New Roman"/>
                <w:noProof/>
                <w:sz w:val="20"/>
                <w:szCs w:val="20"/>
              </w:rPr>
            </w:pPr>
            <w:r>
              <w:rPr>
                <w:noProof/>
                <w:sz w:val="20"/>
              </w:rPr>
              <w:t>117</w:t>
            </w:r>
          </w:p>
          <w:p w:rsidR="006C7FDB" w:rsidRDefault="006C7FDB">
            <w:pPr>
              <w:spacing w:before="0" w:after="0"/>
              <w:rPr>
                <w:rFonts w:eastAsia="Times New Roman"/>
                <w:noProof/>
                <w:sz w:val="20"/>
                <w:szCs w:val="20"/>
              </w:rPr>
            </w:pPr>
          </w:p>
        </w:tc>
        <w:tc>
          <w:tcPr>
            <w:tcW w:w="2693" w:type="dxa"/>
          </w:tcPr>
          <w:p w:rsidR="006C7FDB" w:rsidRDefault="00741244">
            <w:pPr>
              <w:spacing w:before="0" w:after="0"/>
              <w:rPr>
                <w:rFonts w:eastAsia="Times New Roman"/>
                <w:noProof/>
                <w:sz w:val="20"/>
                <w:szCs w:val="20"/>
              </w:rPr>
            </w:pPr>
            <w:r>
              <w:rPr>
                <w:noProof/>
                <w:sz w:val="20"/>
              </w:rPr>
              <w:t>Регламент (ЕО) № 661/2009, последно изменен с Регламент (ЕС) 2015/166.</w:t>
            </w:r>
          </w:p>
          <w:p w:rsidR="006C7FDB" w:rsidRDefault="006C7FDB">
            <w:pPr>
              <w:spacing w:before="0" w:after="0"/>
              <w:rPr>
                <w:rFonts w:eastAsia="Times New Roman"/>
                <w:noProof/>
                <w:sz w:val="20"/>
                <w:szCs w:val="20"/>
              </w:rPr>
            </w:pPr>
          </w:p>
        </w:tc>
      </w:tr>
      <w:tr w:rsidR="006C7FDB">
        <w:tc>
          <w:tcPr>
            <w:tcW w:w="3227" w:type="dxa"/>
          </w:tcPr>
          <w:p w:rsidR="006C7FDB" w:rsidRDefault="00741244">
            <w:pPr>
              <w:spacing w:before="0" w:after="0"/>
              <w:rPr>
                <w:rFonts w:eastAsia="Times New Roman"/>
                <w:noProof/>
                <w:sz w:val="20"/>
                <w:szCs w:val="20"/>
              </w:rPr>
            </w:pPr>
            <w:r>
              <w:rPr>
                <w:noProof/>
                <w:sz w:val="20"/>
              </w:rPr>
              <w:t>Устройства за осветяване и светлинна сигнализация</w:t>
            </w:r>
          </w:p>
        </w:tc>
        <w:tc>
          <w:tcPr>
            <w:tcW w:w="2693" w:type="dxa"/>
          </w:tcPr>
          <w:p w:rsidR="006C7FDB" w:rsidRDefault="00741244">
            <w:pPr>
              <w:spacing w:before="0" w:after="0"/>
              <w:rPr>
                <w:rFonts w:eastAsia="Times New Roman"/>
                <w:noProof/>
                <w:sz w:val="20"/>
                <w:szCs w:val="20"/>
              </w:rPr>
            </w:pPr>
            <w:r>
              <w:rPr>
                <w:noProof/>
                <w:sz w:val="20"/>
              </w:rPr>
              <w:t>48</w:t>
            </w:r>
          </w:p>
        </w:tc>
        <w:tc>
          <w:tcPr>
            <w:tcW w:w="2693" w:type="dxa"/>
          </w:tcPr>
          <w:p w:rsidR="006C7FDB" w:rsidRDefault="00741244">
            <w:pPr>
              <w:spacing w:before="0" w:after="0"/>
              <w:rPr>
                <w:rFonts w:eastAsia="Times New Roman"/>
                <w:noProof/>
                <w:sz w:val="20"/>
                <w:szCs w:val="20"/>
              </w:rPr>
            </w:pPr>
            <w:r>
              <w:rPr>
                <w:noProof/>
                <w:sz w:val="20"/>
              </w:rPr>
              <w:t>Регламент (ЕО) № 661/2009, последно изменен с Регламент (ЕС) 2015/166.</w:t>
            </w:r>
          </w:p>
          <w:p w:rsidR="006C7FDB" w:rsidRDefault="006C7FDB">
            <w:pPr>
              <w:spacing w:before="0" w:after="0"/>
              <w:rPr>
                <w:rFonts w:eastAsia="Times New Roman"/>
                <w:noProof/>
                <w:sz w:val="20"/>
                <w:szCs w:val="20"/>
              </w:rPr>
            </w:pPr>
          </w:p>
        </w:tc>
      </w:tr>
    </w:tbl>
    <w:p w:rsidR="006C7FDB" w:rsidRDefault="006C7FDB">
      <w:pPr>
        <w:rPr>
          <w:noProof/>
        </w:rPr>
      </w:pPr>
    </w:p>
    <w:tbl>
      <w:tblPr>
        <w:tblStyle w:val="TableGrid"/>
        <w:tblW w:w="0" w:type="auto"/>
        <w:tblLook w:val="04A0" w:firstRow="1" w:lastRow="0" w:firstColumn="1" w:lastColumn="0" w:noHBand="0" w:noVBand="1"/>
      </w:tblPr>
      <w:tblGrid>
        <w:gridCol w:w="3227"/>
        <w:gridCol w:w="2693"/>
        <w:gridCol w:w="2693"/>
      </w:tblGrid>
      <w:tr w:rsidR="006C7FDB">
        <w:tc>
          <w:tcPr>
            <w:tcW w:w="3227" w:type="dxa"/>
          </w:tcPr>
          <w:p w:rsidR="006C7FDB" w:rsidRDefault="00741244">
            <w:pPr>
              <w:spacing w:before="0" w:after="0"/>
              <w:rPr>
                <w:rFonts w:eastAsia="Times New Roman"/>
                <w:noProof/>
                <w:sz w:val="20"/>
                <w:szCs w:val="20"/>
              </w:rPr>
            </w:pPr>
            <w:r>
              <w:rPr>
                <w:noProof/>
              </w:rPr>
              <w:br w:type="page"/>
            </w:r>
            <w:r>
              <w:rPr>
                <w:noProof/>
                <w:sz w:val="20"/>
              </w:rPr>
              <w:t>Резервоар за гориво</w:t>
            </w:r>
          </w:p>
        </w:tc>
        <w:tc>
          <w:tcPr>
            <w:tcW w:w="2693" w:type="dxa"/>
          </w:tcPr>
          <w:p w:rsidR="006C7FDB" w:rsidRDefault="00741244">
            <w:pPr>
              <w:spacing w:before="0" w:after="0"/>
              <w:rPr>
                <w:rFonts w:eastAsia="Times New Roman"/>
                <w:noProof/>
                <w:sz w:val="20"/>
                <w:szCs w:val="20"/>
              </w:rPr>
            </w:pPr>
            <w:r>
              <w:rPr>
                <w:noProof/>
                <w:sz w:val="20"/>
              </w:rPr>
              <w:t>34</w:t>
            </w:r>
          </w:p>
          <w:p w:rsidR="006C7FDB" w:rsidRDefault="00741244">
            <w:pPr>
              <w:spacing w:before="0" w:after="0"/>
              <w:rPr>
                <w:rFonts w:eastAsia="Times New Roman"/>
                <w:noProof/>
                <w:sz w:val="20"/>
                <w:szCs w:val="20"/>
              </w:rPr>
            </w:pPr>
            <w:r>
              <w:rPr>
                <w:noProof/>
                <w:sz w:val="20"/>
              </w:rPr>
              <w:t>58</w:t>
            </w:r>
          </w:p>
          <w:p w:rsidR="006C7FDB" w:rsidRDefault="006C7FDB">
            <w:pPr>
              <w:spacing w:before="0" w:after="0"/>
              <w:rPr>
                <w:rFonts w:eastAsia="Times New Roman"/>
                <w:noProof/>
                <w:sz w:val="20"/>
                <w:szCs w:val="20"/>
              </w:rPr>
            </w:pPr>
          </w:p>
        </w:tc>
        <w:tc>
          <w:tcPr>
            <w:tcW w:w="2693" w:type="dxa"/>
          </w:tcPr>
          <w:p w:rsidR="006C7FDB" w:rsidRDefault="00741244">
            <w:pPr>
              <w:spacing w:before="0" w:after="0"/>
              <w:rPr>
                <w:rFonts w:eastAsia="Times New Roman"/>
                <w:noProof/>
                <w:sz w:val="20"/>
                <w:szCs w:val="20"/>
              </w:rPr>
            </w:pPr>
            <w:r>
              <w:rPr>
                <w:noProof/>
                <w:sz w:val="20"/>
              </w:rPr>
              <w:t>Регламент (ЕО) № 661/2009, последно изменен с Регламент (ЕС) 2015/166.</w:t>
            </w:r>
          </w:p>
          <w:p w:rsidR="006C7FDB" w:rsidRDefault="006C7FDB">
            <w:pPr>
              <w:spacing w:before="0" w:after="0"/>
              <w:rPr>
                <w:rFonts w:eastAsia="Times New Roman"/>
                <w:noProof/>
                <w:sz w:val="20"/>
                <w:szCs w:val="20"/>
              </w:rPr>
            </w:pPr>
          </w:p>
        </w:tc>
      </w:tr>
      <w:tr w:rsidR="006C7FDB">
        <w:tc>
          <w:tcPr>
            <w:tcW w:w="3227" w:type="dxa"/>
          </w:tcPr>
          <w:p w:rsidR="006C7FDB" w:rsidRDefault="00741244">
            <w:pPr>
              <w:spacing w:before="0" w:after="0"/>
              <w:rPr>
                <w:noProof/>
                <w:color w:val="000000"/>
                <w:sz w:val="20"/>
                <w:szCs w:val="20"/>
              </w:rPr>
            </w:pPr>
            <w:r>
              <w:rPr>
                <w:noProof/>
                <w:color w:val="000000"/>
                <w:sz w:val="20"/>
              </w:rPr>
              <w:t>Огледала за виждане назад</w:t>
            </w:r>
          </w:p>
          <w:p w:rsidR="006C7FDB" w:rsidRDefault="006C7FDB">
            <w:pPr>
              <w:spacing w:before="0" w:after="0"/>
              <w:rPr>
                <w:noProof/>
                <w:color w:val="000000"/>
                <w:sz w:val="20"/>
                <w:szCs w:val="20"/>
              </w:rPr>
            </w:pPr>
          </w:p>
        </w:tc>
        <w:tc>
          <w:tcPr>
            <w:tcW w:w="2693" w:type="dxa"/>
          </w:tcPr>
          <w:p w:rsidR="006C7FDB" w:rsidRDefault="00741244">
            <w:pPr>
              <w:spacing w:before="0" w:after="0"/>
              <w:rPr>
                <w:rFonts w:eastAsia="Times New Roman"/>
                <w:noProof/>
                <w:sz w:val="20"/>
                <w:szCs w:val="20"/>
              </w:rPr>
            </w:pPr>
            <w:r>
              <w:rPr>
                <w:noProof/>
                <w:sz w:val="20"/>
              </w:rPr>
              <w:t>46</w:t>
            </w:r>
          </w:p>
        </w:tc>
        <w:tc>
          <w:tcPr>
            <w:tcW w:w="2693" w:type="dxa"/>
          </w:tcPr>
          <w:p w:rsidR="006C7FDB" w:rsidRDefault="00741244">
            <w:pPr>
              <w:spacing w:before="0" w:after="0"/>
              <w:rPr>
                <w:noProof/>
                <w:color w:val="000000"/>
                <w:sz w:val="20"/>
                <w:szCs w:val="20"/>
              </w:rPr>
            </w:pPr>
            <w:r>
              <w:rPr>
                <w:noProof/>
              </w:rPr>
              <w:t>Регламент (ЕО) № 661/2009, последно изменен с Регламент (ЕС) 2015/166.</w:t>
            </w:r>
          </w:p>
          <w:p w:rsidR="006C7FDB" w:rsidRDefault="006C7FDB">
            <w:pPr>
              <w:spacing w:before="0" w:after="0"/>
              <w:rPr>
                <w:rFonts w:eastAsia="Times New Roman"/>
                <w:noProof/>
                <w:sz w:val="20"/>
                <w:szCs w:val="20"/>
              </w:rPr>
            </w:pPr>
          </w:p>
        </w:tc>
      </w:tr>
      <w:tr w:rsidR="006C7FDB">
        <w:tc>
          <w:tcPr>
            <w:tcW w:w="3227" w:type="dxa"/>
          </w:tcPr>
          <w:p w:rsidR="006C7FDB" w:rsidRDefault="00741244">
            <w:pPr>
              <w:spacing w:before="0" w:after="0"/>
              <w:rPr>
                <w:noProof/>
                <w:color w:val="000000"/>
                <w:sz w:val="20"/>
                <w:szCs w:val="20"/>
              </w:rPr>
            </w:pPr>
            <w:r>
              <w:rPr>
                <w:noProof/>
                <w:color w:val="000000"/>
                <w:sz w:val="20"/>
              </w:rPr>
              <w:t>Обезопасителни колани — монтиране</w:t>
            </w:r>
          </w:p>
          <w:p w:rsidR="006C7FDB" w:rsidRDefault="006C7FDB">
            <w:pPr>
              <w:spacing w:before="0" w:after="0"/>
              <w:rPr>
                <w:rFonts w:eastAsia="Times New Roman"/>
                <w:noProof/>
                <w:sz w:val="20"/>
                <w:szCs w:val="20"/>
              </w:rPr>
            </w:pPr>
          </w:p>
        </w:tc>
        <w:tc>
          <w:tcPr>
            <w:tcW w:w="2693" w:type="dxa"/>
          </w:tcPr>
          <w:p w:rsidR="006C7FDB" w:rsidRDefault="00741244">
            <w:pPr>
              <w:spacing w:before="0" w:after="0"/>
              <w:rPr>
                <w:rFonts w:eastAsia="Times New Roman"/>
                <w:noProof/>
                <w:sz w:val="20"/>
                <w:szCs w:val="20"/>
              </w:rPr>
            </w:pPr>
            <w:r>
              <w:rPr>
                <w:noProof/>
                <w:sz w:val="20"/>
              </w:rPr>
              <w:t>16</w:t>
            </w:r>
          </w:p>
        </w:tc>
        <w:tc>
          <w:tcPr>
            <w:tcW w:w="2693" w:type="dxa"/>
          </w:tcPr>
          <w:p w:rsidR="006C7FDB" w:rsidRDefault="00741244">
            <w:pPr>
              <w:spacing w:before="0" w:after="0"/>
              <w:rPr>
                <w:noProof/>
                <w:color w:val="000000"/>
                <w:sz w:val="20"/>
                <w:szCs w:val="20"/>
              </w:rPr>
            </w:pPr>
            <w:r>
              <w:rPr>
                <w:noProof/>
              </w:rPr>
              <w:t>Регламент (ЕО) № 661/2009, последно изменен с Регламент (ЕС) 2015/166.</w:t>
            </w:r>
          </w:p>
          <w:p w:rsidR="006C7FDB" w:rsidRDefault="006C7FDB">
            <w:pPr>
              <w:spacing w:before="0" w:after="0"/>
              <w:rPr>
                <w:rFonts w:eastAsia="Times New Roman"/>
                <w:noProof/>
                <w:sz w:val="20"/>
                <w:szCs w:val="20"/>
              </w:rPr>
            </w:pPr>
          </w:p>
        </w:tc>
      </w:tr>
      <w:tr w:rsidR="006C7FDB">
        <w:tc>
          <w:tcPr>
            <w:tcW w:w="3227" w:type="dxa"/>
          </w:tcPr>
          <w:p w:rsidR="006C7FDB" w:rsidRDefault="00741244">
            <w:pPr>
              <w:spacing w:before="0" w:after="0"/>
              <w:rPr>
                <w:rFonts w:eastAsia="Times New Roman"/>
                <w:noProof/>
                <w:sz w:val="20"/>
                <w:szCs w:val="20"/>
              </w:rPr>
            </w:pPr>
            <w:r>
              <w:rPr>
                <w:noProof/>
                <w:color w:val="000000"/>
                <w:sz w:val="20"/>
              </w:rPr>
              <w:t>Обезопасителни колани — анкерни закрепвания на обезопасителните колан</w:t>
            </w:r>
            <w:r>
              <w:rPr>
                <w:noProof/>
                <w:color w:val="000000"/>
                <w:sz w:val="20"/>
              </w:rPr>
              <w:t>и</w:t>
            </w:r>
          </w:p>
        </w:tc>
        <w:tc>
          <w:tcPr>
            <w:tcW w:w="2693" w:type="dxa"/>
          </w:tcPr>
          <w:p w:rsidR="006C7FDB" w:rsidRDefault="00741244">
            <w:pPr>
              <w:spacing w:before="0" w:after="0"/>
              <w:rPr>
                <w:rFonts w:eastAsia="Times New Roman"/>
                <w:noProof/>
                <w:sz w:val="20"/>
                <w:szCs w:val="20"/>
              </w:rPr>
            </w:pPr>
            <w:r>
              <w:rPr>
                <w:noProof/>
                <w:sz w:val="20"/>
              </w:rPr>
              <w:t>14</w:t>
            </w:r>
          </w:p>
        </w:tc>
        <w:tc>
          <w:tcPr>
            <w:tcW w:w="2693" w:type="dxa"/>
          </w:tcPr>
          <w:p w:rsidR="006C7FDB" w:rsidRDefault="00741244">
            <w:pPr>
              <w:spacing w:before="0" w:after="0"/>
              <w:rPr>
                <w:rFonts w:eastAsia="Times New Roman"/>
                <w:noProof/>
                <w:sz w:val="20"/>
                <w:szCs w:val="20"/>
              </w:rPr>
            </w:pPr>
            <w:r>
              <w:rPr>
                <w:noProof/>
                <w:sz w:val="20"/>
              </w:rPr>
              <w:t>Регламент (ЕО) № 661/2009, последно изменен с Регламент (ЕС) 2015/166.</w:t>
            </w:r>
          </w:p>
          <w:p w:rsidR="006C7FDB" w:rsidRDefault="006C7FDB">
            <w:pPr>
              <w:spacing w:before="0" w:after="0"/>
              <w:rPr>
                <w:rFonts w:eastAsia="Times New Roman"/>
                <w:noProof/>
                <w:sz w:val="20"/>
                <w:szCs w:val="20"/>
              </w:rPr>
            </w:pPr>
          </w:p>
        </w:tc>
      </w:tr>
      <w:tr w:rsidR="006C7FDB">
        <w:tc>
          <w:tcPr>
            <w:tcW w:w="3227" w:type="dxa"/>
          </w:tcPr>
          <w:p w:rsidR="006C7FDB" w:rsidRDefault="00741244">
            <w:pPr>
              <w:spacing w:before="0" w:after="0"/>
              <w:rPr>
                <w:noProof/>
                <w:color w:val="000000"/>
                <w:sz w:val="20"/>
                <w:szCs w:val="20"/>
              </w:rPr>
            </w:pPr>
            <w:r>
              <w:rPr>
                <w:noProof/>
                <w:color w:val="000000"/>
                <w:sz w:val="20"/>
              </w:rPr>
              <w:t>Седалки</w:t>
            </w:r>
          </w:p>
        </w:tc>
        <w:tc>
          <w:tcPr>
            <w:tcW w:w="2693" w:type="dxa"/>
          </w:tcPr>
          <w:p w:rsidR="006C7FDB" w:rsidRDefault="00741244">
            <w:pPr>
              <w:spacing w:before="0" w:after="0"/>
              <w:rPr>
                <w:rFonts w:eastAsia="Times New Roman"/>
                <w:noProof/>
                <w:sz w:val="20"/>
                <w:szCs w:val="20"/>
              </w:rPr>
            </w:pPr>
            <w:r>
              <w:rPr>
                <w:noProof/>
                <w:sz w:val="20"/>
              </w:rPr>
              <w:t>17</w:t>
            </w:r>
          </w:p>
        </w:tc>
        <w:tc>
          <w:tcPr>
            <w:tcW w:w="2693" w:type="dxa"/>
          </w:tcPr>
          <w:p w:rsidR="006C7FDB" w:rsidRDefault="00741244">
            <w:pPr>
              <w:spacing w:before="0" w:after="0"/>
              <w:rPr>
                <w:rFonts w:eastAsia="Times New Roman"/>
                <w:noProof/>
                <w:sz w:val="20"/>
                <w:szCs w:val="20"/>
              </w:rPr>
            </w:pPr>
            <w:r>
              <w:rPr>
                <w:noProof/>
                <w:sz w:val="20"/>
              </w:rPr>
              <w:t>Регламент (ЕО) № 661/2009, последно изменен с Регламент (ЕС) 2015/166.</w:t>
            </w:r>
          </w:p>
          <w:p w:rsidR="006C7FDB" w:rsidRDefault="006C7FDB">
            <w:pPr>
              <w:spacing w:before="0" w:after="0"/>
              <w:rPr>
                <w:rFonts w:eastAsia="Times New Roman"/>
                <w:noProof/>
                <w:sz w:val="20"/>
                <w:szCs w:val="20"/>
              </w:rPr>
            </w:pPr>
          </w:p>
        </w:tc>
      </w:tr>
      <w:tr w:rsidR="006C7FDB">
        <w:tc>
          <w:tcPr>
            <w:tcW w:w="3227" w:type="dxa"/>
          </w:tcPr>
          <w:p w:rsidR="006C7FDB" w:rsidRDefault="00741244">
            <w:pPr>
              <w:spacing w:before="0" w:after="0"/>
              <w:rPr>
                <w:noProof/>
                <w:color w:val="000000"/>
                <w:sz w:val="20"/>
                <w:szCs w:val="20"/>
              </w:rPr>
            </w:pPr>
            <w:r>
              <w:rPr>
                <w:noProof/>
                <w:color w:val="000000"/>
                <w:sz w:val="20"/>
              </w:rPr>
              <w:t>Вътрешна конструкция (предотвратяване на риска от разпространяване на пожар)</w:t>
            </w:r>
          </w:p>
          <w:p w:rsidR="006C7FDB" w:rsidRDefault="006C7FDB">
            <w:pPr>
              <w:spacing w:before="0" w:after="0"/>
              <w:rPr>
                <w:noProof/>
                <w:color w:val="000000"/>
                <w:sz w:val="20"/>
                <w:szCs w:val="20"/>
              </w:rPr>
            </w:pPr>
          </w:p>
        </w:tc>
        <w:tc>
          <w:tcPr>
            <w:tcW w:w="2693" w:type="dxa"/>
          </w:tcPr>
          <w:p w:rsidR="006C7FDB" w:rsidRDefault="00741244">
            <w:pPr>
              <w:spacing w:before="0" w:after="0"/>
              <w:rPr>
                <w:noProof/>
                <w:color w:val="000000"/>
                <w:sz w:val="20"/>
                <w:szCs w:val="20"/>
              </w:rPr>
            </w:pPr>
            <w:r>
              <w:rPr>
                <w:noProof/>
                <w:color w:val="000000"/>
                <w:sz w:val="20"/>
              </w:rPr>
              <w:t>118</w:t>
            </w:r>
          </w:p>
        </w:tc>
        <w:tc>
          <w:tcPr>
            <w:tcW w:w="2693" w:type="dxa"/>
          </w:tcPr>
          <w:p w:rsidR="006C7FDB" w:rsidRDefault="00741244">
            <w:pPr>
              <w:spacing w:before="0" w:after="0"/>
              <w:rPr>
                <w:rFonts w:eastAsia="Times New Roman"/>
                <w:noProof/>
                <w:sz w:val="20"/>
                <w:szCs w:val="20"/>
              </w:rPr>
            </w:pPr>
            <w:r>
              <w:rPr>
                <w:noProof/>
              </w:rPr>
              <w:t xml:space="preserve">Регламент </w:t>
            </w:r>
            <w:r>
              <w:rPr>
                <w:noProof/>
              </w:rPr>
              <w:t>(ЕО) № 661/2009, последно изменен с Регламент (ЕС) 2015/166.</w:t>
            </w:r>
          </w:p>
          <w:p w:rsidR="006C7FDB" w:rsidRDefault="006C7FDB">
            <w:pPr>
              <w:spacing w:before="0" w:after="0"/>
              <w:rPr>
                <w:noProof/>
                <w:color w:val="000000"/>
                <w:sz w:val="20"/>
                <w:szCs w:val="20"/>
              </w:rPr>
            </w:pPr>
          </w:p>
        </w:tc>
      </w:tr>
      <w:tr w:rsidR="006C7FDB">
        <w:tc>
          <w:tcPr>
            <w:tcW w:w="3227" w:type="dxa"/>
          </w:tcPr>
          <w:p w:rsidR="006C7FDB" w:rsidRDefault="00741244">
            <w:pPr>
              <w:spacing w:before="0" w:after="0"/>
              <w:rPr>
                <w:noProof/>
                <w:color w:val="000000"/>
                <w:sz w:val="20"/>
                <w:szCs w:val="20"/>
              </w:rPr>
            </w:pPr>
            <w:r>
              <w:rPr>
                <w:noProof/>
              </w:rPr>
              <w:br w:type="page"/>
            </w:r>
            <w:r>
              <w:rPr>
                <w:noProof/>
                <w:color w:val="000000"/>
                <w:sz w:val="20"/>
              </w:rPr>
              <w:t>Вътрешно оборудване (аварийни изходи, достъп, размери на местата за сядане, устойчивост на горната част на конструкцията и т. н.)</w:t>
            </w:r>
          </w:p>
          <w:p w:rsidR="006C7FDB" w:rsidRDefault="006C7FDB">
            <w:pPr>
              <w:spacing w:before="0" w:after="0"/>
              <w:rPr>
                <w:noProof/>
                <w:color w:val="000000"/>
                <w:sz w:val="20"/>
                <w:szCs w:val="20"/>
              </w:rPr>
            </w:pPr>
          </w:p>
        </w:tc>
        <w:tc>
          <w:tcPr>
            <w:tcW w:w="2693" w:type="dxa"/>
          </w:tcPr>
          <w:p w:rsidR="006C7FDB" w:rsidRDefault="00741244">
            <w:pPr>
              <w:spacing w:before="0" w:after="0"/>
              <w:rPr>
                <w:noProof/>
                <w:color w:val="000000"/>
                <w:sz w:val="20"/>
                <w:szCs w:val="20"/>
              </w:rPr>
            </w:pPr>
            <w:r>
              <w:rPr>
                <w:noProof/>
                <w:color w:val="000000"/>
                <w:sz w:val="20"/>
              </w:rPr>
              <w:t>66</w:t>
            </w:r>
          </w:p>
          <w:p w:rsidR="006C7FDB" w:rsidRDefault="00741244">
            <w:pPr>
              <w:spacing w:before="0" w:after="0"/>
              <w:rPr>
                <w:noProof/>
                <w:color w:val="000000"/>
                <w:sz w:val="20"/>
                <w:szCs w:val="20"/>
              </w:rPr>
            </w:pPr>
            <w:r>
              <w:rPr>
                <w:noProof/>
                <w:color w:val="000000"/>
                <w:sz w:val="20"/>
              </w:rPr>
              <w:t>107</w:t>
            </w:r>
          </w:p>
        </w:tc>
        <w:tc>
          <w:tcPr>
            <w:tcW w:w="2693" w:type="dxa"/>
            <w:vAlign w:val="center"/>
          </w:tcPr>
          <w:p w:rsidR="006C7FDB" w:rsidRDefault="00741244">
            <w:pPr>
              <w:spacing w:before="0" w:after="0"/>
              <w:rPr>
                <w:noProof/>
                <w:color w:val="000000"/>
                <w:sz w:val="20"/>
                <w:szCs w:val="20"/>
              </w:rPr>
            </w:pPr>
            <w:r>
              <w:rPr>
                <w:noProof/>
              </w:rPr>
              <w:t>Регламент (ЕО) № 661/2009, последно изменен с Регламен</w:t>
            </w:r>
            <w:r>
              <w:rPr>
                <w:noProof/>
              </w:rPr>
              <w:t>т (ЕС) 2015/166</w:t>
            </w:r>
            <w:r>
              <w:rPr>
                <w:noProof/>
                <w:color w:val="000000"/>
                <w:sz w:val="20"/>
              </w:rPr>
              <w:t xml:space="preserve"> </w:t>
            </w:r>
          </w:p>
        </w:tc>
      </w:tr>
      <w:tr w:rsidR="006C7FDB">
        <w:tc>
          <w:tcPr>
            <w:tcW w:w="3227" w:type="dxa"/>
          </w:tcPr>
          <w:p w:rsidR="006C7FDB" w:rsidRDefault="00741244">
            <w:pPr>
              <w:spacing w:before="0" w:after="0"/>
              <w:rPr>
                <w:noProof/>
                <w:color w:val="000000"/>
                <w:sz w:val="20"/>
                <w:szCs w:val="20"/>
              </w:rPr>
            </w:pPr>
            <w:r>
              <w:rPr>
                <w:noProof/>
                <w:color w:val="000000"/>
                <w:sz w:val="20"/>
              </w:rPr>
              <w:t>Усъвършенствани системи за аварийно спиране</w:t>
            </w:r>
          </w:p>
        </w:tc>
        <w:tc>
          <w:tcPr>
            <w:tcW w:w="2693" w:type="dxa"/>
          </w:tcPr>
          <w:p w:rsidR="006C7FDB" w:rsidRDefault="00741244">
            <w:pPr>
              <w:spacing w:before="0" w:after="0"/>
              <w:rPr>
                <w:noProof/>
                <w:color w:val="000000"/>
                <w:sz w:val="20"/>
                <w:szCs w:val="20"/>
              </w:rPr>
            </w:pPr>
            <w:r>
              <w:rPr>
                <w:noProof/>
                <w:color w:val="000000"/>
                <w:sz w:val="20"/>
              </w:rPr>
              <w:t>131</w:t>
            </w:r>
          </w:p>
        </w:tc>
        <w:tc>
          <w:tcPr>
            <w:tcW w:w="2693" w:type="dxa"/>
          </w:tcPr>
          <w:p w:rsidR="006C7FDB" w:rsidRDefault="00741244">
            <w:pPr>
              <w:spacing w:before="0" w:after="0"/>
              <w:rPr>
                <w:noProof/>
                <w:color w:val="000000"/>
                <w:sz w:val="20"/>
                <w:szCs w:val="20"/>
              </w:rPr>
            </w:pPr>
            <w:r>
              <w:rPr>
                <w:noProof/>
                <w:color w:val="000000"/>
                <w:sz w:val="20"/>
              </w:rPr>
              <w:t>Регламент (ЕО) № 661/2009, последно изменен с Регламент (ЕС) № 2015/166.</w:t>
            </w:r>
          </w:p>
          <w:p w:rsidR="006C7FDB" w:rsidRDefault="006C7FDB">
            <w:pPr>
              <w:spacing w:before="0" w:after="0"/>
              <w:rPr>
                <w:noProof/>
                <w:color w:val="000000"/>
                <w:sz w:val="20"/>
                <w:szCs w:val="20"/>
              </w:rPr>
            </w:pPr>
          </w:p>
          <w:p w:rsidR="006C7FDB" w:rsidRDefault="00741244">
            <w:pPr>
              <w:spacing w:before="0" w:after="0"/>
              <w:rPr>
                <w:noProof/>
                <w:color w:val="000000"/>
                <w:sz w:val="20"/>
                <w:szCs w:val="20"/>
              </w:rPr>
            </w:pPr>
            <w:r>
              <w:rPr>
                <w:noProof/>
                <w:color w:val="000000"/>
                <w:sz w:val="20"/>
              </w:rPr>
              <w:t>Регламент (ЕС) № 347/2012 на Комисията, последно изменен с Регламент (ЕС) № 2015/562.</w:t>
            </w:r>
          </w:p>
        </w:tc>
      </w:tr>
      <w:tr w:rsidR="006C7FDB">
        <w:tc>
          <w:tcPr>
            <w:tcW w:w="3227" w:type="dxa"/>
          </w:tcPr>
          <w:p w:rsidR="006C7FDB" w:rsidRDefault="00741244">
            <w:pPr>
              <w:spacing w:before="0" w:after="0"/>
              <w:rPr>
                <w:noProof/>
                <w:color w:val="000000"/>
                <w:sz w:val="20"/>
                <w:szCs w:val="20"/>
              </w:rPr>
            </w:pPr>
            <w:r>
              <w:rPr>
                <w:noProof/>
                <w:color w:val="000000"/>
                <w:sz w:val="20"/>
              </w:rPr>
              <w:t>Система за предупреждение при</w:t>
            </w:r>
            <w:r>
              <w:rPr>
                <w:noProof/>
                <w:color w:val="000000"/>
                <w:sz w:val="20"/>
              </w:rPr>
              <w:t xml:space="preserve"> напускане на лентата за движение</w:t>
            </w:r>
          </w:p>
        </w:tc>
        <w:tc>
          <w:tcPr>
            <w:tcW w:w="2693" w:type="dxa"/>
          </w:tcPr>
          <w:p w:rsidR="006C7FDB" w:rsidRDefault="00741244">
            <w:pPr>
              <w:spacing w:before="0" w:after="0"/>
              <w:rPr>
                <w:noProof/>
                <w:color w:val="000000"/>
                <w:sz w:val="20"/>
                <w:szCs w:val="20"/>
              </w:rPr>
            </w:pPr>
            <w:r>
              <w:rPr>
                <w:noProof/>
                <w:color w:val="000000"/>
                <w:sz w:val="20"/>
              </w:rPr>
              <w:t>130</w:t>
            </w:r>
          </w:p>
        </w:tc>
        <w:tc>
          <w:tcPr>
            <w:tcW w:w="2693" w:type="dxa"/>
          </w:tcPr>
          <w:p w:rsidR="006C7FDB" w:rsidRDefault="00741244">
            <w:pPr>
              <w:spacing w:before="0" w:after="0"/>
              <w:rPr>
                <w:noProof/>
                <w:color w:val="000000"/>
                <w:sz w:val="20"/>
                <w:szCs w:val="20"/>
              </w:rPr>
            </w:pPr>
            <w:r>
              <w:rPr>
                <w:noProof/>
                <w:color w:val="000000"/>
                <w:sz w:val="20"/>
              </w:rPr>
              <w:t>Регламент (ЕО) № 661/2009, последно изменен с Регламент (ЕС) 2015/166;</w:t>
            </w:r>
          </w:p>
          <w:p w:rsidR="006C7FDB" w:rsidRDefault="006C7FDB">
            <w:pPr>
              <w:spacing w:before="0" w:after="0"/>
              <w:rPr>
                <w:noProof/>
                <w:color w:val="000000"/>
                <w:sz w:val="20"/>
                <w:szCs w:val="20"/>
              </w:rPr>
            </w:pPr>
          </w:p>
          <w:p w:rsidR="006C7FDB" w:rsidRDefault="00741244">
            <w:pPr>
              <w:spacing w:before="0" w:after="0"/>
              <w:rPr>
                <w:noProof/>
                <w:color w:val="000000"/>
                <w:sz w:val="20"/>
                <w:szCs w:val="20"/>
              </w:rPr>
            </w:pPr>
            <w:r>
              <w:rPr>
                <w:noProof/>
                <w:color w:val="000000"/>
                <w:sz w:val="20"/>
              </w:rPr>
              <w:t>Регламент (ЕС) № 351/2012 на Комисията.“.</w:t>
            </w:r>
          </w:p>
        </w:tc>
      </w:tr>
    </w:tbl>
    <w:p w:rsidR="006C7FDB" w:rsidRDefault="006C7FDB">
      <w:pPr>
        <w:spacing w:before="0" w:after="0"/>
        <w:rPr>
          <w:noProof/>
          <w:color w:val="000000"/>
          <w:szCs w:val="24"/>
          <w:u w:val="single"/>
        </w:rPr>
      </w:pPr>
    </w:p>
    <w:p w:rsidR="006C7FDB" w:rsidRDefault="006C7FDB">
      <w:pPr>
        <w:spacing w:before="0" w:after="0"/>
        <w:rPr>
          <w:noProof/>
          <w:color w:val="000000"/>
          <w:szCs w:val="24"/>
          <w:u w:val="single"/>
        </w:rPr>
      </w:pPr>
    </w:p>
    <w:p w:rsidR="006C7FDB" w:rsidRDefault="00741244">
      <w:pPr>
        <w:pStyle w:val="Default"/>
        <w:jc w:val="both"/>
        <w:rPr>
          <w:rFonts w:cs="Times New Roman"/>
          <w:i/>
          <w:noProof/>
        </w:rPr>
      </w:pPr>
      <w:r>
        <w:rPr>
          <w:i/>
          <w:noProof/>
        </w:rPr>
        <w:t xml:space="preserve">4. Адаптиране на приложение 3 по отношение на образеца на контролни документи за случайните превози, </w:t>
      </w:r>
      <w:r>
        <w:rPr>
          <w:i/>
          <w:noProof/>
        </w:rPr>
        <w:t>освободени от разрешителни и приложение 5 относно образеца на разрешително за нелиберализираните случайни превози</w:t>
      </w:r>
    </w:p>
    <w:p w:rsidR="006C7FDB" w:rsidRDefault="006C7FDB">
      <w:pPr>
        <w:pStyle w:val="Default"/>
        <w:rPr>
          <w:rFonts w:cs="Times New Roman"/>
          <w:noProof/>
        </w:rPr>
      </w:pPr>
    </w:p>
    <w:p w:rsidR="006C7FDB" w:rsidRDefault="00741244">
      <w:pPr>
        <w:pStyle w:val="Default"/>
        <w:rPr>
          <w:rFonts w:cs="Times New Roman"/>
          <w:noProof/>
          <w:u w:val="single"/>
        </w:rPr>
      </w:pPr>
      <w:r>
        <w:rPr>
          <w:noProof/>
          <w:u w:val="single"/>
        </w:rPr>
        <w:t>В приложения 3 и 5, бележките под линия се заменят със следното:</w:t>
      </w:r>
    </w:p>
    <w:p w:rsidR="006C7FDB" w:rsidRDefault="006C7FDB">
      <w:pPr>
        <w:pStyle w:val="Default"/>
        <w:rPr>
          <w:rFonts w:cs="Times New Roman"/>
          <w:noProof/>
        </w:rPr>
      </w:pPr>
    </w:p>
    <w:p w:rsidR="006C7FDB" w:rsidRDefault="00741244">
      <w:pPr>
        <w:pStyle w:val="Default"/>
        <w:ind w:left="720"/>
        <w:jc w:val="both"/>
        <w:rPr>
          <w:rFonts w:cs="Times New Roman"/>
          <w:noProof/>
        </w:rPr>
      </w:pPr>
      <w:r>
        <w:rPr>
          <w:noProof/>
        </w:rPr>
        <w:t xml:space="preserve">„Следва да бъде допълнено с: Албания (AL), Австрия (A), Белгия (B), бивша </w:t>
      </w:r>
      <w:r>
        <w:rPr>
          <w:noProof/>
        </w:rPr>
        <w:t>югославска република Македония (MK), Босна и Херцеговина (BA), България (BG), Германия (D), Гърция (GR), Дания (DK), Естония (EST), Ирландия (IRL), Испания (E), Италия (I), Кипър (CY), Латвия (LV), Литва (LT), Люксембург (L), Малта (MT), Молдова (MD), Ниде</w:t>
      </w:r>
      <w:r>
        <w:rPr>
          <w:noProof/>
        </w:rPr>
        <w:t>рландия (NL), Обединено кралство (UK), Полша (PL), Португалия (P), Румъния (RO), Словакия (SK), Словения (SLO), Турция (TR), Унгария (H), Украйна (UA), Финландия (FIN), Франция (F), Хърватия (HR), Черна гора (ME), Чешката република (CZ), Швеция (S).“.</w:t>
      </w:r>
    </w:p>
    <w:p w:rsidR="006C7FDB" w:rsidRDefault="006C7FDB">
      <w:pPr>
        <w:pStyle w:val="Default"/>
        <w:rPr>
          <w:rFonts w:cs="Times New Roman"/>
          <w:noProof/>
        </w:rPr>
      </w:pPr>
    </w:p>
    <w:p w:rsidR="006C7FDB" w:rsidRDefault="006C7FDB">
      <w:pPr>
        <w:pStyle w:val="Default"/>
        <w:rPr>
          <w:rFonts w:cs="Times New Roman"/>
          <w:noProof/>
        </w:rPr>
      </w:pPr>
    </w:p>
    <w:p w:rsidR="006C7FDB" w:rsidRDefault="00741244">
      <w:pPr>
        <w:pStyle w:val="Default"/>
        <w:jc w:val="both"/>
        <w:rPr>
          <w:rFonts w:eastAsia="Times New Roman" w:cs="Times New Roman"/>
          <w:i/>
          <w:noProof/>
        </w:rPr>
      </w:pPr>
      <w:r>
        <w:rPr>
          <w:i/>
          <w:noProof/>
        </w:rPr>
        <w:t>5.</w:t>
      </w:r>
      <w:r>
        <w:rPr>
          <w:i/>
          <w:noProof/>
        </w:rPr>
        <w:t xml:space="preserve"> Адаптиране на приложение 5 относно образеца на декларация</w:t>
      </w:r>
    </w:p>
    <w:p w:rsidR="006C7FDB" w:rsidRDefault="006C7FDB">
      <w:pPr>
        <w:pStyle w:val="Default"/>
        <w:rPr>
          <w:rFonts w:eastAsia="Times New Roman" w:cs="Times New Roman"/>
          <w:noProof/>
        </w:rPr>
      </w:pPr>
    </w:p>
    <w:p w:rsidR="006C7FDB" w:rsidRDefault="00741244">
      <w:pPr>
        <w:pStyle w:val="Default"/>
        <w:rPr>
          <w:rFonts w:eastAsia="Times New Roman" w:cs="Times New Roman"/>
          <w:noProof/>
          <w:u w:val="single"/>
        </w:rPr>
      </w:pPr>
      <w:r>
        <w:rPr>
          <w:noProof/>
          <w:u w:val="single"/>
        </w:rPr>
        <w:t>В приложение 5 образецът на декларация се изменя, както следва:</w:t>
      </w:r>
    </w:p>
    <w:p w:rsidR="006C7FDB" w:rsidRDefault="006C7FDB">
      <w:pPr>
        <w:pStyle w:val="Default"/>
        <w:rPr>
          <w:rFonts w:eastAsia="Times New Roman" w:cs="Times New Roman"/>
          <w:noProof/>
        </w:rPr>
      </w:pPr>
    </w:p>
    <w:p w:rsidR="006C7FDB" w:rsidRDefault="00741244">
      <w:pPr>
        <w:pStyle w:val="Default"/>
        <w:rPr>
          <w:rFonts w:eastAsia="Times New Roman" w:cs="Times New Roman"/>
          <w:noProof/>
          <w:u w:val="single"/>
        </w:rPr>
      </w:pPr>
      <w:r>
        <w:rPr>
          <w:noProof/>
          <w:u w:val="single"/>
        </w:rPr>
        <w:t>а) в параграф 1 въвеждащото изречение се заменя със следното:</w:t>
      </w:r>
    </w:p>
    <w:p w:rsidR="006C7FDB" w:rsidRDefault="006C7FDB">
      <w:pPr>
        <w:pStyle w:val="Default"/>
        <w:rPr>
          <w:rFonts w:eastAsia="Times New Roman" w:cs="Times New Roman"/>
          <w:noProof/>
        </w:rPr>
      </w:pPr>
    </w:p>
    <w:p w:rsidR="006C7FDB" w:rsidRDefault="00741244">
      <w:pPr>
        <w:spacing w:before="0" w:after="0"/>
        <w:ind w:left="720"/>
        <w:rPr>
          <w:rFonts w:eastAsia="Times New Roman"/>
          <w:noProof/>
          <w:szCs w:val="24"/>
        </w:rPr>
      </w:pPr>
      <w:r>
        <w:rPr>
          <w:noProof/>
        </w:rPr>
        <w:t>„1.</w:t>
      </w:r>
      <w:r>
        <w:rPr>
          <w:noProof/>
        </w:rPr>
        <w:tab/>
        <w:t xml:space="preserve">„Трите условия, установени в глава I от Регламент (ЕО) № </w:t>
      </w:r>
      <w:r>
        <w:rPr>
          <w:noProof/>
        </w:rPr>
        <w:t>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(ОВ L 300</w:t>
      </w:r>
      <w:r>
        <w:rPr>
          <w:noProof/>
        </w:rPr>
        <w:t>, 14.11.2009 г., стр. 51).“;</w:t>
      </w:r>
    </w:p>
    <w:p w:rsidR="006C7FDB" w:rsidRDefault="006C7FDB">
      <w:pPr>
        <w:pStyle w:val="Default"/>
        <w:rPr>
          <w:rFonts w:cs="Times New Roman"/>
          <w:noProof/>
        </w:rPr>
      </w:pPr>
    </w:p>
    <w:p w:rsidR="006C7FDB" w:rsidRDefault="006C7FDB">
      <w:pPr>
        <w:pStyle w:val="Default"/>
        <w:rPr>
          <w:rFonts w:cs="Times New Roman"/>
          <w:noProof/>
        </w:rPr>
      </w:pPr>
    </w:p>
    <w:p w:rsidR="006C7FDB" w:rsidRDefault="00741244">
      <w:pPr>
        <w:pStyle w:val="Default"/>
        <w:jc w:val="both"/>
        <w:rPr>
          <w:rFonts w:eastAsia="Times New Roman" w:cs="Times New Roman"/>
          <w:noProof/>
          <w:u w:val="single"/>
        </w:rPr>
      </w:pPr>
      <w:r>
        <w:rPr>
          <w:noProof/>
          <w:u w:val="single"/>
        </w:rPr>
        <w:t>б) в параграф 2 втора алинея се заличава.</w:t>
      </w:r>
    </w:p>
    <w:p w:rsidR="006C7FDB" w:rsidRDefault="006C7FDB">
      <w:pPr>
        <w:pStyle w:val="Default"/>
        <w:jc w:val="both"/>
        <w:rPr>
          <w:rFonts w:eastAsia="Times New Roman" w:cs="Times New Roman"/>
          <w:noProof/>
          <w:u w:val="single"/>
        </w:rPr>
      </w:pPr>
    </w:p>
    <w:p w:rsidR="006C7FDB" w:rsidRDefault="006C7FDB">
      <w:pPr>
        <w:pStyle w:val="Default"/>
        <w:jc w:val="both"/>
        <w:rPr>
          <w:rFonts w:eastAsia="Times New Roman" w:cs="Times New Roman"/>
          <w:noProof/>
          <w:u w:val="single"/>
        </w:rPr>
      </w:pPr>
    </w:p>
    <w:p w:rsidR="006C7FDB" w:rsidRDefault="00741244">
      <w:pPr>
        <w:pStyle w:val="Default"/>
        <w:jc w:val="center"/>
        <w:rPr>
          <w:rFonts w:eastAsia="Times New Roman" w:cs="Times New Roman"/>
          <w:noProof/>
        </w:rPr>
      </w:pPr>
      <w:r>
        <w:rPr>
          <w:noProof/>
        </w:rPr>
        <w:t>------</w:t>
      </w:r>
    </w:p>
    <w:sectPr w:rsidR="006C7FDB">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DB" w:rsidRDefault="00741244">
      <w:pPr>
        <w:spacing w:before="0" w:after="0"/>
      </w:pPr>
      <w:r>
        <w:separator/>
      </w:r>
    </w:p>
  </w:endnote>
  <w:endnote w:type="continuationSeparator" w:id="0">
    <w:p w:rsidR="006C7FDB" w:rsidRDefault="007412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DB" w:rsidRDefault="00741244">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DB" w:rsidRDefault="00741244">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DB" w:rsidRDefault="006C7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DB" w:rsidRDefault="00741244">
      <w:pPr>
        <w:spacing w:before="0" w:after="0"/>
      </w:pPr>
      <w:r>
        <w:separator/>
      </w:r>
    </w:p>
  </w:footnote>
  <w:footnote w:type="continuationSeparator" w:id="0">
    <w:p w:rsidR="006C7FDB" w:rsidRDefault="00741244">
      <w:pPr>
        <w:spacing w:before="0" w:after="0"/>
      </w:pPr>
      <w:r>
        <w:continuationSeparator/>
      </w:r>
    </w:p>
  </w:footnote>
  <w:footnote w:id="1">
    <w:p w:rsidR="006C7FDB" w:rsidRDefault="00741244">
      <w:pPr>
        <w:pStyle w:val="FootnoteText"/>
        <w:rPr>
          <w:lang w:val="pl-PL"/>
        </w:rPr>
      </w:pPr>
      <w:r>
        <w:rPr>
          <w:rStyle w:val="FootnoteReference"/>
        </w:rPr>
        <w:footnoteRef/>
      </w:r>
      <w:r>
        <w:tab/>
      </w:r>
      <w:r>
        <w:rPr>
          <w:rStyle w:val="FootnoteReference"/>
        </w:rPr>
        <w:footnoteRef/>
      </w:r>
      <w:r>
        <w:t>ОВ L 321, 26.11.2002 г., стр. 13.</w:t>
      </w:r>
    </w:p>
  </w:footnote>
  <w:footnote w:id="2">
    <w:p w:rsidR="006C7FDB" w:rsidRDefault="00741244">
      <w:pPr>
        <w:pStyle w:val="FootnoteText"/>
        <w:rPr>
          <w:lang w:val="pl-PL"/>
        </w:rPr>
      </w:pPr>
      <w:r>
        <w:rPr>
          <w:rStyle w:val="FootnoteReference"/>
        </w:rPr>
        <w:footnoteRef/>
      </w:r>
      <w:r>
        <w:tab/>
      </w:r>
      <w:r>
        <w:rPr>
          <w:rStyle w:val="FootnoteReference"/>
        </w:rPr>
        <w:footnoteRef/>
      </w:r>
      <w:r>
        <w:t>ОВ L 8, 12.1.2012 г., стр. 38.</w:t>
      </w:r>
    </w:p>
  </w:footnote>
  <w:footnote w:id="3">
    <w:p w:rsidR="006C7FDB" w:rsidRDefault="00741244">
      <w:pPr>
        <w:pStyle w:val="FootnoteText"/>
        <w:rPr>
          <w:lang w:val="pl-PL"/>
        </w:rPr>
      </w:pPr>
      <w:r>
        <w:rPr>
          <w:rStyle w:val="FootnoteReference"/>
        </w:rPr>
        <w:footnoteRef/>
      </w:r>
      <w:r>
        <w:rPr>
          <w:lang w:val="pl-PL"/>
        </w:rPr>
        <w:tab/>
      </w:r>
      <w:r>
        <w:rPr>
          <w:rStyle w:val="FootnoteReference"/>
        </w:rPr>
        <w:footnoteRef/>
      </w:r>
      <w:r>
        <w:t>ОВ</w:t>
      </w:r>
      <w:r>
        <w:rPr>
          <w:lang w:val="pl-PL"/>
        </w:rPr>
        <w:t xml:space="preserve"> L 8, 12.1.2012 </w:t>
      </w:r>
      <w:r>
        <w:t>г</w:t>
      </w:r>
      <w:r>
        <w:rPr>
          <w:lang w:val="pl-PL"/>
        </w:rPr>
        <w:t xml:space="preserve">., </w:t>
      </w:r>
      <w:proofErr w:type="spellStart"/>
      <w:r>
        <w:t>стр</w:t>
      </w:r>
      <w:proofErr w:type="spellEnd"/>
      <w:r>
        <w:rPr>
          <w:lang w:val="pl-PL"/>
        </w:rPr>
        <w:t>. 46.</w:t>
      </w:r>
    </w:p>
  </w:footnote>
  <w:footnote w:id="4">
    <w:p w:rsidR="006C7FDB" w:rsidRDefault="00741244">
      <w:pPr>
        <w:pStyle w:val="FootnoteText"/>
        <w:rPr>
          <w:lang w:val="pl-PL"/>
        </w:rPr>
      </w:pPr>
      <w:r>
        <w:rPr>
          <w:rStyle w:val="FootnoteReference"/>
        </w:rPr>
        <w:footnoteRef/>
      </w:r>
      <w:r>
        <w:rPr>
          <w:lang w:val="pl-PL"/>
        </w:rPr>
        <w:tab/>
      </w:r>
      <w:r>
        <w:t>Адаптирането</w:t>
      </w:r>
      <w:r>
        <w:rPr>
          <w:lang w:val="pl-PL"/>
        </w:rPr>
        <w:t xml:space="preserve"> </w:t>
      </w:r>
      <w:r>
        <w:t>на</w:t>
      </w:r>
      <w:r>
        <w:rPr>
          <w:lang w:val="pl-PL"/>
        </w:rPr>
        <w:t xml:space="preserve"> </w:t>
      </w:r>
      <w:r>
        <w:t>актовете</w:t>
      </w:r>
      <w:r>
        <w:rPr>
          <w:lang w:val="pl-PL"/>
        </w:rPr>
        <w:t xml:space="preserve"> </w:t>
      </w:r>
      <w:r>
        <w:t>отчита</w:t>
      </w:r>
      <w:r>
        <w:rPr>
          <w:lang w:val="pl-PL"/>
        </w:rPr>
        <w:t xml:space="preserve"> </w:t>
      </w:r>
      <w:r>
        <w:t>новите</w:t>
      </w:r>
      <w:r>
        <w:rPr>
          <w:lang w:val="pl-PL"/>
        </w:rPr>
        <w:t xml:space="preserve"> </w:t>
      </w:r>
      <w:r>
        <w:t>мерки</w:t>
      </w:r>
      <w:r>
        <w:rPr>
          <w:lang w:val="pl-PL"/>
        </w:rPr>
        <w:t xml:space="preserve">, </w:t>
      </w:r>
      <w:r>
        <w:t>приети</w:t>
      </w:r>
      <w:r>
        <w:rPr>
          <w:lang w:val="pl-PL"/>
        </w:rPr>
        <w:t xml:space="preserve"> </w:t>
      </w:r>
      <w:r>
        <w:t>от</w:t>
      </w:r>
      <w:r>
        <w:rPr>
          <w:lang w:val="pl-PL"/>
        </w:rPr>
        <w:t xml:space="preserve"> </w:t>
      </w:r>
      <w:r>
        <w:t>Европейския</w:t>
      </w:r>
      <w:r>
        <w:rPr>
          <w:lang w:val="pl-PL"/>
        </w:rPr>
        <w:t xml:space="preserve"> </w:t>
      </w:r>
      <w:r>
        <w:t>съюз</w:t>
      </w:r>
      <w:r>
        <w:rPr>
          <w:lang w:val="pl-PL"/>
        </w:rPr>
        <w:t xml:space="preserve"> </w:t>
      </w:r>
      <w:r>
        <w:t>до</w:t>
      </w:r>
      <w:r>
        <w:rPr>
          <w:lang w:val="pl-PL"/>
        </w:rPr>
        <w:t xml:space="preserve"> 30 </w:t>
      </w:r>
      <w:r>
        <w:t>юни</w:t>
      </w:r>
      <w:r>
        <w:rPr>
          <w:lang w:val="pl-PL"/>
        </w:rPr>
        <w:t xml:space="preserve"> 2015 </w:t>
      </w:r>
      <w:r>
        <w:t>г</w:t>
      </w:r>
      <w:r>
        <w:rPr>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70C1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0E0B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6056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4C3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6C1B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EE8D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D6C760"/>
    <w:lvl w:ilvl="0">
      <w:start w:val="1"/>
      <w:numFmt w:val="decimal"/>
      <w:pStyle w:val="ListNumber"/>
      <w:lvlText w:val="%1."/>
      <w:lvlJc w:val="left"/>
      <w:pPr>
        <w:tabs>
          <w:tab w:val="num" w:pos="360"/>
        </w:tabs>
        <w:ind w:left="360" w:hanging="360"/>
      </w:pPr>
    </w:lvl>
  </w:abstractNum>
  <w:abstractNum w:abstractNumId="7">
    <w:nsid w:val="FFFFFF89"/>
    <w:multiLevelType w:val="singleLevel"/>
    <w:tmpl w:val="CF4E7B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hideGrammaticalErrors/>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1 12:14: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7"/>
    <w:docVar w:name="DQCResult_ModifiedMarkers" w:val="0;0"/>
    <w:docVar w:name="DQCResult_ModifiedNumbering" w:val="0;0"/>
    <w:docVar w:name="DQCResult_Objects" w:val="0;0"/>
    <w:docVar w:name="DQCResult_Sections" w:val="0;0"/>
    <w:docVar w:name="DQCResult_StructureCheck" w:val="0;0"/>
    <w:docVar w:name="DQCResult_SuperfluousWhitespace" w:val="0;102"/>
    <w:docVar w:name="DQCResult_UnknownFonts" w:val="0;0"/>
    <w:docVar w:name="DQCResult_UnknownStyles" w:val="0;84"/>
    <w:docVar w:name="DQCStatus" w:val="Yellow"/>
    <w:docVar w:name="DQCVersion" w:val="3"/>
    <w:docVar w:name="DQCWithWarnings" w:val="0"/>
    <w:docVar w:name="LW_ACCOMPAGNANT.CP" w:val="\u1082?\u1098?\u1084? \u1055?\u1088?\u1077?\u1076?\u1083?\u1086?\u1078?\u1077?\u1085?\u1080?\u1077?\u1090?\u1086? \u1079?\u1072?"/>
    <w:docVar w:name="LW_ANNEX_NBR_FIRST" w:val="1"/>
    <w:docVar w:name="LW_ANNEX_NBR_LAST" w:val="1"/>
    <w:docVar w:name="LW_CONFIDENCE" w:val=" "/>
    <w:docVar w:name="LW_CONST_RESTREINT_UE" w:val="RESTREINT UE"/>
    <w:docVar w:name="LW_CORRIGENDUM" w:val="&lt;UNUSED&gt;"/>
    <w:docVar w:name="LW_COVERPAGE_GUID" w:val="61F17B36718848C98CD9881331D0D959"/>
    <w:docVar w:name="LW_CROSSREFERENCE" w:val="&lt;UNUSED&gt;"/>
    <w:docVar w:name="LW_DocType" w:val="ANNEX"/>
    <w:docVar w:name="LW_EMISSION" w:val="18.3.2016"/>
    <w:docVar w:name="LW_EMISSION_ISODATE" w:val="2016-03-18"/>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u1098?\u1074? \u1074?\u1088?\u1098?\u1079?\u1082?\u1072? \u1089? \u1087?\u1088?\u1086?\u1077?\u1082?\u1090? \u1079?\u1072? \u1056?\u1077?\u1096?\u1077?\u1085?\u1080?\u1077? \u8470? 1/2016 \u1085?\u1072? \u1057?\u1084?\u1077?\u1089?\u1077?\u1085?\u1080?\u1103? \u1082?\u1086?\u1084?\u1080?\u1090?\u1077?\u1090?, \u1089?\u1098?\u1079?\u1076?\u1072?\u1076?\u1077?\u1085? \u1089?\u1098?\u1075?\u1083?\u1072?\u1089?\u1085?\u1086?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w:docVar w:name="LW_PART_NBR" w:val="1"/>
    <w:docVar w:name="LW_PART_NBR_TOTAL" w:val="1"/>
    <w:docVar w:name="LW_REF.INST.NEW" w:val="COM"/>
    <w:docVar w:name="LW_REF.INST.NEW_ADOPTED" w:val="final"/>
    <w:docVar w:name="LW_REF.INST.NEW_TEXT" w:val="(2016) 156"/>
    <w:docVar w:name="LW_REF.INTERNE" w:val="&lt;UNUSED&gt;"/>
    <w:docVar w:name="LW_SUPERTITRE" w:val="&lt;UNUSED&gt;"/>
    <w:docVar w:name="LW_TITRE.OBJ.CP" w:val="&lt;UNUSED&gt;"/>
    <w:docVar w:name="LW_TYPE.DOC.CP" w:val="\u1055?\u1056?\u1048?\u1051?\u1054?\u1046?\u1045?\u1053?\u1048?\u1045?"/>
    <w:docVar w:name="LW_TYPEACTEPRINCIPAL.CP" w:val="\u1056?\u1077?\u1096?\u1077?\u1085?\u1080?\u1077? \u1085?\u1072? \u1057?\u1098?\u1074?\u1077?\u1090?\u1072?"/>
  </w:docVars>
  <w:rsids>
    <w:rsidRoot w:val="006C7FDB"/>
    <w:rsid w:val="006C7FDB"/>
    <w:rsid w:val="0074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normal2">
    <w:name w:val="normal2"/>
    <w:basedOn w:val="Normal"/>
    <w:pPr>
      <w:spacing w:after="0" w:line="312" w:lineRule="atLeas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character" w:styleId="Hyperlink">
    <w:name w:val="Hyperlink"/>
    <w:basedOn w:val="DefaultParagraphFont"/>
    <w:uiPriority w:val="99"/>
    <w:unhideWhenUsed/>
    <w:rPr>
      <w:strike w:val="0"/>
      <w:dstrike w:val="0"/>
      <w:color w:val="3366CC"/>
      <w:u w:val="none"/>
      <w:effect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odyText2">
    <w:name w:val="Body Text 2"/>
    <w:basedOn w:val="Normal"/>
    <w:link w:val="BodyText2Char"/>
    <w:uiPriority w:val="99"/>
    <w:unhideWhenUsed/>
    <w:pPr>
      <w:spacing w:line="480" w:lineRule="auto"/>
    </w:pPr>
  </w:style>
  <w:style w:type="character" w:customStyle="1" w:styleId="BodyText2Char">
    <w:name w:val="Body Text 2 Char"/>
    <w:basedOn w:val="DefaultParagraphFont"/>
    <w:link w:val="BodyText2"/>
    <w:uiPriority w:val="99"/>
    <w:rPr>
      <w:rFonts w:ascii="Times New Roman" w:hAnsi="Times New Roman" w:cs="Times New Roman"/>
      <w:sz w:val="24"/>
      <w:lang w:val="bg-BG"/>
    </w:r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bg-BG"/>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bg-BG"/>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bg-BG"/>
    </w:rPr>
  </w:style>
  <w:style w:type="paragraph" w:customStyle="1" w:styleId="tbl-txt2">
    <w:name w:val="tbl-txt2"/>
    <w:basedOn w:val="Normal"/>
    <w:pPr>
      <w:spacing w:before="60" w:after="60" w:line="312" w:lineRule="atLeast"/>
      <w:jc w:val="left"/>
    </w:pPr>
    <w:rPr>
      <w:rFonts w:eastAsia="Times New Roman"/>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normal2">
    <w:name w:val="normal2"/>
    <w:basedOn w:val="Normal"/>
    <w:pPr>
      <w:spacing w:after="0" w:line="312" w:lineRule="atLeas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character" w:styleId="Hyperlink">
    <w:name w:val="Hyperlink"/>
    <w:basedOn w:val="DefaultParagraphFont"/>
    <w:uiPriority w:val="99"/>
    <w:unhideWhenUsed/>
    <w:rPr>
      <w:strike w:val="0"/>
      <w:dstrike w:val="0"/>
      <w:color w:val="3366CC"/>
      <w:u w:val="none"/>
      <w:effect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odyText2">
    <w:name w:val="Body Text 2"/>
    <w:basedOn w:val="Normal"/>
    <w:link w:val="BodyText2Char"/>
    <w:uiPriority w:val="99"/>
    <w:unhideWhenUsed/>
    <w:pPr>
      <w:spacing w:line="480" w:lineRule="auto"/>
    </w:pPr>
  </w:style>
  <w:style w:type="character" w:customStyle="1" w:styleId="BodyText2Char">
    <w:name w:val="Body Text 2 Char"/>
    <w:basedOn w:val="DefaultParagraphFont"/>
    <w:link w:val="BodyText2"/>
    <w:uiPriority w:val="99"/>
    <w:rPr>
      <w:rFonts w:ascii="Times New Roman" w:hAnsi="Times New Roman" w:cs="Times New Roman"/>
      <w:sz w:val="24"/>
      <w:lang w:val="bg-BG"/>
    </w:r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bg-BG"/>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bg-BG"/>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bg-BG"/>
    </w:rPr>
  </w:style>
  <w:style w:type="paragraph" w:customStyle="1" w:styleId="tbl-txt2">
    <w:name w:val="tbl-txt2"/>
    <w:basedOn w:val="Normal"/>
    <w:pPr>
      <w:spacing w:before="60" w:after="60" w:line="312" w:lineRule="atLeast"/>
      <w:jc w:val="left"/>
    </w:pPr>
    <w:rPr>
      <w:rFonts w:eastAsia="Times New Roman"/>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50309">
      <w:bodyDiv w:val="1"/>
      <w:marLeft w:val="0"/>
      <w:marRight w:val="0"/>
      <w:marTop w:val="0"/>
      <w:marBottom w:val="0"/>
      <w:divBdr>
        <w:top w:val="none" w:sz="0" w:space="0" w:color="auto"/>
        <w:left w:val="none" w:sz="0" w:space="0" w:color="auto"/>
        <w:bottom w:val="none" w:sz="0" w:space="0" w:color="auto"/>
        <w:right w:val="none" w:sz="0" w:space="0" w:color="auto"/>
      </w:divBdr>
      <w:divsChild>
        <w:div w:id="815031961">
          <w:marLeft w:val="0"/>
          <w:marRight w:val="0"/>
          <w:marTop w:val="0"/>
          <w:marBottom w:val="0"/>
          <w:divBdr>
            <w:top w:val="none" w:sz="0" w:space="0" w:color="auto"/>
            <w:left w:val="none" w:sz="0" w:space="0" w:color="auto"/>
            <w:bottom w:val="none" w:sz="0" w:space="0" w:color="auto"/>
            <w:right w:val="none" w:sz="0" w:space="0" w:color="auto"/>
          </w:divBdr>
          <w:divsChild>
            <w:div w:id="506557403">
              <w:marLeft w:val="0"/>
              <w:marRight w:val="0"/>
              <w:marTop w:val="0"/>
              <w:marBottom w:val="0"/>
              <w:divBdr>
                <w:top w:val="none" w:sz="0" w:space="0" w:color="auto"/>
                <w:left w:val="none" w:sz="0" w:space="0" w:color="auto"/>
                <w:bottom w:val="none" w:sz="0" w:space="0" w:color="auto"/>
                <w:right w:val="none" w:sz="0" w:space="0" w:color="auto"/>
              </w:divBdr>
              <w:divsChild>
                <w:div w:id="1559976226">
                  <w:marLeft w:val="0"/>
                  <w:marRight w:val="0"/>
                  <w:marTop w:val="0"/>
                  <w:marBottom w:val="0"/>
                  <w:divBdr>
                    <w:top w:val="none" w:sz="0" w:space="0" w:color="auto"/>
                    <w:left w:val="none" w:sz="0" w:space="0" w:color="auto"/>
                    <w:bottom w:val="none" w:sz="0" w:space="0" w:color="auto"/>
                    <w:right w:val="none" w:sz="0" w:space="0" w:color="auto"/>
                  </w:divBdr>
                  <w:divsChild>
                    <w:div w:id="622536919">
                      <w:marLeft w:val="1"/>
                      <w:marRight w:val="1"/>
                      <w:marTop w:val="0"/>
                      <w:marBottom w:val="0"/>
                      <w:divBdr>
                        <w:top w:val="none" w:sz="0" w:space="0" w:color="auto"/>
                        <w:left w:val="none" w:sz="0" w:space="0" w:color="auto"/>
                        <w:bottom w:val="none" w:sz="0" w:space="0" w:color="auto"/>
                        <w:right w:val="none" w:sz="0" w:space="0" w:color="auto"/>
                      </w:divBdr>
                      <w:divsChild>
                        <w:div w:id="469136403">
                          <w:marLeft w:val="0"/>
                          <w:marRight w:val="0"/>
                          <w:marTop w:val="0"/>
                          <w:marBottom w:val="0"/>
                          <w:divBdr>
                            <w:top w:val="none" w:sz="0" w:space="0" w:color="auto"/>
                            <w:left w:val="none" w:sz="0" w:space="0" w:color="auto"/>
                            <w:bottom w:val="none" w:sz="0" w:space="0" w:color="auto"/>
                            <w:right w:val="none" w:sz="0" w:space="0" w:color="auto"/>
                          </w:divBdr>
                          <w:divsChild>
                            <w:div w:id="1607811688">
                              <w:marLeft w:val="0"/>
                              <w:marRight w:val="0"/>
                              <w:marTop w:val="0"/>
                              <w:marBottom w:val="360"/>
                              <w:divBdr>
                                <w:top w:val="none" w:sz="0" w:space="0" w:color="auto"/>
                                <w:left w:val="none" w:sz="0" w:space="0" w:color="auto"/>
                                <w:bottom w:val="none" w:sz="0" w:space="0" w:color="auto"/>
                                <w:right w:val="none" w:sz="0" w:space="0" w:color="auto"/>
                              </w:divBdr>
                              <w:divsChild>
                                <w:div w:id="183054375">
                                  <w:marLeft w:val="0"/>
                                  <w:marRight w:val="0"/>
                                  <w:marTop w:val="0"/>
                                  <w:marBottom w:val="0"/>
                                  <w:divBdr>
                                    <w:top w:val="none" w:sz="0" w:space="0" w:color="auto"/>
                                    <w:left w:val="none" w:sz="0" w:space="0" w:color="auto"/>
                                    <w:bottom w:val="none" w:sz="0" w:space="0" w:color="auto"/>
                                    <w:right w:val="none" w:sz="0" w:space="0" w:color="auto"/>
                                  </w:divBdr>
                                  <w:divsChild>
                                    <w:div w:id="220869259">
                                      <w:marLeft w:val="0"/>
                                      <w:marRight w:val="0"/>
                                      <w:marTop w:val="0"/>
                                      <w:marBottom w:val="0"/>
                                      <w:divBdr>
                                        <w:top w:val="none" w:sz="0" w:space="0" w:color="auto"/>
                                        <w:left w:val="none" w:sz="0" w:space="0" w:color="auto"/>
                                        <w:bottom w:val="none" w:sz="0" w:space="0" w:color="auto"/>
                                        <w:right w:val="none" w:sz="0" w:space="0" w:color="auto"/>
                                      </w:divBdr>
                                      <w:divsChild>
                                        <w:div w:id="1159075135">
                                          <w:marLeft w:val="0"/>
                                          <w:marRight w:val="0"/>
                                          <w:marTop w:val="0"/>
                                          <w:marBottom w:val="0"/>
                                          <w:divBdr>
                                            <w:top w:val="none" w:sz="0" w:space="0" w:color="auto"/>
                                            <w:left w:val="none" w:sz="0" w:space="0" w:color="auto"/>
                                            <w:bottom w:val="none" w:sz="0" w:space="0" w:color="auto"/>
                                            <w:right w:val="none" w:sz="0" w:space="0" w:color="auto"/>
                                          </w:divBdr>
                                          <w:divsChild>
                                            <w:div w:id="1526362478">
                                              <w:marLeft w:val="0"/>
                                              <w:marRight w:val="0"/>
                                              <w:marTop w:val="0"/>
                                              <w:marBottom w:val="0"/>
                                              <w:divBdr>
                                                <w:top w:val="none" w:sz="0" w:space="0" w:color="auto"/>
                                                <w:left w:val="none" w:sz="0" w:space="0" w:color="auto"/>
                                                <w:bottom w:val="none" w:sz="0" w:space="0" w:color="auto"/>
                                                <w:right w:val="none" w:sz="0" w:space="0" w:color="auto"/>
                                              </w:divBdr>
                                              <w:divsChild>
                                                <w:div w:id="1033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274599">
      <w:bodyDiv w:val="1"/>
      <w:marLeft w:val="0"/>
      <w:marRight w:val="0"/>
      <w:marTop w:val="0"/>
      <w:marBottom w:val="0"/>
      <w:divBdr>
        <w:top w:val="none" w:sz="0" w:space="0" w:color="auto"/>
        <w:left w:val="none" w:sz="0" w:space="0" w:color="auto"/>
        <w:bottom w:val="none" w:sz="0" w:space="0" w:color="auto"/>
        <w:right w:val="none" w:sz="0" w:space="0" w:color="auto"/>
      </w:divBdr>
    </w:div>
    <w:div w:id="1478955975">
      <w:bodyDiv w:val="1"/>
      <w:marLeft w:val="0"/>
      <w:marRight w:val="0"/>
      <w:marTop w:val="0"/>
      <w:marBottom w:val="0"/>
      <w:divBdr>
        <w:top w:val="none" w:sz="0" w:space="0" w:color="auto"/>
        <w:left w:val="none" w:sz="0" w:space="0" w:color="auto"/>
        <w:bottom w:val="none" w:sz="0" w:space="0" w:color="auto"/>
        <w:right w:val="none" w:sz="0" w:space="0" w:color="auto"/>
      </w:divBdr>
    </w:div>
    <w:div w:id="1591309591">
      <w:bodyDiv w:val="1"/>
      <w:marLeft w:val="0"/>
      <w:marRight w:val="0"/>
      <w:marTop w:val="0"/>
      <w:marBottom w:val="0"/>
      <w:divBdr>
        <w:top w:val="none" w:sz="0" w:space="0" w:color="auto"/>
        <w:left w:val="none" w:sz="0" w:space="0" w:color="auto"/>
        <w:bottom w:val="none" w:sz="0" w:space="0" w:color="auto"/>
        <w:right w:val="none" w:sz="0" w:space="0" w:color="auto"/>
      </w:divBdr>
    </w:div>
    <w:div w:id="21456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BG/TXT/HTML/?uri=CELEX:32009L0040&amp;from=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lex.europa.eu/legal-content/BG/TXT/HTML/?uri=CELEX:31996L0053&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DF59-D6BC-4C19-A049-7FA8F54F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14</Pages>
  <Words>3832</Words>
  <Characters>19968</Characters>
  <Application>Microsoft Office Word</Application>
  <DocSecurity>0</DocSecurity>
  <Lines>570</Lines>
  <Paragraphs>185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BARTH Carmen (SG)</cp:lastModifiedBy>
  <cp:revision>8</cp:revision>
  <cp:lastPrinted>2015-11-18T11:29:00Z</cp:lastPrinted>
  <dcterms:created xsi:type="dcterms:W3CDTF">2016-03-07T16:33:00Z</dcterms:created>
  <dcterms:modified xsi:type="dcterms:W3CDTF">2016-03-11T13:02:00Z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