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090BBF1E826E4B799F7AEA309207C9E6" style="width:450.35pt;height:379.7pt">
            <v:imagedata r:id="rId8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/>
        <w:jc w:val="center"/>
        <w:rPr>
          <w:rFonts w:ascii="Times New Roman" w:hAnsi="Times New Roman" w:cs="Times New Roman"/>
          <w:b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Приложение I: Премествания от Гърция до 15 март 2016</w:t>
      </w:r>
      <w:r>
        <w:rPr>
          <w:rFonts w:ascii="Times New Roman" w:hAnsi="Times New Roman"/>
          <w:b/>
          <w:noProof/>
          <w:lang w:val="en-GB"/>
        </w:rPr>
        <w:t> </w:t>
      </w:r>
      <w:r>
        <w:rPr>
          <w:rFonts w:ascii="Times New Roman" w:hAnsi="Times New Roman"/>
          <w:b/>
          <w:noProof/>
        </w:rPr>
        <w:t>г.</w:t>
      </w:r>
    </w:p>
    <w:p>
      <w:pPr>
        <w:spacing w:after="0"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</w:p>
    <w:p>
      <w:pPr>
        <w:spacing w:after="0"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2414"/>
        <w:gridCol w:w="2471"/>
        <w:gridCol w:w="3348"/>
      </w:tblGrid>
      <w:tr>
        <w:trPr>
          <w:trHeight w:val="315"/>
          <w:jc w:val="center"/>
        </w:trPr>
        <w:tc>
          <w:tcPr>
            <w:tcW w:w="2356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Държава членка</w:t>
            </w:r>
          </w:p>
        </w:tc>
        <w:tc>
          <w:tcPr>
            <w:tcW w:w="2414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Официално поет ангажимент за премествания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</w:rPr>
              <w:footnoteReference w:id="1"/>
            </w:r>
          </w:p>
        </w:tc>
        <w:tc>
          <w:tcPr>
            <w:tcW w:w="2471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Реално преместени лица</w:t>
            </w:r>
          </w:p>
        </w:tc>
        <w:tc>
          <w:tcPr>
            <w:tcW w:w="3348" w:type="dxa"/>
            <w:shd w:val="clear" w:color="auto" w:fill="EAF1DD" w:themeFill="accent3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Правен ангажимент, предвиден в решенията на Съвета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Австрия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  <w:sz w:val="20"/>
              </w:rPr>
              <w:footnoteReference w:id="2"/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1491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Белгия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2415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България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160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831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Хърватия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594</w:t>
            </w:r>
          </w:p>
        </w:tc>
      </w:tr>
      <w:tr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Кипър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65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181</w:t>
            </w:r>
          </w:p>
        </w:tc>
      </w:tr>
      <w:tr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Чешка република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1655</w:t>
            </w:r>
          </w:p>
        </w:tc>
      </w:tr>
      <w:tr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Естония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23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204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Финландия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170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77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1299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Франция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570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242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12599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Германия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37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17209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Унгария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988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Исландия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Ирландия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240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Латвия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26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295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Лихтенщайн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Литва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80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420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Люксембург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30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309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Малта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78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Нидерландия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150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48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3797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Норвегия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Полша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65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4321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Португалия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330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84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1778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Румъния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255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15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2572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Словакия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652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Словения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349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Испания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150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6647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Швеция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  <w:sz w:val="20"/>
              </w:rPr>
              <w:footnoteReference w:id="3"/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2378</w:t>
            </w: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Швейцария</w:t>
            </w:r>
          </w:p>
        </w:tc>
        <w:tc>
          <w:tcPr>
            <w:tcW w:w="2414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>
        <w:trPr>
          <w:trHeight w:val="315"/>
          <w:jc w:val="center"/>
        </w:trPr>
        <w:tc>
          <w:tcPr>
            <w:tcW w:w="2356" w:type="dxa"/>
            <w:shd w:val="clear" w:color="auto" w:fill="CCC0D9" w:themeFill="accent4" w:themeFillTint="66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ОБЩО</w:t>
            </w:r>
          </w:p>
        </w:tc>
        <w:tc>
          <w:tcPr>
            <w:tcW w:w="2414" w:type="dxa"/>
            <w:shd w:val="clear" w:color="auto" w:fill="CCC0D9" w:themeFill="accent4" w:themeFillTint="66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2 250</w:t>
            </w:r>
          </w:p>
        </w:tc>
        <w:tc>
          <w:tcPr>
            <w:tcW w:w="2471" w:type="dxa"/>
            <w:shd w:val="clear" w:color="auto" w:fill="CCC0D9" w:themeFill="accent4" w:themeFillTint="66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569</w:t>
            </w:r>
          </w:p>
        </w:tc>
        <w:tc>
          <w:tcPr>
            <w:tcW w:w="3348" w:type="dxa"/>
            <w:shd w:val="clear" w:color="auto" w:fill="CCC0D9" w:themeFill="accent4" w:themeFillTint="66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63 302</w:t>
            </w:r>
          </w:p>
        </w:tc>
      </w:tr>
    </w:tbl>
    <w:p>
      <w:pPr>
        <w:rPr>
          <w:rFonts w:ascii="Times New Roman" w:hAnsi="Times New Roman" w:cs="Times New Roman"/>
          <w:noProof/>
          <w:sz w:val="16"/>
          <w:szCs w:val="16"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vertAlign w:val="superscript"/>
        </w:rPr>
        <w:footnoteRef/>
      </w:r>
      <w:r>
        <w:rPr>
          <w:rFonts w:ascii="Times New Roman" w:hAnsi="Times New Roman"/>
          <w:sz w:val="16"/>
        </w:rPr>
        <w:t xml:space="preserve">     Данни, предадени чрез DubliNet съгласно член 5, параграф 2 от Решението на Съвета. </w:t>
      </w:r>
    </w:p>
  </w:footnote>
  <w:footnote w:id="2">
    <w:p>
      <w:pPr>
        <w:pStyle w:val="Default"/>
        <w:ind w:left="284" w:hanging="284"/>
        <w:jc w:val="both"/>
        <w:rPr>
          <w:color w:val="auto"/>
          <w:sz w:val="16"/>
          <w:szCs w:val="16"/>
        </w:rPr>
      </w:pPr>
      <w:r>
        <w:rPr>
          <w:rStyle w:val="FootnoteReference"/>
          <w:color w:val="auto"/>
          <w:sz w:val="16"/>
        </w:rPr>
        <w:footnoteRef/>
      </w:r>
      <w:r>
        <w:rPr>
          <w:sz w:val="16"/>
        </w:rPr>
        <w:t xml:space="preserve"> </w:t>
      </w:r>
      <w:r>
        <w:tab/>
      </w:r>
      <w:r>
        <w:rPr>
          <w:color w:val="auto"/>
          <w:sz w:val="16"/>
        </w:rPr>
        <w:t>Предложение на Комисията за спиране за една година на 30</w:t>
      </w:r>
      <w:r>
        <w:rPr>
          <w:color w:val="auto"/>
          <w:sz w:val="16"/>
          <w:lang w:val="en-GB"/>
        </w:rPr>
        <w:t> </w:t>
      </w:r>
      <w:r>
        <w:rPr>
          <w:color w:val="auto"/>
          <w:sz w:val="16"/>
        </w:rPr>
        <w:t>% от задълженията на Австрия съгласно решенията за преместване (COM(2016) 80 final). Прието на 10 март 2016</w:t>
      </w:r>
      <w:r>
        <w:rPr>
          <w:color w:val="auto"/>
          <w:sz w:val="16"/>
          <w:lang w:val="en-GB"/>
        </w:rPr>
        <w:t> </w:t>
      </w:r>
      <w:r>
        <w:rPr>
          <w:color w:val="auto"/>
          <w:sz w:val="16"/>
        </w:rPr>
        <w:t>г.</w:t>
      </w:r>
    </w:p>
  </w:footnote>
  <w:footnote w:id="3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Предложение на Комисията за пълно спиране за една година на задълженията на Швеция съгласно решенията за преместване (COM(2015) 677 final) — още в процес на обсъждане от Съвета и Парламента.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090BBF1E826E4B799F7AEA309207C9E6"/>
    <w:docVar w:name="LW_CROSSREFERENCE" w:val="&lt;UNUSED&gt;"/>
    <w:docVar w:name="LW_DocType" w:val="NORMAL"/>
    <w:docVar w:name="LW_EMISSION" w:val="16.3.2016"/>
    <w:docVar w:name="LW_EMISSION_ISODATE" w:val="2016-03-16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5?\u1098?\u1088?\u1074?\u1080? \u1076?\u1086?\u1082?\u1083?\u1072?\u1076? \u1079?\u1072? \u1087?\u1088?\u1077?\u1084?\u1077?\u1089?\u1090?\u1074?\u1072?\u1085?\u1077?\u1090?\u1086? \u1080? \u1087?\u1088?\u1077?\u1079?\u1072?\u1089?\u1077?\u1083?\u1074?\u1072?\u1085?\u1077?\u1090?\u1086?"/>
    <w:docVar w:name="LW_PART_NBR" w:val="1"/>
    <w:docVar w:name="LW_PART_NBR_TOTAL" w:val="1"/>
    <w:docVar w:name="LW_REF.INST.NEW" w:val="COM"/>
    <w:docVar w:name="LW_REF.INST.NEW_ADOPTED" w:val="final"/>
    <w:docVar w:name="LW_REF.INST.NEW_TEXT" w:val="(2016) 165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bg-BG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bg-BG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Pr>
      <w:rFonts w:asciiTheme="minorHAnsi" w:eastAsiaTheme="minorHAnsi" w:hAnsiTheme="minorHAnsi" w:cstheme="minorBidi"/>
      <w:sz w:val="22"/>
      <w:szCs w:val="22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bg-BG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bg-BG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Pr>
      <w:rFonts w:asciiTheme="minorHAnsi" w:eastAsiaTheme="minorHAnsi" w:hAnsiTheme="minorHAnsi" w:cstheme="minorBidi"/>
      <w:sz w:val="22"/>
      <w:szCs w:val="22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BE64A-01CF-4D77-A1DF-85CDA353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129</Words>
  <Characters>602</Characters>
  <Application>Microsoft Office Word</Application>
  <DocSecurity>0</DocSecurity>
  <Lines>150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DIGIT/A3</cp:lastModifiedBy>
  <cp:revision>11</cp:revision>
  <dcterms:created xsi:type="dcterms:W3CDTF">2016-03-16T10:50:00Z</dcterms:created>
  <dcterms:modified xsi:type="dcterms:W3CDTF">2016-03-18T15:33:00Z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