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7AE9835324C405989F0A8B2E2F787A4" style="width:450.35pt;height:379.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pPr>
        <w:jc w:val="center"/>
        <w:rPr>
          <w:b/>
          <w:noProof/>
        </w:rPr>
      </w:pPr>
      <w:bookmarkStart w:id="1" w:name="_GoBack"/>
      <w:bookmarkEnd w:id="1"/>
      <w:r>
        <w:rPr>
          <w:b/>
          <w:noProof/>
        </w:rPr>
        <w:lastRenderedPageBreak/>
        <w:t>Приложение III: Гърция — доклад за актуалното състояние</w:t>
      </w:r>
    </w:p>
    <w:p>
      <w:pPr>
        <w:jc w:val="both"/>
        <w:rPr>
          <w:b/>
          <w:noProof/>
        </w:rPr>
      </w:pPr>
    </w:p>
    <w:tbl>
      <w:tblPr>
        <w:tblStyle w:val="TableGrid"/>
        <w:tblW w:w="9606" w:type="dxa"/>
        <w:tblLook w:val="04A0" w:firstRow="1" w:lastRow="0" w:firstColumn="1" w:lastColumn="0" w:noHBand="0" w:noVBand="1"/>
      </w:tblPr>
      <w:tblGrid>
        <w:gridCol w:w="1720"/>
        <w:gridCol w:w="3401"/>
        <w:gridCol w:w="4485"/>
      </w:tblGrid>
      <w:tr>
        <w:trPr>
          <w:cantSplit/>
          <w:tblHeader/>
        </w:trPr>
        <w:tc>
          <w:tcPr>
            <w:tcW w:w="5121" w:type="dxa"/>
            <w:gridSpan w:val="2"/>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Препоръки от декември 2015 г.</w:t>
            </w:r>
          </w:p>
        </w:tc>
        <w:tc>
          <w:tcPr>
            <w:tcW w:w="4485" w:type="dxa"/>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Положение до момента</w:t>
            </w:r>
          </w:p>
        </w:tc>
      </w:tr>
      <w:tr>
        <w:trPr>
          <w:cantSplit/>
          <w:trHeight w:val="1134"/>
        </w:trPr>
        <w:tc>
          <w:tcPr>
            <w:tcW w:w="1720" w:type="dxa"/>
            <w:vMerge w:val="restart"/>
            <w:tcBorders>
              <w:top w:val="single" w:sz="4" w:space="0" w:color="auto"/>
              <w:left w:val="single" w:sz="4" w:space="0" w:color="auto"/>
              <w:right w:val="single" w:sz="4" w:space="0" w:color="auto"/>
            </w:tcBorders>
            <w:hideMark/>
          </w:tcPr>
          <w:p>
            <w:pPr>
              <w:jc w:val="both"/>
              <w:rPr>
                <w:noProof/>
              </w:rPr>
            </w:pPr>
            <w:r>
              <w:rPr>
                <w:b/>
                <w:noProof/>
              </w:rPr>
              <w:t xml:space="preserve">Горещи точки </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Гърция трябва да приключи строежа на горещите точки в Лесбос, Лерос и Хиос в съответствие с планирания график. Строителните работи в Кос следва да започнат незабавно, а в Самос да бъде определено мястото за строеж с цел горещата точка да започне да функционира от края на януари.</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w:t>
            </w:r>
            <w:r>
              <w:rPr>
                <w:noProof/>
                <w:spacing w:val="-4"/>
              </w:rPr>
              <w:t xml:space="preserve">Четири горещи точки (Лесбос, Хиос, Самос и Лерос) функционират благодарение на помощта на армията и временната координация от нейна страна, въпреки че все още е необходимо да бъдат завършени няколко дейности, за да заработят на пълни обороти (напр. третата линия за регистрация в Лесбос, осигуряване на електроснабдяване, водоснабдяване и канализация за жилищните контейнери в Самос, предоставянето на някои услуги в Лерос и Самос и др.). </w:t>
            </w:r>
          </w:p>
          <w:p>
            <w:pPr>
              <w:jc w:val="both"/>
              <w:rPr>
                <w:noProof/>
              </w:rPr>
            </w:pPr>
            <w:r>
              <w:rPr>
                <w:noProof/>
              </w:rPr>
              <w:t>X Строителните работи по горещата точка в Кос (бившия лагер в Пили) са започнати и напредват, но не е съобщена дата за приключването им.</w:t>
            </w:r>
          </w:p>
          <w:p>
            <w:pPr>
              <w:jc w:val="both"/>
              <w:rPr>
                <w:noProof/>
              </w:rPr>
            </w:pPr>
            <w:r>
              <w:rPr>
                <w:noProof/>
              </w:rPr>
              <w:t xml:space="preserve">Х Националната процедура за възлагане на обществена поръчка за услугите, необходими за функционирането на горещите точки (т.е. осигуряване на храна, почистване), все още не е приключила. Гръцката армия започва бърза процедура за възлагане на обществена поръчка за следните услуги: транспорт, осигуряване на храна, медицинско обслужване и почистване за всички горещи точки и приемни центрове. Очаква се първият договор да бъде възложен тази седмица. </w:t>
            </w:r>
          </w:p>
        </w:tc>
      </w:tr>
      <w:tr>
        <w:trPr>
          <w:cantSplit/>
          <w:trHeight w:val="830"/>
        </w:trPr>
        <w:tc>
          <w:tcPr>
            <w:tcW w:w="1720" w:type="dxa"/>
            <w:vMerge/>
            <w:tcBorders>
              <w:left w:val="single" w:sz="4" w:space="0" w:color="auto"/>
              <w:right w:val="single" w:sz="4" w:space="0" w:color="auto"/>
            </w:tcBorders>
            <w:vAlign w:val="center"/>
            <w:hideMark/>
          </w:tcPr>
          <w:p>
            <w:pPr>
              <w:jc w:val="both"/>
              <w:rPr>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spacing w:val="-6"/>
              </w:rPr>
            </w:pPr>
            <w:r>
              <w:rPr>
                <w:noProof/>
                <w:spacing w:val="-6"/>
              </w:rPr>
              <w:t xml:space="preserve">Гърция следва, в сътрудничество с Европейската комисия, агенциите на ЕС и ВКБООН, да оптимизира организацията на горещите точки въз основа на конкретна оценка на потребностите на всеки остров и като се опира на констатациите от междуведомствения пилотен проект. В този контекст следва да бъде установена структурирана система за сваляне на брега на официалните места за сваляне, както и за транспортиране до районите, обявени за горещи точки.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w:t>
            </w:r>
            <w:r>
              <w:rPr>
                <w:noProof/>
                <w:spacing w:val="-4"/>
              </w:rPr>
              <w:t>Frontex разположи екипи за крайбрежни патрули в Лесбос, Хиос и Самос. В Лерос процедурите за сваляне на брега се извършват контролирано: почти 100 % от пристигащите се свалят на остров Фармакос, а впоследствие служителите на бреговата охрана и Frontex прехвърлят мигрантите в Лерос.</w:t>
            </w:r>
          </w:p>
          <w:p>
            <w:pPr>
              <w:jc w:val="both"/>
              <w:rPr>
                <w:noProof/>
              </w:rPr>
            </w:pPr>
            <w:r>
              <w:rPr>
                <w:noProof/>
              </w:rPr>
              <w:sym w:font="Wingdings" w:char="F0FC"/>
            </w:r>
            <w:r>
              <w:rPr>
                <w:noProof/>
              </w:rPr>
              <w:t xml:space="preserve"> В краткосрочен план местните органи, често с подкрепата на НПО, превозват мигрантите от местата за сваляне на брега до центровете за регистрация и от центровете за регистрация до пристанищата.</w:t>
            </w:r>
          </w:p>
          <w:p>
            <w:pPr>
              <w:jc w:val="both"/>
              <w:rPr>
                <w:noProof/>
              </w:rPr>
            </w:pPr>
            <w:r>
              <w:rPr>
                <w:noProof/>
              </w:rPr>
              <w:t>Х Правителството пое ангажимент в следващите дни да внесе в парламента рамковия правен акт (под формата на изменение на Закон 3907/2011) относно механизмите за създаване и координация на горещите точки. След въвеждането на правната уредба, ще бъдат приети стандартни оперативни процедури посредством общо министерско решение и в тях ще бъдат определени ролите и процедурите при управлението на горещите точки. Ще бъдат назначени и ръководителите/управителите на горещите точки.</w:t>
            </w:r>
          </w:p>
          <w:p>
            <w:pPr>
              <w:jc w:val="both"/>
              <w:rPr>
                <w:noProof/>
              </w:rPr>
            </w:pPr>
            <w:r>
              <w:rPr>
                <w:noProof/>
              </w:rPr>
              <w:t>X Следва спешно да бъдат осигурени достатъчен брой автобуси, за да се усъвършенства допълнително системата за сваляне на брега на островите. Нидерландия предостави на Гърция превозни средства (микробуси) и ремаркета. Превозните средства и ремаркетата са оборудвани със средства за медицинска помощ. Други държави членки следва също да отговорят на искането за автобуси по линия на Механизма за гражданска защита на Съюза.</w:t>
            </w:r>
          </w:p>
          <w:p>
            <w:pPr>
              <w:jc w:val="both"/>
              <w:rPr>
                <w:noProof/>
              </w:rPr>
            </w:pPr>
            <w:r>
              <w:rPr>
                <w:noProof/>
              </w:rPr>
              <w:t>Х Трябва да бъде организиран превоза на лицата, които не се нуждаят от международна закрила, от горещите точки директно до съществуващите центрове за задържане.</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Въз основа на по-точна оценка на потребностите държавите членки следва да предоставят необходимите експерти, за да се осигури пълноценното функциониране на горещите точки, веднага след като строителните работи са приключени. От своя страна, Гърция следва да гарантира, че в районите, обявени за горещи точки, е разположен достатъчен брой ръководители на екипи и е налице достатъчен персонал по сигурността.</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X Гръцката полиция следва да засили допълнително своето присъствие в центровете в горещите точки, за да гарантира сигурността на центровете и на разположения персонал на агенциите.</w:t>
            </w:r>
          </w:p>
          <w:p>
            <w:pPr>
              <w:jc w:val="both"/>
              <w:rPr>
                <w:noProof/>
              </w:rPr>
            </w:pPr>
            <w:r>
              <w:rPr>
                <w:noProof/>
              </w:rPr>
              <w:t>X Frontex и Европейската служба за подкрепа в областта на убежището (EASO) засилиха своето присъствие (понастоящем съответно 559 и 16 служители), но са необходими още експерти, особено след като започнаха да функционират и други горещи точки. Държавите членки не са осигурили достатъчно експерти.</w:t>
            </w:r>
          </w:p>
          <w:p>
            <w:pPr>
              <w:jc w:val="both"/>
              <w:rPr>
                <w:noProof/>
              </w:rPr>
            </w:pPr>
            <w:r>
              <w:rPr>
                <w:noProof/>
              </w:rPr>
              <w:t>X Гърция следва да продължи да осигурява ръководители на екипи.</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Гърция следва да набави — възможно най-скоро и като използва ускорените/опростените процедури, предвидени в директиви 2004/18/ЕО и 2014/24/ЕС в случай на „неотложни обстоятелства“ или „изключително неотложни обстоятелства“ — необходимите допълнителни устройства за пръстови отпечатъци.</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По отношение на регистрацията (Евродак):</w:t>
            </w:r>
          </w:p>
          <w:p>
            <w:pPr>
              <w:jc w:val="both"/>
              <w:rPr>
                <w:noProof/>
              </w:rPr>
            </w:pPr>
            <w:r>
              <w:rPr>
                <w:noProof/>
              </w:rPr>
              <w:sym w:font="Wingdings" w:char="F0FC"/>
            </w:r>
            <w:r>
              <w:rPr>
                <w:noProof/>
              </w:rPr>
              <w:t xml:space="preserve"> Всичките 90 устройства за пръстови отпечатъци, поръчани от EASО, са доставени на гръцките органи.</w:t>
            </w:r>
          </w:p>
          <w:p>
            <w:pPr>
              <w:jc w:val="both"/>
              <w:rPr>
                <w:noProof/>
              </w:rPr>
            </w:pPr>
            <w:r>
              <w:rPr>
                <w:noProof/>
              </w:rPr>
              <w:sym w:font="Wingdings" w:char="F0FC"/>
            </w:r>
            <w:r>
              <w:rPr>
                <w:noProof/>
              </w:rPr>
              <w:t xml:space="preserve"> Гръцката полиция набави 6 станции за снемане на пръстови отпечатъци, които са разположени в Лесбос.</w:t>
            </w:r>
          </w:p>
          <w:p>
            <w:pPr>
              <w:jc w:val="both"/>
              <w:rPr>
                <w:noProof/>
              </w:rPr>
            </w:pPr>
            <w:r>
              <w:rPr>
                <w:noProof/>
              </w:rPr>
              <w:sym w:font="Wingdings" w:char="F0FC"/>
            </w:r>
            <w:r>
              <w:rPr>
                <w:noProof/>
              </w:rPr>
              <w:t xml:space="preserve"> Frontex разположи 3 станции за снемане на пръстови отпечатъци в Идомени — на границата между Гърция и бившата югославска република Македония, за да бъдат регистрирани мигрантите, които не са били регистрирани в горещите точки.</w:t>
            </w:r>
          </w:p>
          <w:p>
            <w:pPr>
              <w:jc w:val="both"/>
              <w:rPr>
                <w:noProof/>
              </w:rPr>
            </w:pPr>
            <w:r>
              <w:rPr>
                <w:noProof/>
              </w:rPr>
              <w:sym w:font="Wingdings" w:char="F0FC"/>
            </w:r>
            <w:r>
              <w:rPr>
                <w:noProof/>
              </w:rPr>
              <w:t xml:space="preserve"> Както Комисията, така и Frontex отбелязаха, че от септември 2015 г. насам е постигнат значителен напредък и че към настоящия момент всички мигранти на възраст над 14 години, насочени към горещите точки, се регистрират в съответствие с Кодекса на шенгенските граници.</w:t>
            </w:r>
          </w:p>
          <w:p>
            <w:pPr>
              <w:jc w:val="both"/>
              <w:rPr>
                <w:noProof/>
              </w:rPr>
            </w:pPr>
            <w:r>
              <w:rPr>
                <w:noProof/>
              </w:rPr>
              <w:t xml:space="preserve">X Връзките между станциите EURODAC и информационната мрежа, както и капацитетът на централния сървър все още не са сигурни и надеждни (връзките са бавни). Комисията и eu-LISA съдействат на гръцката полиция за подобряване на функционалността на нейните информационни системи и за укрепване на капацитета ѝ в подкрепа на системата за регистрация. </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Информационните системи следва да бъдат актуализирани първоначално с цел да бъде внедрена изцяло оборудвана автоматизирана система за дактилоскопична идентификация (AFIS), а след това за да се гарантира, че са установени взаимовръзки между националните и европейските/международните бази данни, което дава възможност за цялостна проверка на пристигащите мигранти в базата данни на Шенгенската информационна система (ШИС II)/базата данни на Интерпол за откраднати и изгубени документи за пътуване (STLD).</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spacing w:val="-4"/>
              </w:rPr>
            </w:pPr>
            <w:r>
              <w:rPr>
                <w:noProof/>
                <w:spacing w:val="-4"/>
              </w:rPr>
              <w:t>По отношение на проверките за сигурност:</w:t>
            </w:r>
          </w:p>
          <w:p>
            <w:pPr>
              <w:jc w:val="both"/>
              <w:rPr>
                <w:noProof/>
              </w:rPr>
            </w:pPr>
            <w:r>
              <w:rPr>
                <w:noProof/>
              </w:rPr>
              <w:sym w:font="Wingdings" w:char="F0FC"/>
            </w:r>
            <w:r>
              <w:rPr>
                <w:noProof/>
              </w:rPr>
              <w:t xml:space="preserve"> В горещите точки вече са технически налични терминали, които позволяват проверки не само в поддържаната от националната полиция база данни за граждани на трети държави, но и в базите данни на ШИС, Интерпол и Европол.</w:t>
            </w:r>
          </w:p>
          <w:p>
            <w:pPr>
              <w:jc w:val="both"/>
              <w:rPr>
                <w:noProof/>
              </w:rPr>
            </w:pPr>
            <w:r>
              <w:rPr>
                <w:noProof/>
              </w:rPr>
              <w:sym w:font="Wingdings" w:char="F0FC"/>
            </w:r>
            <w:r>
              <w:rPr>
                <w:noProof/>
              </w:rPr>
              <w:t xml:space="preserve"> Европол приключва разгръщането във всички горещи точки на екипи, които да извършват проверки за сигурност на втора линия в базата данни на Европол. </w:t>
            </w:r>
          </w:p>
          <w:p>
            <w:pPr>
              <w:jc w:val="both"/>
              <w:rPr>
                <w:noProof/>
              </w:rPr>
            </w:pPr>
            <w:r>
              <w:rPr>
                <w:noProof/>
              </w:rPr>
              <w:sym w:font="Wingdings" w:char="F0FC"/>
            </w:r>
            <w:r>
              <w:rPr>
                <w:noProof/>
              </w:rPr>
              <w:t xml:space="preserve"> Единната автоматизирана система за достъп до съответните бази данни, свързани със сигурността (национални, ШИС и Интерпол), вече е въведена в експлоатация във всички горещи точки. </w:t>
            </w:r>
          </w:p>
          <w:p>
            <w:pPr>
              <w:jc w:val="both"/>
              <w:rPr>
                <w:noProof/>
              </w:rPr>
            </w:pPr>
            <w:r>
              <w:rPr>
                <w:noProof/>
              </w:rPr>
              <w:t>X Трябва изцяло да се въведат систематични проверки в тези бази данни и да се предприемат съответните последващи действия. Следва да бъде доразработена изцяло автоматизирана система за дактилоскопична идентификация.</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Гърция, с подкрепата на Европейската комисия и агенциите на ЕС, следва да определи потребностите от културни посредници/устни преводачи и да засили тяхното присъствие в районите, обявени за горещи точки.</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Х Гръцките органи следва да определят своите потребности от културни посредници/устни преводачи.</w:t>
            </w:r>
          </w:p>
          <w:p>
            <w:pPr>
              <w:jc w:val="both"/>
              <w:rPr>
                <w:noProof/>
              </w:rPr>
            </w:pPr>
            <w:r>
              <w:rPr>
                <w:noProof/>
              </w:rPr>
              <w:t>X Гръцките органи следва да създадат резерв от</w:t>
            </w:r>
          </w:p>
          <w:p>
            <w:pPr>
              <w:jc w:val="both"/>
              <w:rPr>
                <w:noProof/>
              </w:rPr>
            </w:pPr>
            <w:r>
              <w:rPr>
                <w:noProof/>
              </w:rPr>
              <w:t>устни преводачи, намиращи се на място, евентуално чрез рамков договор, за да могат бързо да разполагат с услуги за устен превод.</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Необходимо е да се подобри допълнително координацията посредством систематичното и ефективното използване на внедрените механизми за координация. На назначените координатори за островите следва да бъдат предоставени специални правомощия за координиране на всички правителствени и неправителствени участници в горещите точки.</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Законопроектът, с който се установяват горещите точки (вж. по-горе), включва специални разпоредби за назначаването на координатори на горещите точки, полицейски координатори и специални координатори, които да ръководят отношенията с всички заинтересовани страни, участващи в процедурата за горещите точки.</w:t>
            </w:r>
          </w:p>
          <w:p>
            <w:pPr>
              <w:jc w:val="both"/>
              <w:rPr>
                <w:noProof/>
              </w:rPr>
            </w:pPr>
            <w:r>
              <w:rPr>
                <w:noProof/>
              </w:rPr>
              <w:t>X След приемането на новото законодателство гръцките органи трябва спешно да проведат съответната процедура за назначаване на постоянните координатори за горещите точки, предвидени в новоприетия закон.</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Европол следва да засили присъствието си в Гърция и да сключи оперативни споразумения с гръцките органи, за да ги подкрепя в борбата с контрабандата на хора. Подкрепата следва да включва започването на финансови разследвания, действия срещу документните измами и по-добро използване на мрежите на служителите за връзка по въпросите на имиграцията в трети държави като източници на съответна информация.</w:t>
            </w:r>
          </w:p>
          <w:p>
            <w:pPr>
              <w:jc w:val="both"/>
              <w:rPr>
                <w:noProof/>
              </w:rPr>
            </w:pP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Служители на Европол, разположени понастоящем в Гърция:</w:t>
            </w:r>
          </w:p>
          <w:p>
            <w:pPr>
              <w:pStyle w:val="ListParagraph"/>
              <w:numPr>
                <w:ilvl w:val="0"/>
                <w:numId w:val="3"/>
              </w:numPr>
              <w:jc w:val="both"/>
              <w:rPr>
                <w:noProof/>
              </w:rPr>
            </w:pPr>
            <w:r>
              <w:rPr>
                <w:noProof/>
              </w:rPr>
              <w:t xml:space="preserve">1 служител на Европол в Регионалната работна група на ЕС в Пирея, </w:t>
            </w:r>
          </w:p>
          <w:p>
            <w:pPr>
              <w:pStyle w:val="ListParagraph"/>
              <w:numPr>
                <w:ilvl w:val="0"/>
                <w:numId w:val="3"/>
              </w:numPr>
              <w:jc w:val="both"/>
              <w:rPr>
                <w:noProof/>
              </w:rPr>
            </w:pPr>
            <w:r>
              <w:rPr>
                <w:noProof/>
              </w:rPr>
              <w:t>4 служители на Европол в Лесбос,</w:t>
            </w:r>
          </w:p>
          <w:p>
            <w:pPr>
              <w:pStyle w:val="ListParagraph"/>
              <w:numPr>
                <w:ilvl w:val="0"/>
                <w:numId w:val="3"/>
              </w:numPr>
              <w:jc w:val="both"/>
              <w:rPr>
                <w:noProof/>
              </w:rPr>
            </w:pPr>
            <w:r>
              <w:rPr>
                <w:noProof/>
              </w:rPr>
              <w:t>2 служители на Европол в Хиос,</w:t>
            </w:r>
          </w:p>
          <w:p>
            <w:pPr>
              <w:pStyle w:val="ListParagraph"/>
              <w:numPr>
                <w:ilvl w:val="0"/>
                <w:numId w:val="3"/>
              </w:numPr>
              <w:jc w:val="both"/>
              <w:rPr>
                <w:noProof/>
              </w:rPr>
            </w:pPr>
            <w:r>
              <w:rPr>
                <w:noProof/>
              </w:rPr>
              <w:t>2 служители на Европол в Лерос,</w:t>
            </w:r>
          </w:p>
          <w:p>
            <w:pPr>
              <w:pStyle w:val="ListParagraph"/>
              <w:numPr>
                <w:ilvl w:val="0"/>
                <w:numId w:val="3"/>
              </w:numPr>
              <w:jc w:val="both"/>
              <w:rPr>
                <w:noProof/>
              </w:rPr>
            </w:pPr>
            <w:r>
              <w:rPr>
                <w:noProof/>
              </w:rPr>
              <w:t>2 служители на Европол в Самос.</w:t>
            </w:r>
          </w:p>
          <w:p>
            <w:pPr>
              <w:jc w:val="both"/>
              <w:rPr>
                <w:noProof/>
              </w:rPr>
            </w:pPr>
            <w:r>
              <w:rPr>
                <w:noProof/>
              </w:rPr>
              <w:sym w:font="Wingdings" w:char="F0FC"/>
            </w:r>
            <w:r>
              <w:rPr>
                <w:noProof/>
              </w:rPr>
              <w:t xml:space="preserve"> Frontex осигури висококвалифицирани експерти за проверка на документи във всички горещи точки, заедно със специално оборудване за откриване на подправени документи.</w:t>
            </w:r>
          </w:p>
          <w:p>
            <w:pPr>
              <w:jc w:val="both"/>
              <w:rPr>
                <w:noProof/>
              </w:rPr>
            </w:pPr>
            <w:r>
              <w:rPr>
                <w:noProof/>
              </w:rPr>
              <w:t>X Гръцката полиция реши да използва нов и по-сложен регистрационен документ със защитни елементи, който да бъде използван във всички горещи точки. При все това, макар че вече се използва нов печат, все още няма достатъчно количество защитена хартия. Ще са необходими специални печатащи устройства за печатането на данни върху този нов регистрационен документ.</w:t>
            </w:r>
          </w:p>
          <w:p>
            <w:pPr>
              <w:jc w:val="both"/>
              <w:rPr>
                <w:noProof/>
              </w:rPr>
            </w:pPr>
            <w:r>
              <w:rPr>
                <w:noProof/>
              </w:rPr>
              <w:t>Х Гърция следва да набави чрез обществена поръчка повече устройства за разкриване на документни измами в допълнение към вече наличните такива. Очаква се, че за тази цел ще бъде отправено искане за финансиране.</w:t>
            </w:r>
          </w:p>
          <w:p>
            <w:pPr>
              <w:jc w:val="both"/>
              <w:rPr>
                <w:noProof/>
              </w:rPr>
            </w:pPr>
            <w:r>
              <w:rPr>
                <w:noProof/>
              </w:rPr>
              <w:t>X Гръцките органи трябва да гарантират предприемането на подходящи последващи действия във връзка с установени случаи на подправени документи и да подсилят операциите в областта на правоприлагането на островите с цел пресичане на дейностите, свързани с контрабанда на хора.</w:t>
            </w:r>
          </w:p>
        </w:tc>
      </w:tr>
      <w:tr>
        <w:trPr>
          <w:cantSplit/>
          <w:trHeight w:val="830"/>
        </w:trPr>
        <w:tc>
          <w:tcPr>
            <w:tcW w:w="1720" w:type="dxa"/>
            <w:vMerge/>
            <w:tcBorders>
              <w:left w:val="single" w:sz="4" w:space="0" w:color="auto"/>
              <w:right w:val="single" w:sz="4" w:space="0" w:color="auto"/>
            </w:tcBorders>
            <w:vAlign w:val="center"/>
          </w:tcPr>
          <w:p>
            <w:pPr>
              <w:jc w:val="both"/>
              <w:rPr>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Гръцката полиция следва да предостави на полицейските служители, разположени в горещите точки, обучение за разкриване на подправени документи.</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Х Все още се обсъжда.</w:t>
            </w:r>
          </w:p>
        </w:tc>
      </w:tr>
      <w:tr>
        <w:trPr>
          <w:cantSplit/>
        </w:trPr>
        <w:tc>
          <w:tcPr>
            <w:tcW w:w="1720" w:type="dxa"/>
            <w:vMerge w:val="restart"/>
            <w:tcBorders>
              <w:top w:val="single" w:sz="4" w:space="0" w:color="auto"/>
              <w:left w:val="single" w:sz="4" w:space="0" w:color="auto"/>
              <w:right w:val="single" w:sz="4" w:space="0" w:color="auto"/>
            </w:tcBorders>
            <w:hideMark/>
          </w:tcPr>
          <w:p>
            <w:pPr>
              <w:jc w:val="both"/>
              <w:rPr>
                <w:noProof/>
              </w:rPr>
            </w:pPr>
            <w:r>
              <w:rPr>
                <w:b/>
                <w:noProof/>
              </w:rPr>
              <w:t>Преместване</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Предоставянето на информация на бежанците относно програмата за преместване трябва да бъде засилено, наред с другото чрез увеличено присъствие на служителите на гръцката служба по въпросите на убежището и на EASO в горещите точки, както и чрез изготвянето и разпространението на информационни материали сред потенциални кандидати за преместване относно процеса на преместване и техните права и задължения в този контекст. Служителите за връзка на държавите членки следва да предоставят на кандидатите за преместване информация относно определените държави на местоназначение, включително относно техните системи за убежище и приемане.</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Службата по въпросите на убежището осъществява дейност на островите Лесбос, Хиос и Самос. EASO командирова експерти в Самос за целите на предоставянето на информация. </w:t>
            </w:r>
          </w:p>
          <w:p>
            <w:pPr>
              <w:jc w:val="both"/>
              <w:rPr>
                <w:noProof/>
              </w:rPr>
            </w:pPr>
            <w:r>
              <w:rPr>
                <w:noProof/>
              </w:rPr>
              <w:t>Х Мигрантите  следва системно да бъдат информирани във всички горещи точки и на всички съответни езици относно правата им като кандидатстващи за убежище лица, както и за правата и задълженията им съгласно механизма за преместване, като това следва да се прави по време на целия процес, включително преди снемането на пръстовите им отпечатъци. За тази цел EASO следва да изпрати експерти в оставащите горещи точки.</w:t>
            </w:r>
          </w:p>
          <w:p>
            <w:pPr>
              <w:jc w:val="both"/>
              <w:rPr>
                <w:noProof/>
              </w:rPr>
            </w:pPr>
            <w:r>
              <w:rPr>
                <w:noProof/>
              </w:rPr>
              <w:t>Х Повече държави членки следва да предоставят информационни пакети за лицата, които ще бъдат премествани (досега само няколко държави членки (Белгия, Ирландия, Полша и Португалия) са предоставили такава информация). EASO също така ръководи процес за координиране на информацията преди заминаване, предоставяна от държавите членки на преместване. Държавите членки следва бързо да реагират на насоките, предоставени от Службата.</w:t>
            </w:r>
          </w:p>
          <w:p>
            <w:pPr>
              <w:jc w:val="both"/>
              <w:rPr>
                <w:noProof/>
              </w:rPr>
            </w:pP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spacing w:val="-4"/>
              </w:rPr>
            </w:pPr>
            <w:r>
              <w:rPr>
                <w:noProof/>
                <w:spacing w:val="-4"/>
              </w:rPr>
              <w:t xml:space="preserve">Необходимо е да бъде увеличен значително капацитетът за регистриране и обработка на молби за убежище. За тази цел гръцката служба по въпросите на убежището възнамерява да наеме още 40 служители до средата на февруари, което следва да повиши нейния капацитет, така че да бъде в състояние да регистрира 100—120 молби на ден. Налага се допълнително увеличение на персонала, за да се ускори регистрацията според необходимостта.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EASO оказва подкрепа на гръцките органи в Лесбос и Самос при проверката на гражданството на кандидатите за преместване. </w:t>
            </w:r>
          </w:p>
          <w:p>
            <w:pPr>
              <w:jc w:val="both"/>
              <w:rPr>
                <w:noProof/>
              </w:rPr>
            </w:pPr>
            <w:r>
              <w:rPr>
                <w:noProof/>
              </w:rPr>
              <w:sym w:font="Wingdings" w:char="F0FC"/>
            </w:r>
            <w:r>
              <w:rPr>
                <w:noProof/>
              </w:rPr>
              <w:t xml:space="preserve"> 37 лица ще бъдат наети до април и още (най-много) 40 лица ще бъдат наети през юни 2016 г. През януари 2017 г. ще бъдат наети служители за останалите позиции. Необходимото финансиране е осигурено посредством фонд „Убежище, миграция и интеграция“.</w:t>
            </w:r>
          </w:p>
          <w:p>
            <w:pPr>
              <w:jc w:val="both"/>
              <w:rPr>
                <w:noProof/>
              </w:rPr>
            </w:pPr>
            <w:r>
              <w:rPr>
                <w:noProof/>
              </w:rPr>
              <w:sym w:font="Wingdings" w:char="F0FC"/>
            </w:r>
            <w:r>
              <w:rPr>
                <w:noProof/>
              </w:rPr>
              <w:t xml:space="preserve"> С подкрепата на EASO започна пилотен проект за увеличаване на капацитета за регистрация. Като се имат предвид текущите ограничения на капацитета за регистрация, както и нарастващият интерес на допустимите граждани на трети държави към схемата за преместване, пилотният проект следва да бъде завършен бързо и да бъде разширен.</w:t>
            </w: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Държавите членки следва да намалят съществено времето за отговор на исканията за преместване, подадени от гръцките органи (и да се въздържат от прекалени ad hoc проверки, извършвани в Гърция).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X Държавите членки продължават да отговарят бавно на исканията за преместване и това е отчасти причината за високия процент на отказ от процеса на преместване.</w:t>
            </w:r>
          </w:p>
          <w:p>
            <w:pPr>
              <w:jc w:val="both"/>
              <w:rPr>
                <w:noProof/>
              </w:rPr>
            </w:pPr>
            <w:r>
              <w:rPr>
                <w:noProof/>
              </w:rPr>
              <w:t>Х Държавите членки не осигуряват предварително подходяща информация относно своите планове във връзка с преместването. Тази информация е абсолютно необходима, за да могат гръцките органи да повишат ефикасността на процеса.</w:t>
            </w:r>
          </w:p>
          <w:p>
            <w:pPr>
              <w:jc w:val="both"/>
              <w:rPr>
                <w:noProof/>
              </w:rPr>
            </w:pPr>
            <w:r>
              <w:rPr>
                <w:noProof/>
              </w:rPr>
              <w:t>Х Няколко държави членки изискват провеждането на системни интервюта във връзка със сигурността.</w:t>
            </w: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Държавите членки следва да увеличат съществено своите ангажименти в рамките на програмата за преместване.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X Недостатъчен брой на ангажиментите за преместване и на преместените лица: към 15 март едва 18 държави членки са поели ангажименти за преместване на мигранти от Гърция. Следва също да се отбележи, че напоследък броят на поетите от държавите членки ангажименти се увеличи значително и понастоящем надвишава броя на регистрираните в Гърция кандидати, които отговарят на условията за преместване. При все това, тези поети ангажименти скоро няма да бъдат достатъчни, като се има предвид нарастващият интерес сред мигрантите да участват в схемата. </w:t>
            </w:r>
          </w:p>
        </w:tc>
      </w:tr>
      <w:tr>
        <w:trPr>
          <w:cantSplit/>
        </w:trPr>
        <w:tc>
          <w:tcPr>
            <w:tcW w:w="1720" w:type="dxa"/>
            <w:vMerge/>
            <w:tcBorders>
              <w:left w:val="single" w:sz="4" w:space="0" w:color="auto"/>
              <w:right w:val="single" w:sz="4" w:space="0" w:color="auto"/>
            </w:tcBorders>
          </w:tcPr>
          <w:p>
            <w:pPr>
              <w:jc w:val="both"/>
              <w:rPr>
                <w:b/>
                <w:noProof/>
              </w:rPr>
            </w:pPr>
          </w:p>
        </w:tc>
        <w:tc>
          <w:tcPr>
            <w:tcW w:w="7886" w:type="dxa"/>
            <w:gridSpan w:val="2"/>
            <w:tcBorders>
              <w:top w:val="single" w:sz="4" w:space="0" w:color="auto"/>
              <w:left w:val="single" w:sz="4" w:space="0" w:color="auto"/>
              <w:bottom w:val="single" w:sz="4" w:space="0" w:color="auto"/>
              <w:right w:val="single" w:sz="4" w:space="0" w:color="auto"/>
            </w:tcBorders>
          </w:tcPr>
          <w:p>
            <w:pPr>
              <w:jc w:val="both"/>
              <w:rPr>
                <w:i/>
                <w:noProof/>
              </w:rPr>
            </w:pPr>
            <w:r>
              <w:rPr>
                <w:i/>
                <w:noProof/>
              </w:rPr>
              <w:t>Допълнителни мерки, определени след приемането на Съобщението през декември</w:t>
            </w:r>
          </w:p>
        </w:tc>
      </w:tr>
      <w:tr>
        <w:trPr>
          <w:cantSplit/>
        </w:trPr>
        <w:tc>
          <w:tcPr>
            <w:tcW w:w="1720" w:type="dxa"/>
            <w:vMerge/>
            <w:tcBorders>
              <w:left w:val="single" w:sz="4" w:space="0" w:color="auto"/>
              <w:right w:val="single" w:sz="4" w:space="0" w:color="auto"/>
            </w:tcBorders>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Общо 123 кандидати за преместване са се укрили, а 88 са оттеглили своите заявления от въвеждането на схемата досега.</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X Гърция следва да гарантира, че търсещите убежище лица, кандидатствали за преместване, са събрани в специално предназначени за целта структури, в които техните случаи могат да бъдат наблюдавани отблизо.</w:t>
            </w:r>
          </w:p>
          <w:p>
            <w:pPr>
              <w:jc w:val="both"/>
              <w:rPr>
                <w:noProof/>
              </w:rPr>
            </w:pPr>
            <w:r>
              <w:rPr>
                <w:noProof/>
              </w:rPr>
              <w:t>X Държавите членки, в сътрудничество с EASO, следва да приключат изготвянето на целеви информационни пакети. Тези пакети следва да бъдат предоставяни на кандидатите за убежище, които подлежат на преместване, след като бъдат уведомени за държавата на местоназначение (вж. по-горе).</w:t>
            </w:r>
          </w:p>
        </w:tc>
      </w:tr>
      <w:tr>
        <w:trPr>
          <w:cantSplit/>
        </w:trPr>
        <w:tc>
          <w:tcPr>
            <w:tcW w:w="1720" w:type="dxa"/>
            <w:vMerge/>
            <w:tcBorders>
              <w:left w:val="single" w:sz="4" w:space="0" w:color="auto"/>
              <w:right w:val="single" w:sz="4" w:space="0" w:color="auto"/>
            </w:tcBorders>
          </w:tcPr>
          <w:p>
            <w:pPr>
              <w:jc w:val="both"/>
              <w:rPr>
                <w:b/>
                <w:i/>
                <w:noProof/>
              </w:rPr>
            </w:pPr>
          </w:p>
        </w:tc>
        <w:tc>
          <w:tcPr>
            <w:tcW w:w="3401" w:type="dxa"/>
            <w:tcBorders>
              <w:top w:val="single" w:sz="4" w:space="0" w:color="auto"/>
              <w:left w:val="single" w:sz="4" w:space="0" w:color="auto"/>
              <w:bottom w:val="single" w:sz="4" w:space="0" w:color="auto"/>
              <w:right w:val="single" w:sz="4" w:space="0" w:color="auto"/>
            </w:tcBorders>
          </w:tcPr>
          <w:p>
            <w:pPr>
              <w:jc w:val="both"/>
              <w:rPr>
                <w:i/>
                <w:noProof/>
              </w:rPr>
            </w:pPr>
            <w:r>
              <w:rPr>
                <w:noProof/>
              </w:rPr>
              <w:t>Едно непридружено ненавършило пълнолетие лице беше прехвърлено във Финландия. Все още се чака отговор по 10 искания, 3 от които бяха приети, отново от Финландия, след началото на процеса по преместване.</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X Гърция следва да установи специални процедури за прехвърлянето на непридружени ненавършили пълнолетие лица.</w:t>
            </w:r>
          </w:p>
          <w:p>
            <w:pPr>
              <w:jc w:val="both"/>
              <w:rPr>
                <w:noProof/>
              </w:rPr>
            </w:pPr>
            <w:r>
              <w:rPr>
                <w:noProof/>
              </w:rPr>
              <w:t xml:space="preserve">X Държавите членки следва да поемат ангажимент да предоставят специални места за непридружени ненавършили пълнолетие лица. </w:t>
            </w:r>
          </w:p>
        </w:tc>
      </w:tr>
      <w:tr>
        <w:trPr>
          <w:cantSplit/>
        </w:trPr>
        <w:tc>
          <w:tcPr>
            <w:tcW w:w="1720" w:type="dxa"/>
            <w:tcBorders>
              <w:left w:val="single" w:sz="4" w:space="0" w:color="auto"/>
              <w:right w:val="single" w:sz="4" w:space="0" w:color="auto"/>
            </w:tcBorders>
          </w:tcPr>
          <w:p>
            <w:pPr>
              <w:jc w:val="both"/>
              <w:rPr>
                <w:b/>
                <w:i/>
                <w:noProof/>
              </w:rPr>
            </w:pPr>
          </w:p>
        </w:tc>
        <w:tc>
          <w:tcPr>
            <w:tcW w:w="3401" w:type="dxa"/>
            <w:tcBorders>
              <w:top w:val="single" w:sz="4" w:space="0" w:color="auto"/>
              <w:left w:val="single" w:sz="4" w:space="0" w:color="auto"/>
              <w:bottom w:val="single" w:sz="4" w:space="0" w:color="auto"/>
              <w:right w:val="single" w:sz="4" w:space="0" w:color="auto"/>
            </w:tcBorders>
          </w:tcPr>
          <w:p>
            <w:pPr>
              <w:jc w:val="both"/>
              <w:rPr>
                <w:i/>
                <w:noProof/>
              </w:rPr>
            </w:pPr>
            <w:r>
              <w:rPr>
                <w:noProof/>
              </w:rPr>
              <w:t>Някои държави членки се позоваха на критерии, различни от предвидените в Решението на Съвета, за да отхвърлят досиета за преместване.</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Х Държавите членки следва стриктно да прилагат критериите, предвидени съгласно Решението на Съвета, когато отхвърлят заявления за преместване. По-специално заявленията за преместване не трябва да се отхвърлят поради причини, свързани с изразени от държавите членки предпочитания по отношение на профила на кандидатите за преместване.</w:t>
            </w:r>
          </w:p>
        </w:tc>
      </w:tr>
      <w:tr>
        <w:trPr>
          <w:cantSplit/>
          <w:trHeight w:val="385"/>
        </w:trPr>
        <w:tc>
          <w:tcPr>
            <w:tcW w:w="1720" w:type="dxa"/>
            <w:vMerge w:val="restart"/>
            <w:tcBorders>
              <w:top w:val="single" w:sz="4" w:space="0" w:color="auto"/>
              <w:left w:val="single" w:sz="4" w:space="0" w:color="auto"/>
              <w:right w:val="single" w:sz="4" w:space="0" w:color="auto"/>
            </w:tcBorders>
          </w:tcPr>
          <w:p>
            <w:pPr>
              <w:jc w:val="both"/>
              <w:rPr>
                <w:b/>
                <w:bCs/>
                <w:noProof/>
              </w:rPr>
            </w:pPr>
            <w:r>
              <w:rPr>
                <w:b/>
                <w:noProof/>
              </w:rPr>
              <w:t xml:space="preserve">Връщане </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Гръцките органи трябва да разработят ясна стратегия за принудителните връщания, в която да се определят третите държави, с които приоритетно трябва да се осъществяват контакти и сътрудничество, и да се предвиждат мерки за преодоляване на недостатъците на тяхната система за задържане. Гърция трябва да рационализира административните си процедури, за да осигури възможност за бързо връщане.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Гърция използва опростени процедури за издаване на решения за връщане на граждани на трети държави, които нямат право на закрила.</w:t>
            </w:r>
          </w:p>
          <w:p>
            <w:pPr>
              <w:jc w:val="both"/>
              <w:rPr>
                <w:noProof/>
              </w:rPr>
            </w:pPr>
            <w:r>
              <w:rPr>
                <w:noProof/>
              </w:rPr>
              <w:sym w:font="Wingdings" w:char="F0FC"/>
            </w:r>
            <w:r>
              <w:rPr>
                <w:noProof/>
              </w:rPr>
              <w:t xml:space="preserve"> На 15 февруари Frontex започна изпълнението на оперативен план за оказване на подкрепа на Гърция, Италия и България.</w:t>
            </w:r>
          </w:p>
          <w:p>
            <w:pPr>
              <w:jc w:val="both"/>
              <w:rPr>
                <w:noProof/>
              </w:rPr>
            </w:pPr>
            <w:r>
              <w:rPr>
                <w:noProof/>
              </w:rPr>
              <w:t>Х Заедно с Комисията и с техническата помощ на Frontex, както и с оглед на декларацията от срещата на върха между ЕС и Турция, Гърция следва приоритетно да съгласува ясен график за изпълнението на оперативния план за дейности по връщане и обратно приемане, който се основава на ясно планиране и оценка на потребностите от страна на Гърция и чрез който се оказва подкрепа, според нуждите, за всички елементи от процедурата по връщане.</w:t>
            </w:r>
          </w:p>
          <w:p>
            <w:pPr>
              <w:jc w:val="both"/>
              <w:rPr>
                <w:noProof/>
              </w:rPr>
            </w:pPr>
            <w:r>
              <w:rPr>
                <w:noProof/>
              </w:rPr>
              <w:t xml:space="preserve"> Х Гърция следва да използва напълно възможностите, предвидени в гръцкото законодателство в съответствие с Директивата относно връщането, за да осигури задържането на незаконни мигранти в рамките на 18-месечния максимален срок, така че да се избегне прекратяването на задържането преди ефективното им извеждане.</w:t>
            </w:r>
          </w:p>
          <w:p>
            <w:pPr>
              <w:jc w:val="both"/>
              <w:rPr>
                <w:noProof/>
              </w:rPr>
            </w:pPr>
            <w:r>
              <w:rPr>
                <w:noProof/>
              </w:rPr>
              <w:t>Х Гърция следва да използва незабавно и напълно възможностите за получаване на подкрепа по линия на финансирани от ЕС програми за връщане, и по-специално Европейския интегриран подход относно връщането към трети страни (EURINT), Европейския инструмент за реинтеграция (ERIN) и Европейската мрежа на служителите за връзка по въпросите на връщането (EURLO).</w:t>
            </w:r>
          </w:p>
        </w:tc>
      </w:tr>
      <w:tr>
        <w:trPr>
          <w:cantSplit/>
          <w:trHeight w:val="384"/>
        </w:trPr>
        <w:tc>
          <w:tcPr>
            <w:tcW w:w="1720" w:type="dxa"/>
            <w:vMerge/>
            <w:tcBorders>
              <w:left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Гърция трябва да засили принудителното и доброволното връщане, както и да предприеме необходимите мерки, за да гарантира незабавното усвояване на наличното финансиране по линия на националната програма на фонд „Убежище, миграция и интеграция“.</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По линия на фонд „Убежище, миграция и интеграция“ е финансирана спешна програма за подпомагане на доброволното връщане, с която ще се окаже подкрепа на 1 000 мигранти да се върнат доброволно в своите държави. Към настоящия момент за а доброволно напускане са се регистрирали над </w:t>
            </w:r>
            <w:r>
              <w:rPr>
                <w:noProof/>
                <w:color w:val="1F497D"/>
              </w:rPr>
              <w:t>1 800</w:t>
            </w:r>
            <w:r>
              <w:rPr>
                <w:noProof/>
              </w:rPr>
              <w:t xml:space="preserve"> мигранти. </w:t>
            </w:r>
          </w:p>
          <w:p>
            <w:pPr>
              <w:jc w:val="both"/>
              <w:rPr>
                <w:noProof/>
              </w:rPr>
            </w:pPr>
            <w:r>
              <w:rPr>
                <w:noProof/>
              </w:rPr>
              <w:t xml:space="preserve">X Процедурата за възлагане на обществена поръчка за новата програма за подпомагане на доброволното връщане, която следва да се финансира по линия на националната програма по фонд „Убежище, миграция и интеграция“, беше завършена, а договорът следва да бъде подписан тази седмица. </w:t>
            </w:r>
          </w:p>
          <w:p>
            <w:pPr>
              <w:jc w:val="both"/>
              <w:rPr>
                <w:noProof/>
              </w:rPr>
            </w:pPr>
            <w:r>
              <w:rPr>
                <w:noProof/>
              </w:rPr>
              <w:t>Х По линия на фонд „Убежище, миграция и интеграция“ е финансирана спешна програма за принудително връщане (която ще бъде изпълнявана от гръцката полиция). Процедурата за възлагане на обществена поръчка за превоза (осигуряване на билети) във връзка с операциите по принудително връщане чрез търговски полети е обаче все още в ход и трябва да бъде приключена без отлагане.</w:t>
            </w:r>
          </w:p>
        </w:tc>
      </w:tr>
      <w:tr>
        <w:trPr>
          <w:cantSplit/>
          <w:trHeight w:val="384"/>
        </w:trPr>
        <w:tc>
          <w:tcPr>
            <w:tcW w:w="1720" w:type="dxa"/>
            <w:vMerge/>
            <w:tcBorders>
              <w:left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Дейностите на гръцките органи във връзка с връщането следва да бъдат съсредоточени повече върху гражданите на най-значимите в контекста на горещите точки държави (пакистанци, но също и афганистанци, иранци и бангладешци), вместо както досега върху граждани на Албания и бившата югославска република Македония.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t>Х Вж. по-горе по отношение на оперативния план. В един такъв план следва да се отчетат гражданствата на лицата, които понастоящем влизат в Гърция като част от незаконните миграционни потоци и не отговарят на профила на бежанец.</w:t>
            </w:r>
          </w:p>
          <w:p>
            <w:pPr>
              <w:jc w:val="both"/>
              <w:rPr>
                <w:noProof/>
              </w:rPr>
            </w:pPr>
          </w:p>
        </w:tc>
      </w:tr>
      <w:tr>
        <w:trPr>
          <w:cantSplit/>
          <w:trHeight w:val="384"/>
        </w:trPr>
        <w:tc>
          <w:tcPr>
            <w:tcW w:w="1720" w:type="dxa"/>
            <w:vMerge/>
            <w:tcBorders>
              <w:left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 xml:space="preserve">Информацията относно подпомаганите доброволни връщания следва да бъде популяризирана сред мигрантите, които вече пребивават в горещите точки. Трябва да бъде обмислено и провеждането на информационна кампания в районите в близост до границата с бившата югославска република Македония.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Международната организация по миграция (МОМ) отвори специални бюра в Лесбос и е представена в Самос.</w:t>
            </w:r>
          </w:p>
          <w:p>
            <w:pPr>
              <w:jc w:val="both"/>
              <w:rPr>
                <w:noProof/>
              </w:rPr>
            </w:pPr>
            <w:r>
              <w:rPr>
                <w:noProof/>
              </w:rPr>
              <w:t>X В Централна Гърция и други горещи точки спешно следва да бъдат създадени специални точки за пристигащи мигранти, върнати от Идомени, за да бъде осигурена възможност за подпомагане на доброволното им връщане.</w:t>
            </w:r>
          </w:p>
          <w:p>
            <w:pPr>
              <w:jc w:val="both"/>
              <w:rPr>
                <w:noProof/>
              </w:rPr>
            </w:pPr>
            <w:r>
              <w:rPr>
                <w:noProof/>
              </w:rPr>
              <w:t>X МОМ следва да има представители във всички центрове за задържане в Гърция, за да предлага варианта за подпомагано доброволно връщане на мигранти, които подлежат на връщане.</w:t>
            </w:r>
          </w:p>
        </w:tc>
      </w:tr>
      <w:tr>
        <w:trPr>
          <w:cantSplit/>
          <w:trHeight w:val="14164"/>
        </w:trPr>
        <w:tc>
          <w:tcPr>
            <w:tcW w:w="1720" w:type="dxa"/>
            <w:vMerge/>
            <w:tcBorders>
              <w:left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Европейската комисия, подпомагана от държавите членки, следва допълнително да засили сътрудничеството и контактите с трети държави, за да се улесни обратното приемане на мигранти, които нямат право на международна закрила. Това включва по-специално и допълнителни усилия, за да се гарантира обратното приемане от Турция на граждани на трети държави. </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w:t>
            </w:r>
            <w:r>
              <w:rPr>
                <w:noProof/>
                <w:spacing w:val="-6"/>
              </w:rPr>
              <w:t>Съвместният комитет за обратно приемане приветства резултатите от скорошните разговори с пакистанските органи. Следващата стъпка, която трябва да бъде предприета като приоритет, е да се затвърди положителния напредък посредством нови полети от Гърция за Пакистан през следващите седмици</w:t>
            </w:r>
            <w:r>
              <w:rPr>
                <w:noProof/>
              </w:rPr>
              <w:t>.</w:t>
            </w:r>
          </w:p>
          <w:p>
            <w:pPr>
              <w:jc w:val="both"/>
              <w:rPr>
                <w:noProof/>
              </w:rPr>
            </w:pPr>
            <w:r>
              <w:rPr>
                <w:noProof/>
              </w:rPr>
              <w:sym w:font="Wingdings" w:char="F0FC"/>
            </w:r>
            <w:r>
              <w:rPr>
                <w:noProof/>
              </w:rPr>
              <w:t xml:space="preserve"> През март Турция прие обратно 519 незаконни мигранти.</w:t>
            </w:r>
          </w:p>
          <w:p>
            <w:pPr>
              <w:jc w:val="both"/>
              <w:rPr>
                <w:noProof/>
              </w:rPr>
            </w:pPr>
            <w:r>
              <w:rPr>
                <w:noProof/>
              </w:rPr>
              <w:t xml:space="preserve">Х </w:t>
            </w:r>
            <w:r>
              <w:rPr>
                <w:noProof/>
                <w:spacing w:val="-8"/>
              </w:rPr>
              <w:t>Съобразно общата декларация от срещата на върха между ЕС и Турция гръцките органи следва да увеличат своите усилия, по-специално като ускорят подаването на исканията за обратно приемане до Турция и сведат до минимум риска мигрантите да се укрият по време на процедурата. Турция също така следва да си сътрудничи по-тясно с гръцките органи с цел да се повишат съществено броят на мигрантите, допуснати за обратно приемане, и броят на реално приетите обратно мигранти (през 2015</w:t>
            </w:r>
            <w:r>
              <w:rPr>
                <w:noProof/>
                <w:spacing w:val="-8"/>
                <w:lang w:val="en-GB"/>
              </w:rPr>
              <w:t> </w:t>
            </w:r>
            <w:r>
              <w:rPr>
                <w:noProof/>
                <w:spacing w:val="-8"/>
              </w:rPr>
              <w:t>г. Турция е допуснала 5 148 искания, но е приела обратно само 8 лица). Наскоро беше отбелязан значителен напредък за постигането на тази цел с обратното приемане в Турция на ... лица през месец.</w:t>
            </w:r>
            <w:r>
              <w:rPr>
                <w:noProof/>
                <w:spacing w:val="-8"/>
                <w:sz w:val="28"/>
              </w:rPr>
              <w:t>..</w:t>
            </w:r>
          </w:p>
          <w:p>
            <w:pPr>
              <w:jc w:val="both"/>
              <w:rPr>
                <w:noProof/>
              </w:rPr>
            </w:pPr>
            <w:r>
              <w:rPr>
                <w:noProof/>
              </w:rPr>
              <w:t xml:space="preserve">Х </w:t>
            </w:r>
            <w:r>
              <w:rPr>
                <w:noProof/>
                <w:spacing w:val="-8"/>
              </w:rPr>
              <w:t>Frontex, подпомагана от държавите членки, следва бързо да установи практически договорености с Гърция във връзка с новия оперативен план, така че да съдейства за навременното подаване на искания за обратно приемане до Турция и за превоза на мигранти от мястото, където са задържани, и/или от центровете за задържане до едно от трите места за напускане, договорени в гръцко-турския протокол.</w:t>
            </w:r>
          </w:p>
          <w:p>
            <w:pPr>
              <w:jc w:val="both"/>
              <w:rPr>
                <w:noProof/>
              </w:rPr>
            </w:pPr>
            <w:r>
              <w:rPr>
                <w:noProof/>
              </w:rPr>
              <w:t>Х Гърция прикани Турция да определи служители за връзка, които да бъдат изпратени в Гърция, с цел улесняване на исканията за обратно приемане.</w:t>
            </w:r>
          </w:p>
          <w:p>
            <w:pPr>
              <w:jc w:val="both"/>
              <w:rPr>
                <w:noProof/>
              </w:rPr>
            </w:pPr>
            <w:r>
              <w:rPr>
                <w:noProof/>
              </w:rPr>
              <w:t xml:space="preserve">Х </w:t>
            </w:r>
            <w:r>
              <w:rPr>
                <w:noProof/>
                <w:spacing w:val="-6"/>
              </w:rPr>
              <w:t>Гърция следва да осигури цялостното физическо присъствие на мигрантите, допуснати от Турция за обратно приемане (при необходимост чрез своевременно задържане преди извеждането от територията на страната).</w:t>
            </w:r>
          </w:p>
        </w:tc>
      </w:tr>
      <w:tr>
        <w:trPr>
          <w:cantSplit/>
          <w:trHeight w:val="384"/>
        </w:trPr>
        <w:tc>
          <w:tcPr>
            <w:tcW w:w="1720" w:type="dxa"/>
            <w:vMerge/>
            <w:tcBorders>
              <w:left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Frontex следва да гарантира, че съвместните полети за връщане правят редовни междинни кацания в Гърция с цел извършване на операции по връщане.</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Frontex, подкрепяна от държавите членки, координира и подпомага всички съвместни операции по връщане с междинни кацания в Гърция. </w:t>
            </w:r>
          </w:p>
          <w:p>
            <w:pPr>
              <w:jc w:val="both"/>
              <w:rPr>
                <w:noProof/>
              </w:rPr>
            </w:pPr>
            <w:r>
              <w:rPr>
                <w:noProof/>
              </w:rPr>
              <w:sym w:font="Wingdings" w:char="F0FC"/>
            </w:r>
            <w:r>
              <w:rPr>
                <w:noProof/>
              </w:rPr>
              <w:t xml:space="preserve"> </w:t>
            </w:r>
            <w:r>
              <w:rPr>
                <w:noProof/>
                <w:spacing w:val="-6"/>
              </w:rPr>
              <w:t>За 16 март Frontex планира съвместна операция по връщане с местоназначение Пакистан и междинно кацане в Гърция като първа стъпка от поредица нови дейности за активизиране на съвместните операции по връщане, организирани от Frontex, с участието на Гърция.</w:t>
            </w:r>
          </w:p>
          <w:p>
            <w:pPr>
              <w:jc w:val="both"/>
              <w:rPr>
                <w:noProof/>
              </w:rPr>
            </w:pPr>
            <w:r>
              <w:rPr>
                <w:noProof/>
              </w:rPr>
              <w:t>Х Гръцките органи трябва редовно и своевременно да съобщават на Frontex специфичните си потребности, за да могат да се планират и изпълняват съвместни операции по връщане.</w:t>
            </w:r>
          </w:p>
        </w:tc>
      </w:tr>
      <w:tr>
        <w:trPr>
          <w:cantSplit/>
          <w:trHeight w:val="384"/>
        </w:trPr>
        <w:tc>
          <w:tcPr>
            <w:tcW w:w="1720" w:type="dxa"/>
            <w:vMerge/>
            <w:tcBorders>
              <w:left w:val="single" w:sz="4" w:space="0" w:color="auto"/>
              <w:bottom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Необходимо е спешно да бъдат подобрени условията в центровете за задържане.</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Гръцките органи изготвят рамков договор за услуги за предоставяне на храна за центровете от затворен тип за настаняване преди извеждане за периода 2016—2018 г. Въз основа на правните разпоредби, приети на 29 януари 2016 г., гръцката полиция се ангажира да осигурява храна до сключването на съответния договор.</w:t>
            </w:r>
          </w:p>
          <w:p>
            <w:pPr>
              <w:jc w:val="both"/>
              <w:rPr>
                <w:noProof/>
              </w:rPr>
            </w:pPr>
            <w:r>
              <w:rPr>
                <w:noProof/>
              </w:rPr>
              <w:t xml:space="preserve">X В допълнение към услугите за предоставяне на храна, някои центрове от затворен тип за настаняване преди извеждане, по-специално тези на островите, следва при необходимост да бъдат реновирани и да се поддържат правилно, за да се осигури адекватно настаняване на мигрантите в съответствие със стандартите на ЕС. Когато се смята за необходимо, следва да се идентифицират и разработят нови места за изграждане на центрове за задържане на островите, по-специално с оглед на бързото обратно приемане от Турция. </w:t>
            </w:r>
          </w:p>
        </w:tc>
      </w:tr>
      <w:tr>
        <w:trPr>
          <w:cantSplit/>
          <w:trHeight w:val="384"/>
        </w:trPr>
        <w:tc>
          <w:tcPr>
            <w:tcW w:w="1720" w:type="dxa"/>
            <w:tcBorders>
              <w:left w:val="single" w:sz="4" w:space="0" w:color="auto"/>
              <w:bottom w:val="single" w:sz="4" w:space="0" w:color="auto"/>
              <w:right w:val="single" w:sz="4" w:space="0" w:color="auto"/>
            </w:tcBorders>
            <w:vAlign w:val="center"/>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Европейската комисия, подпомагана от държавите членки, следва допълнително да засили сътрудничеството и контактите с трети държави, за да се улесни обратното приемане на мигранти, които нямат право на международна закрила, включително чрез целево използване на Доверителния фонд за Африка.</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Заседания на съвместните комитети с Турция и Пакистан за обратно приемане бяха проведени съответно на 19 януари и на 2 февруари 2016 г. Комисията посети Афганистан и Нигерия с цел обсъждане на обратното приемане.</w:t>
            </w:r>
          </w:p>
        </w:tc>
      </w:tr>
      <w:tr>
        <w:trPr>
          <w:cantSplit/>
          <w:trHeight w:val="384"/>
        </w:trPr>
        <w:tc>
          <w:tcPr>
            <w:tcW w:w="1720" w:type="dxa"/>
            <w:vMerge w:val="restart"/>
            <w:tcBorders>
              <w:top w:val="single" w:sz="4" w:space="0" w:color="auto"/>
              <w:left w:val="single" w:sz="4" w:space="0" w:color="auto"/>
              <w:bottom w:val="single" w:sz="4" w:space="0" w:color="auto"/>
              <w:right w:val="single" w:sz="4" w:space="0" w:color="auto"/>
            </w:tcBorders>
          </w:tcPr>
          <w:p>
            <w:pPr>
              <w:jc w:val="both"/>
              <w:rPr>
                <w:b/>
                <w:bCs/>
                <w:noProof/>
              </w:rPr>
            </w:pPr>
            <w:r>
              <w:rPr>
                <w:b/>
                <w:noProof/>
              </w:rPr>
              <w:t xml:space="preserve">Подобряване на управлението на границите </w:t>
            </w: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Гръцките органи и Frontex следва бързо да определят оперативните детайли относно разполагането на служителите на Frontex по северната граница на Гърция.</w:t>
            </w:r>
          </w:p>
          <w:p>
            <w:pPr>
              <w:jc w:val="both"/>
              <w:rPr>
                <w:noProof/>
              </w:rPr>
            </w:pP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Понастоящем е в ход операцията на Frontex по северната граница на Гърция. Както беше договорено с Frontex, Гърция е назначила 105 полицейски служители, включително 5 ръководители на екипи, които да работят заедно с 25-те служители на Frontex. Тяхното командироване се съфинансира от Frontex. Приключи ремонтът на помещенията за съвместни операции на Frontex и гръцката полиция на старата железопътна гара в близост до Идомени.</w:t>
            </w:r>
          </w:p>
          <w:p>
            <w:pPr>
              <w:jc w:val="both"/>
              <w:rPr>
                <w:noProof/>
              </w:rPr>
            </w:pPr>
            <w:r>
              <w:rPr>
                <w:noProof/>
              </w:rPr>
              <w:t>X Досега Frontex успя да изпрати по места едва 9 от тези 25 служители поради пропуски в ангажиментите, поети от държавите членки. За възможното разширяване на обхвата на предоставяната от Frontex оперативна помощ в този регион също ще са необходими по-нататъшни ангажименти от държавите членки.</w:t>
            </w:r>
          </w:p>
          <w:p>
            <w:pPr>
              <w:jc w:val="both"/>
              <w:rPr>
                <w:noProof/>
              </w:rPr>
            </w:pPr>
            <w:r>
              <w:rPr>
                <w:noProof/>
              </w:rPr>
              <w:sym w:font="Wingdings" w:char="F0FC"/>
            </w:r>
            <w:r>
              <w:rPr>
                <w:noProof/>
              </w:rPr>
              <w:t xml:space="preserve"> Frontex ще подпомага гръцките органи при проверката на самоличността на граждани на трети държави и при проверката дали те са регистрирани в съответните бази данни.</w:t>
            </w:r>
          </w:p>
          <w:p>
            <w:pPr>
              <w:jc w:val="both"/>
              <w:rPr>
                <w:noProof/>
              </w:rPr>
            </w:pPr>
            <w:r>
              <w:rPr>
                <w:noProof/>
              </w:rPr>
              <w:sym w:font="Wingdings" w:char="F0FC"/>
            </w:r>
            <w:r>
              <w:rPr>
                <w:noProof/>
              </w:rPr>
              <w:t xml:space="preserve"> Frontex предложи да увеличи оперативната помощ на северните граници на Гърция, включително тази с Албания, за да се осигури ефективният контрол на тези граници, с което да се предотвратят незаконните вторични движения и миграционните потоци да се насочат към граничните пропускателни пунктове в съответствие с Кодекса на шенгенските граници.</w:t>
            </w:r>
          </w:p>
          <w:p>
            <w:pPr>
              <w:jc w:val="both"/>
              <w:rPr>
                <w:noProof/>
              </w:rPr>
            </w:pPr>
          </w:p>
        </w:tc>
      </w:tr>
      <w:tr>
        <w:trPr>
          <w:cantSplit/>
          <w:trHeight w:val="384"/>
        </w:trPr>
        <w:tc>
          <w:tcPr>
            <w:tcW w:w="1720" w:type="dxa"/>
            <w:vMerge/>
            <w:tcBorders>
              <w:top w:val="single" w:sz="4" w:space="0" w:color="auto"/>
              <w:left w:val="single" w:sz="4" w:space="0" w:color="auto"/>
              <w:bottom w:val="single" w:sz="4" w:space="0" w:color="auto"/>
              <w:right w:val="single" w:sz="4" w:space="0" w:color="auto"/>
            </w:tcBorders>
            <w:vAlign w:val="center"/>
            <w:hideMark/>
          </w:tcPr>
          <w:p>
            <w:pPr>
              <w:jc w:val="both"/>
              <w:rPr>
                <w:b/>
                <w:bCs/>
                <w:noProof/>
              </w:rPr>
            </w:pPr>
          </w:p>
        </w:tc>
        <w:tc>
          <w:tcPr>
            <w:tcW w:w="340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Освен активирането на RABIT държавите членки следва незабавно да предоставят персонал и оборудване, за да се гарантира, че са напълно удовлетворени установените от Гърция и Frontex потребности.</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w:t>
            </w:r>
            <w:r>
              <w:rPr>
                <w:noProof/>
                <w:spacing w:val="-6"/>
              </w:rPr>
              <w:t>Операцията за бърза намеса „Посейдон“ на островите в Егейско море започна на 28.12.2015 г. Понастоящем в операцията участват 775 командировани служители (243 членове на екипажи, 248 експерти по пръстови отпечатъци, 53 експерти по проверка, 30 квалифицирани експерти по проверка на документи, 75 устни преводачи, 16 експерти по получаване на информация, 8 служители на Frontex за подпомагане, 31 ръководители на екипи, 71 служители по координацията).</w:t>
            </w:r>
          </w:p>
          <w:p>
            <w:pPr>
              <w:jc w:val="both"/>
              <w:rPr>
                <w:noProof/>
              </w:rPr>
            </w:pPr>
            <w:r>
              <w:rPr>
                <w:noProof/>
              </w:rPr>
              <w:t xml:space="preserve"> X Ангажиментите, поети от държавите членки, достигнаха 65 % от заявените нужди.</w:t>
            </w:r>
          </w:p>
        </w:tc>
      </w:tr>
      <w:tr>
        <w:trPr>
          <w:cantSplit/>
          <w:trHeight w:val="384"/>
        </w:trPr>
        <w:tc>
          <w:tcPr>
            <w:tcW w:w="1720" w:type="dxa"/>
            <w:vMerge w:val="restart"/>
            <w:tcBorders>
              <w:top w:val="single" w:sz="4" w:space="0" w:color="auto"/>
              <w:left w:val="single" w:sz="4" w:space="0" w:color="auto"/>
              <w:right w:val="single" w:sz="4" w:space="0" w:color="auto"/>
            </w:tcBorders>
            <w:vAlign w:val="center"/>
          </w:tcPr>
          <w:p>
            <w:pPr>
              <w:jc w:val="both"/>
              <w:rPr>
                <w:b/>
                <w:bCs/>
                <w:noProof/>
              </w:rPr>
            </w:pPr>
            <w:r>
              <w:rPr>
                <w:b/>
                <w:noProof/>
              </w:rPr>
              <w:t>Капацитет за приемане</w:t>
            </w: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Гърция трябва бързо да приключи изграждането на всички 7 000 места за приемане на петте острова, които са обявени за горещи точки.</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Местата за приемане в горещите точки следва да бъдат на разположение с приключването на строителните работи. Ако е необходимо и в зависимост от ситуацията на всеки отделен остров, властите биха могли да предвидят допълнителен резервен капацитет.</w:t>
            </w:r>
          </w:p>
        </w:tc>
      </w:tr>
      <w:tr>
        <w:trPr>
          <w:cantSplit/>
          <w:trHeight w:val="384"/>
        </w:trPr>
        <w:tc>
          <w:tcPr>
            <w:tcW w:w="1720" w:type="dxa"/>
            <w:vMerge/>
            <w:tcBorders>
              <w:left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Гърция трябва да подобри приемането на уязвимите групи, по-специално на непридружените ненавършили пълнолетие лица. </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УНИЦЕФ, ВКБООН и организацията „Спасете децата“ стартираха пилотен проект в Кос, Лесбос и Идомени за осигуряване на специални грижи за ненавършили пълнолетие лица. Планира се проектът да обхване също така Самос и Лерос.</w:t>
            </w:r>
          </w:p>
          <w:p>
            <w:pPr>
              <w:jc w:val="both"/>
              <w:rPr>
                <w:noProof/>
              </w:rPr>
            </w:pPr>
            <w:r>
              <w:rPr>
                <w:noProof/>
              </w:rPr>
              <w:sym w:font="Wingdings" w:char="F0FC"/>
            </w:r>
            <w:r>
              <w:rPr>
                <w:noProof/>
              </w:rPr>
              <w:t xml:space="preserve"> Като последна стъпка от процедурата за регистрация във всички горещи точки се предвижда медицински преглед.</w:t>
            </w:r>
          </w:p>
          <w:p>
            <w:pPr>
              <w:jc w:val="both"/>
              <w:rPr>
                <w:noProof/>
              </w:rPr>
            </w:pPr>
            <w:r>
              <w:rPr>
                <w:noProof/>
              </w:rPr>
              <w:t>X Гърция следва да осигури адекватен капацитет за настаняване на непридружени ненавършили пълнолетие лица и други уязвими групи, след като те бъдат прехвърлени от островите.</w:t>
            </w:r>
          </w:p>
        </w:tc>
      </w:tr>
      <w:tr>
        <w:trPr>
          <w:cantSplit/>
          <w:trHeight w:val="384"/>
        </w:trPr>
        <w:tc>
          <w:tcPr>
            <w:tcW w:w="1720" w:type="dxa"/>
            <w:vMerge/>
            <w:tcBorders>
              <w:left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Трябва да бъдат намерени повече структурни решения относно осигуряването на храна и задоволяването на други основни потребности в структурите за приемане. </w:t>
            </w:r>
          </w:p>
        </w:tc>
        <w:tc>
          <w:tcPr>
            <w:tcW w:w="4485"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Гръцките органи изготвят рамков договор за услуги за предоставяне на храна за структурите за приемане за периода 2016—2018 г.</w:t>
            </w:r>
          </w:p>
        </w:tc>
      </w:tr>
      <w:tr>
        <w:trPr>
          <w:cantSplit/>
          <w:trHeight w:val="384"/>
        </w:trPr>
        <w:tc>
          <w:tcPr>
            <w:tcW w:w="1720" w:type="dxa"/>
            <w:vMerge/>
            <w:tcBorders>
              <w:left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rPr>
            </w:pPr>
            <w:r>
              <w:rPr>
                <w:noProof/>
              </w:rPr>
              <w:t xml:space="preserve">Гърция следва да продължи да повишава своя капацитет за приемане в съответствие с ангажиментите, поети на срещата на високо равнище, посветена на маршрута през Западните Балкани. </w:t>
            </w:r>
          </w:p>
        </w:tc>
        <w:tc>
          <w:tcPr>
            <w:tcW w:w="4485" w:type="dxa"/>
            <w:tcBorders>
              <w:top w:val="single" w:sz="4" w:space="0" w:color="auto"/>
              <w:left w:val="single" w:sz="4" w:space="0" w:color="auto"/>
              <w:bottom w:val="single" w:sz="4" w:space="0" w:color="auto"/>
              <w:right w:val="single" w:sz="4" w:space="0" w:color="auto"/>
            </w:tcBorders>
          </w:tcPr>
          <w:p>
            <w:pPr>
              <w:rPr>
                <w:noProof/>
              </w:rPr>
            </w:pPr>
            <w:r>
              <w:rPr>
                <w:noProof/>
              </w:rPr>
              <w:sym w:font="Wingdings" w:char="F0FC"/>
            </w:r>
            <w:r>
              <w:rPr>
                <w:noProof/>
              </w:rPr>
              <w:t xml:space="preserve"> </w:t>
            </w:r>
            <w:r>
              <w:rPr>
                <w:noProof/>
                <w:spacing w:val="-6"/>
              </w:rPr>
              <w:t>Общият брой на наличните към момента места в структури за приемане в Гърция е 40 351 (без местата по схемата на ВКБООН за наем на жилища). Те включват:</w:t>
            </w:r>
          </w:p>
          <w:p>
            <w:pPr>
              <w:pStyle w:val="ListParagraph"/>
              <w:numPr>
                <w:ilvl w:val="0"/>
                <w:numId w:val="4"/>
              </w:numPr>
              <w:ind w:left="691"/>
              <w:contextualSpacing w:val="0"/>
              <w:rPr>
                <w:noProof/>
                <w:spacing w:val="-6"/>
              </w:rPr>
            </w:pPr>
            <w:r>
              <w:rPr>
                <w:noProof/>
                <w:spacing w:val="-6"/>
              </w:rPr>
              <w:t>23 388 места в отворени структури за приемане в континенталната част на страната. Някои от тези съоръжения са подходящи само за кратък престой, а други са подходящи за по-дълъг престой;</w:t>
            </w:r>
          </w:p>
          <w:p>
            <w:pPr>
              <w:pStyle w:val="ListParagraph"/>
              <w:numPr>
                <w:ilvl w:val="0"/>
                <w:numId w:val="4"/>
              </w:numPr>
              <w:ind w:left="691"/>
              <w:contextualSpacing w:val="0"/>
              <w:rPr>
                <w:noProof/>
                <w:spacing w:val="-6"/>
              </w:rPr>
            </w:pPr>
            <w:r>
              <w:rPr>
                <w:noProof/>
                <w:spacing w:val="-6"/>
              </w:rPr>
              <w:t>1 221 места в континенталната част на страната и на островите в специално предназначени съоръжения за лица, търсещи убежище, и за непридружени ненавършили пълнолетие лица;</w:t>
            </w:r>
          </w:p>
          <w:p>
            <w:pPr>
              <w:pStyle w:val="ListParagraph"/>
              <w:numPr>
                <w:ilvl w:val="0"/>
                <w:numId w:val="4"/>
              </w:numPr>
              <w:ind w:left="691"/>
              <w:contextualSpacing w:val="0"/>
              <w:rPr>
                <w:noProof/>
                <w:spacing w:val="-6"/>
              </w:rPr>
            </w:pPr>
            <w:r>
              <w:rPr>
                <w:noProof/>
                <w:spacing w:val="-6"/>
              </w:rPr>
              <w:t>5 950 места в структури за приемане в горещите точки (включително 1 100 места в резервното съоръжение Kara Tepe в Лесбос);</w:t>
            </w:r>
          </w:p>
          <w:p>
            <w:pPr>
              <w:pStyle w:val="ListParagraph"/>
              <w:numPr>
                <w:ilvl w:val="0"/>
                <w:numId w:val="4"/>
              </w:numPr>
              <w:ind w:left="691"/>
              <w:contextualSpacing w:val="0"/>
              <w:rPr>
                <w:noProof/>
              </w:rPr>
            </w:pPr>
            <w:r>
              <w:rPr>
                <w:noProof/>
              </w:rPr>
              <w:t>4 433 други места в структури за приемане от първа линия на островите (извън горещите точки);</w:t>
            </w:r>
          </w:p>
          <w:p>
            <w:pPr>
              <w:pStyle w:val="ListParagraph"/>
              <w:numPr>
                <w:ilvl w:val="0"/>
                <w:numId w:val="4"/>
              </w:numPr>
              <w:ind w:left="691"/>
              <w:contextualSpacing w:val="0"/>
              <w:rPr>
                <w:noProof/>
              </w:rPr>
            </w:pPr>
            <w:r>
              <w:rPr>
                <w:noProof/>
              </w:rPr>
              <w:t>5 359 места са налични в центрове за настаняване преди извеждане.</w:t>
            </w:r>
          </w:p>
          <w:p>
            <w:pPr>
              <w:ind w:left="691"/>
              <w:rPr>
                <w:noProof/>
                <w:sz w:val="8"/>
                <w:szCs w:val="8"/>
              </w:rPr>
            </w:pPr>
          </w:p>
          <w:p>
            <w:pPr>
              <w:rPr>
                <w:noProof/>
              </w:rPr>
            </w:pPr>
            <w:r>
              <w:rPr>
                <w:noProof/>
              </w:rPr>
              <w:t>Когато планираното разширяване на съоръженията в Schisto, Diavata, Malakasa и Agios Andreasa приключи, общият брой на местата в структури за приемане в Гърция ще достигне 46 351 (без местата по схемата на ВКБООН за наем на жилища).</w:t>
            </w:r>
          </w:p>
          <w:p>
            <w:pPr>
              <w:rPr>
                <w:noProof/>
                <w:sz w:val="8"/>
                <w:szCs w:val="8"/>
              </w:rPr>
            </w:pPr>
          </w:p>
          <w:p>
            <w:pPr>
              <w:rPr>
                <w:noProof/>
              </w:rPr>
            </w:pPr>
            <w:r>
              <w:rPr>
                <w:noProof/>
              </w:rPr>
              <w:t>ВКБООН е подписал споразумения за изпълнение с неправителствените организации „Praksis“, „Nostos“, „Iliaktida“, „Solidarity Now“ и „Arsis“ за осигуряването на общо 16 250 места, които постепенно ще бъдат предоставени през 2016 г. в контекста на схемата на ВКБООН за наем на жилища. Към 11 март 2016 г. ВКБООН подслоняваше 1 387 кандидати за убежище в помещения, предоставени по схемата за наем на жилища.</w:t>
            </w:r>
          </w:p>
          <w:p>
            <w:pPr>
              <w:jc w:val="both"/>
              <w:rPr>
                <w:noProof/>
              </w:rPr>
            </w:pPr>
          </w:p>
        </w:tc>
      </w:tr>
      <w:tr>
        <w:trPr>
          <w:cantSplit/>
          <w:trHeight w:val="384"/>
        </w:trPr>
        <w:tc>
          <w:tcPr>
            <w:tcW w:w="1720" w:type="dxa"/>
            <w:vMerge/>
            <w:tcBorders>
              <w:left w:val="single" w:sz="4" w:space="0" w:color="auto"/>
              <w:bottom w:val="single" w:sz="4" w:space="0" w:color="auto"/>
              <w:right w:val="single" w:sz="4" w:space="0" w:color="auto"/>
            </w:tcBorders>
            <w:vAlign w:val="center"/>
          </w:tcPr>
          <w:p>
            <w:pPr>
              <w:jc w:val="both"/>
              <w:rPr>
                <w:b/>
                <w:noProof/>
              </w:rPr>
            </w:pPr>
          </w:p>
        </w:tc>
        <w:tc>
          <w:tcPr>
            <w:tcW w:w="3401" w:type="dxa"/>
            <w:tcBorders>
              <w:top w:val="single" w:sz="4" w:space="0" w:color="auto"/>
              <w:left w:val="single" w:sz="4" w:space="0" w:color="auto"/>
              <w:bottom w:val="single" w:sz="4" w:space="0" w:color="auto"/>
              <w:right w:val="single" w:sz="4" w:space="0" w:color="auto"/>
            </w:tcBorders>
          </w:tcPr>
          <w:p>
            <w:pPr>
              <w:jc w:val="both"/>
              <w:rPr>
                <w:noProof/>
                <w:lang w:val="en-GB"/>
              </w:rPr>
            </w:pPr>
          </w:p>
          <w:p>
            <w:pPr>
              <w:jc w:val="both"/>
              <w:rPr>
                <w:noProof/>
                <w:lang w:val="en-GB"/>
              </w:rPr>
            </w:pPr>
          </w:p>
          <w:p>
            <w:pPr>
              <w:jc w:val="both"/>
              <w:rPr>
                <w:noProof/>
                <w:lang w:val="en-GB"/>
              </w:rPr>
            </w:pPr>
          </w:p>
          <w:p>
            <w:pPr>
              <w:jc w:val="both"/>
              <w:rPr>
                <w:noProof/>
                <w:lang w:val="en-GB"/>
              </w:rPr>
            </w:pPr>
          </w:p>
          <w:p>
            <w:pPr>
              <w:jc w:val="both"/>
              <w:rPr>
                <w:noProof/>
                <w:lang w:val="en-GB"/>
              </w:rPr>
            </w:pPr>
          </w:p>
          <w:p>
            <w:pPr>
              <w:jc w:val="both"/>
              <w:rPr>
                <w:noProof/>
                <w:lang w:val="en-GB"/>
              </w:rPr>
            </w:pPr>
          </w:p>
          <w:p>
            <w:pPr>
              <w:jc w:val="both"/>
              <w:rPr>
                <w:noProof/>
                <w:lang w:val="en-GB"/>
              </w:rPr>
            </w:pPr>
          </w:p>
          <w:p>
            <w:pPr>
              <w:jc w:val="both"/>
              <w:rPr>
                <w:noProof/>
                <w:lang w:val="en-GB"/>
              </w:rPr>
            </w:pPr>
          </w:p>
          <w:p>
            <w:pPr>
              <w:jc w:val="both"/>
              <w:rPr>
                <w:noProof/>
              </w:rPr>
            </w:pPr>
            <w:r>
              <w:rPr>
                <w:noProof/>
              </w:rPr>
              <w:t xml:space="preserve">Държавите членки следва да отговарят незабавно на исканията за помощ, отправени чрез Механизма на ЕС за гражданска защита. </w:t>
            </w:r>
          </w:p>
        </w:tc>
        <w:tc>
          <w:tcPr>
            <w:tcW w:w="4485" w:type="dxa"/>
            <w:tcBorders>
              <w:top w:val="single" w:sz="4" w:space="0" w:color="auto"/>
              <w:left w:val="single" w:sz="4" w:space="0" w:color="auto"/>
              <w:bottom w:val="single" w:sz="4" w:space="0" w:color="auto"/>
              <w:right w:val="single" w:sz="4" w:space="0" w:color="auto"/>
            </w:tcBorders>
          </w:tcPr>
          <w:p>
            <w:pPr>
              <w:rPr>
                <w:noProof/>
              </w:rPr>
            </w:pPr>
            <w:r>
              <w:rPr>
                <w:noProof/>
              </w:rPr>
              <w:t>Х С подкрепата на Европейската комисия и ВКБООН Гърция следва да продължи да увеличава и подобрява капацитета си за приемане, така че да посреща потребностите на мигрантите и бежанците, намиращи се на нейната територия.</w:t>
            </w:r>
          </w:p>
          <w:p>
            <w:pPr>
              <w:jc w:val="both"/>
              <w:rPr>
                <w:noProof/>
              </w:rPr>
            </w:pPr>
          </w:p>
          <w:p>
            <w:pPr>
              <w:jc w:val="both"/>
              <w:rPr>
                <w:noProof/>
                <w:spacing w:val="-6"/>
              </w:rPr>
            </w:pPr>
            <w:r>
              <w:rPr>
                <w:noProof/>
              </w:rPr>
              <w:sym w:font="Wingdings" w:char="F0FC"/>
            </w:r>
            <w:r>
              <w:rPr>
                <w:noProof/>
              </w:rPr>
              <w:t xml:space="preserve"> </w:t>
            </w:r>
            <w:r>
              <w:rPr>
                <w:noProof/>
                <w:spacing w:val="-6"/>
              </w:rPr>
              <w:t>През декември Гърция подаде първото си искане за помощ по линия на Механизма за гражданска защита на Съюза.</w:t>
            </w:r>
          </w:p>
          <w:p>
            <w:pPr>
              <w:jc w:val="both"/>
              <w:rPr>
                <w:noProof/>
              </w:rPr>
            </w:pPr>
            <w:r>
              <w:rPr>
                <w:noProof/>
              </w:rPr>
              <w:sym w:font="Wingdings" w:char="F0FC"/>
            </w:r>
            <w:r>
              <w:rPr>
                <w:noProof/>
              </w:rPr>
              <w:t xml:space="preserve"> На 29 февруари Гърция подаде актуализирано искане за помощ в натура чрез Механизма за гражданска защита на Съюза.</w:t>
            </w:r>
          </w:p>
          <w:p>
            <w:pPr>
              <w:jc w:val="both"/>
              <w:rPr>
                <w:noProof/>
              </w:rPr>
            </w:pPr>
            <w:r>
              <w:rPr>
                <w:noProof/>
              </w:rPr>
              <w:t xml:space="preserve">Х </w:t>
            </w:r>
            <w:r>
              <w:rPr>
                <w:noProof/>
                <w:spacing w:val="-6"/>
              </w:rPr>
              <w:t>Досега помощ в натура са предложили 14 държави членки и Норвегия.</w:t>
            </w:r>
            <w:r>
              <w:rPr>
                <w:noProof/>
              </w:rPr>
              <w:t xml:space="preserve"> </w:t>
            </w:r>
          </w:p>
        </w:tc>
      </w:tr>
    </w:tbl>
    <w:p>
      <w:pPr>
        <w:jc w:val="both"/>
        <w:rPr>
          <w:noProof/>
        </w:rPr>
      </w:pPr>
    </w:p>
    <w:p>
      <w:pPr>
        <w:jc w:val="both"/>
        <w:rPr>
          <w:noProof/>
        </w:rPr>
      </w:pPr>
    </w:p>
    <w:p>
      <w:pPr>
        <w:jc w:val="both"/>
        <w:rPr>
          <w:noProof/>
        </w:rPr>
      </w:pPr>
    </w:p>
    <w:p>
      <w:pPr>
        <w:jc w:val="both"/>
        <w:rPr>
          <w:noProof/>
        </w:rPr>
      </w:pPr>
    </w:p>
    <w:p>
      <w:pPr>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34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A47"/>
    <w:multiLevelType w:val="hybridMultilevel"/>
    <w:tmpl w:val="E0FE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0AE5977"/>
    <w:multiLevelType w:val="hybridMultilevel"/>
    <w:tmpl w:val="D57CB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71010851"/>
    <w:multiLevelType w:val="hybridMultilevel"/>
    <w:tmpl w:val="92207F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07AE9835324C405989F0A8B2E2F787A4"/>
    <w:docVar w:name="LW_CROSSREFERENCE" w:val="&lt;UNUSED&gt;"/>
    <w:docVar w:name="LW_DocType" w:val="NORMAL"/>
    <w:docVar w:name="LW_EMISSION" w:val="16.3.2016"/>
    <w:docVar w:name="LW_EMISSION_ISODATE" w:val="2016-03-16"/>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98?\u1088?\u1074?\u1080? \u1076?\u1086?\u1082?\u1083?\u1072?\u1076? \u1079?\u1072? \u1087?\u1088?\u1077?\u1084?\u1077?\u1089?\u1090?\u1074?\u1072?\u1085?\u1077?\u1090?\u1086? \u1080? \u1087?\u1088?\u1077?\u1079?\u1072?\u1089?\u1077?\u1083?\u1074?\u1072?\u1085?\u1077?\u1090?\u1086?"/>
    <w:docVar w:name="LW_PART_NBR" w:val="1"/>
    <w:docVar w:name="LW_PART_NBR_TOTAL" w:val="1"/>
    <w:docVar w:name="LW_REF.INST.NEW" w:val="COM"/>
    <w:docVar w:name="LW_REF.INST.NEW_ADOPTED" w:val="final"/>
    <w:docVar w:name="LW_REF.INST.NEW_TEXT" w:val="(2016) 165"/>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u1058?\u105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8534">
      <w:bodyDiv w:val="1"/>
      <w:marLeft w:val="0"/>
      <w:marRight w:val="0"/>
      <w:marTop w:val="0"/>
      <w:marBottom w:val="0"/>
      <w:divBdr>
        <w:top w:val="none" w:sz="0" w:space="0" w:color="auto"/>
        <w:left w:val="none" w:sz="0" w:space="0" w:color="auto"/>
        <w:bottom w:val="none" w:sz="0" w:space="0" w:color="auto"/>
        <w:right w:val="none" w:sz="0" w:space="0" w:color="auto"/>
      </w:divBdr>
    </w:div>
    <w:div w:id="602761167">
      <w:bodyDiv w:val="1"/>
      <w:marLeft w:val="0"/>
      <w:marRight w:val="0"/>
      <w:marTop w:val="0"/>
      <w:marBottom w:val="0"/>
      <w:divBdr>
        <w:top w:val="none" w:sz="0" w:space="0" w:color="auto"/>
        <w:left w:val="none" w:sz="0" w:space="0" w:color="auto"/>
        <w:bottom w:val="none" w:sz="0" w:space="0" w:color="auto"/>
        <w:right w:val="none" w:sz="0" w:space="0" w:color="auto"/>
      </w:divBdr>
    </w:div>
    <w:div w:id="708795474">
      <w:bodyDiv w:val="1"/>
      <w:marLeft w:val="0"/>
      <w:marRight w:val="0"/>
      <w:marTop w:val="0"/>
      <w:marBottom w:val="0"/>
      <w:divBdr>
        <w:top w:val="none" w:sz="0" w:space="0" w:color="auto"/>
        <w:left w:val="none" w:sz="0" w:space="0" w:color="auto"/>
        <w:bottom w:val="none" w:sz="0" w:space="0" w:color="auto"/>
        <w:right w:val="none" w:sz="0" w:space="0" w:color="auto"/>
      </w:divBdr>
    </w:div>
    <w:div w:id="1809779581">
      <w:bodyDiv w:val="1"/>
      <w:marLeft w:val="0"/>
      <w:marRight w:val="0"/>
      <w:marTop w:val="0"/>
      <w:marBottom w:val="0"/>
      <w:divBdr>
        <w:top w:val="none" w:sz="0" w:space="0" w:color="auto"/>
        <w:left w:val="none" w:sz="0" w:space="0" w:color="auto"/>
        <w:bottom w:val="none" w:sz="0" w:space="0" w:color="auto"/>
        <w:right w:val="none" w:sz="0" w:space="0" w:color="auto"/>
      </w:divBdr>
    </w:div>
    <w:div w:id="18440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2016-03-07T18:00:00+00:00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2016-03-08T23:00:00+00:00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0B60-F530-4F35-9705-D0864189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210BD-0DE9-48B9-8CC5-B97A316AC678}">
  <ds:schemaRefs>
    <ds:schemaRef ds:uri="http://schemas.microsoft.com/sharepoint/v3/contenttype/forms"/>
  </ds:schemaRefs>
</ds:datastoreItem>
</file>

<file path=customXml/itemProps3.xml><?xml version="1.0" encoding="utf-8"?>
<ds:datastoreItem xmlns:ds="http://schemas.openxmlformats.org/officeDocument/2006/customXml" ds:itemID="{ACFB8FBF-80CC-45F9-A03F-F2E97A6DB41B}">
  <ds:schemaRefs>
    <ds:schemaRef ds:uri="47eefe9a-f81e-47cf-b703-dc75e53a6b28"/>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microsoft.com/sharepoint/v3/field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A18F04C-A049-4050-B85C-1215FA8D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4452</Words>
  <Characters>25737</Characters>
  <Application>Microsoft Office Word</Application>
  <DocSecurity>0</DocSecurity>
  <Lines>1072</Lines>
  <Paragraphs>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Edouard (HOME)</dc:creator>
  <cp:lastModifiedBy>DIGIT/A3</cp:lastModifiedBy>
  <cp:revision>17</cp:revision>
  <cp:lastPrinted>2016-03-03T17:06:00Z</cp:lastPrinted>
  <dcterms:created xsi:type="dcterms:W3CDTF">2016-03-16T10:49:00Z</dcterms:created>
  <dcterms:modified xsi:type="dcterms:W3CDTF">2016-03-18T15:35:00Z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First annex">
    <vt:lpwstr>3</vt:lpwstr>
  </property>
  <property fmtid="{D5CDD505-2E9C-101B-9397-08002B2CF9AE}" pid="7" name="Last annex">
    <vt:lpwstr>3</vt:lpwstr>
  </property>
  <property fmtid="{D5CDD505-2E9C-101B-9397-08002B2CF9AE}" pid="8" name="DocStatus">
    <vt:lpwstr>Green</vt:lpwstr>
  </property>
</Properties>
</file>