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46" w:rsidRDefault="00573D9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7CF4F9F4FC94BB89721C04A23643ADA" style="width:451pt;height:429.95pt">
            <v:imagedata r:id="rId9" o:title=""/>
          </v:shape>
        </w:pict>
      </w:r>
    </w:p>
    <w:bookmarkEnd w:id="0"/>
    <w:p w:rsidR="00537046" w:rsidRDefault="00537046">
      <w:pPr>
        <w:spacing w:before="120" w:after="120" w:line="240" w:lineRule="auto"/>
        <w:rPr>
          <w:noProof/>
        </w:rPr>
        <w:sectPr w:rsidR="0053704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37046" w:rsidRDefault="00573D98">
      <w:pPr>
        <w:spacing w:before="120" w:after="120" w:line="240" w:lineRule="auto"/>
        <w:rPr>
          <w:rFonts w:ascii="Times New Roman" w:hAnsi="Times New Roman"/>
          <w:b/>
          <w:smallCaps/>
          <w:noProof/>
          <w:sz w:val="24"/>
          <w:szCs w:val="24"/>
        </w:rPr>
      </w:pPr>
      <w:r>
        <w:rPr>
          <w:rFonts w:ascii="Times New Roman" w:hAnsi="Times New Roman"/>
          <w:b/>
          <w:smallCaps/>
          <w:noProof/>
          <w:sz w:val="24"/>
          <w:szCs w:val="24"/>
        </w:rPr>
        <w:lastRenderedPageBreak/>
        <w:t>1.</w:t>
      </w:r>
      <w:r>
        <w:rPr>
          <w:rFonts w:ascii="Times New Roman" w:hAnsi="Times New Roman"/>
          <w:noProof/>
          <w:sz w:val="24"/>
          <w:szCs w:val="24"/>
        </w:rPr>
        <w:tab/>
      </w:r>
      <w:r>
        <w:rPr>
          <w:rFonts w:ascii="Times New Roman" w:hAnsi="Times New Roman"/>
          <w:b/>
          <w:smallCaps/>
          <w:noProof/>
          <w:sz w:val="24"/>
          <w:szCs w:val="24"/>
        </w:rPr>
        <w:t>Въведение</w:t>
      </w:r>
    </w:p>
    <w:p w:rsidR="00537046" w:rsidRDefault="00537046">
      <w:pPr>
        <w:spacing w:after="0" w:line="120" w:lineRule="auto"/>
        <w:rPr>
          <w:rFonts w:ascii="Times New Roman" w:hAnsi="Times New Roman"/>
          <w:b/>
          <w:noProof/>
          <w:sz w:val="24"/>
          <w:szCs w:val="24"/>
        </w:rPr>
      </w:pP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Европейският семестър е важен инструмент за провеждането на реформи на национално и </w:t>
      </w:r>
      <w:r>
        <w:rPr>
          <w:rFonts w:ascii="Times New Roman" w:hAnsi="Times New Roman"/>
          <w:b/>
          <w:noProof/>
          <w:sz w:val="24"/>
          <w:szCs w:val="24"/>
        </w:rPr>
        <w:t>европейско равнище. Той насочва вниманието към и осигурява координация на усилията на всички държави членки при изпълнението на макроикономически, бюджетни и структурни реформи.</w:t>
      </w:r>
      <w:r>
        <w:rPr>
          <w:rFonts w:ascii="Times New Roman" w:hAnsi="Times New Roman"/>
          <w:noProof/>
          <w:sz w:val="24"/>
          <w:szCs w:val="24"/>
        </w:rPr>
        <w:t xml:space="preserve"> В съответствие със Съобщението на Комисията „Стъпки към завършването на иконом</w:t>
      </w:r>
      <w:r>
        <w:rPr>
          <w:rFonts w:ascii="Times New Roman" w:hAnsi="Times New Roman"/>
          <w:noProof/>
          <w:sz w:val="24"/>
          <w:szCs w:val="24"/>
        </w:rPr>
        <w:t>ическия и паричния съюз“</w:t>
      </w:r>
      <w:r>
        <w:rPr>
          <w:rFonts w:ascii="Times New Roman" w:hAnsi="Times New Roman"/>
          <w:noProof/>
          <w:sz w:val="24"/>
          <w:szCs w:val="24"/>
          <w:vertAlign w:val="superscript"/>
        </w:rPr>
        <w:footnoteReference w:id="2"/>
      </w:r>
      <w:r>
        <w:rPr>
          <w:rFonts w:ascii="Times New Roman" w:hAnsi="Times New Roman"/>
          <w:noProof/>
          <w:sz w:val="24"/>
          <w:szCs w:val="24"/>
        </w:rPr>
        <w:t>, европейският семестър за 2016 г. доразвива оптимизирания процес, чието начало беше поставено през 2015 г. Той интегрира еврозоната и националните измерения и поставя по-силен акцент върху заетостта, резултатите в социалната сфера</w:t>
      </w:r>
      <w:r>
        <w:rPr>
          <w:rFonts w:ascii="Times New Roman" w:hAnsi="Times New Roman"/>
          <w:noProof/>
          <w:sz w:val="24"/>
          <w:szCs w:val="24"/>
        </w:rPr>
        <w:t xml:space="preserve">, инвестициите и конкурентоспособността. Семестърът насърчава сближаването и отчита значението на подкрепата от европейските фондове за провеждането на реформи, по-специално от европейските структурни и инвестиционни фондове и техническата помощ. </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В годишн</w:t>
      </w:r>
      <w:r>
        <w:rPr>
          <w:rFonts w:ascii="Times New Roman" w:hAnsi="Times New Roman"/>
          <w:b/>
          <w:noProof/>
          <w:sz w:val="24"/>
          <w:szCs w:val="24"/>
        </w:rPr>
        <w:t>ия обзор на растежа за 2016 г.</w:t>
      </w:r>
      <w:r>
        <w:rPr>
          <w:rFonts w:ascii="Times New Roman" w:hAnsi="Times New Roman"/>
          <w:b/>
          <w:noProof/>
          <w:sz w:val="24"/>
          <w:szCs w:val="24"/>
          <w:vertAlign w:val="superscript"/>
        </w:rPr>
        <w:footnoteReference w:id="3"/>
      </w:r>
      <w:r>
        <w:rPr>
          <w:rFonts w:ascii="Times New Roman" w:hAnsi="Times New Roman"/>
          <w:b/>
          <w:noProof/>
          <w:sz w:val="24"/>
          <w:szCs w:val="24"/>
        </w:rPr>
        <w:t xml:space="preserve"> Комисията постави ударение върху нуждата да бъде консолидирано и направено устойчиво възстановяването, както и да се ускори процесът на по-голямо сближаване.</w:t>
      </w:r>
      <w:r>
        <w:rPr>
          <w:rFonts w:ascii="Times New Roman" w:hAnsi="Times New Roman"/>
          <w:noProof/>
          <w:sz w:val="24"/>
          <w:szCs w:val="24"/>
        </w:rPr>
        <w:t xml:space="preserve"> Предизвикателствата и приоритетите за еврозоната бяха посочени същ</w:t>
      </w:r>
      <w:r>
        <w:rPr>
          <w:rFonts w:ascii="Times New Roman" w:hAnsi="Times New Roman"/>
          <w:noProof/>
          <w:sz w:val="24"/>
          <w:szCs w:val="24"/>
        </w:rPr>
        <w:t>о така и в препоръката относно икономическата политика на еврозоната.</w:t>
      </w:r>
      <w:r>
        <w:rPr>
          <w:rFonts w:ascii="Times New Roman" w:hAnsi="Times New Roman"/>
          <w:noProof/>
          <w:sz w:val="24"/>
          <w:szCs w:val="24"/>
          <w:vertAlign w:val="superscript"/>
        </w:rPr>
        <w:footnoteReference w:id="4"/>
      </w:r>
      <w:r>
        <w:rPr>
          <w:rFonts w:ascii="Times New Roman" w:hAnsi="Times New Roman"/>
          <w:noProof/>
          <w:sz w:val="24"/>
          <w:szCs w:val="24"/>
        </w:rPr>
        <w:t xml:space="preserve"> Постигането на засилено икономическо и социално сближаване е от ключово значение за преодоляване на различията в държавите членки и между тях. В тази връзка Комисията прикани държавите </w:t>
      </w:r>
      <w:r>
        <w:rPr>
          <w:rFonts w:ascii="Times New Roman" w:hAnsi="Times New Roman"/>
          <w:noProof/>
          <w:sz w:val="24"/>
          <w:szCs w:val="24"/>
        </w:rPr>
        <w:t>членки да се възползват от продължаващото умерено възстановяване, като съсредоточат усилията на политиката върху следните три приоритета: нов тласък за инвестициите, провеждане на структурни реформи за модернизиране на икономиките на ЕС и отговорни фискалн</w:t>
      </w:r>
      <w:r>
        <w:rPr>
          <w:rFonts w:ascii="Times New Roman" w:hAnsi="Times New Roman"/>
          <w:noProof/>
          <w:sz w:val="24"/>
          <w:szCs w:val="24"/>
        </w:rPr>
        <w:t xml:space="preserve">и политики. </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Докладите по държави в рамките на европейския семестър за 2016 г. бяха публикувани в момент, в който е от решаващо значение да се стимулира икономическото възстановяване и да се гарантира, че то е подпомогнато от необходимите мерки и политики </w:t>
      </w:r>
      <w:r>
        <w:rPr>
          <w:rFonts w:ascii="Times New Roman" w:hAnsi="Times New Roman"/>
          <w:b/>
          <w:noProof/>
          <w:sz w:val="24"/>
          <w:szCs w:val="24"/>
        </w:rPr>
        <w:t>за създаване на допълнителен растеж.</w:t>
      </w:r>
      <w:r>
        <w:rPr>
          <w:rFonts w:ascii="Times New Roman" w:hAnsi="Times New Roman"/>
          <w:noProof/>
          <w:sz w:val="24"/>
          <w:szCs w:val="24"/>
        </w:rPr>
        <w:t xml:space="preserve"> Докладите показват, че държавите членки полагат усилия в това отношение. Докато резултатите от някои реформи могат да отнемат години, в бъдеще структурните реформи ще осигурят допълнителна основа за устойчив растеж, кон</w:t>
      </w:r>
      <w:r>
        <w:rPr>
          <w:rFonts w:ascii="Times New Roman" w:hAnsi="Times New Roman"/>
          <w:noProof/>
          <w:sz w:val="24"/>
          <w:szCs w:val="24"/>
        </w:rPr>
        <w:t>курентоспособна икономика, работни места и инвестиции. С оглед на бързината на промените в макроикономическите условия в една глобализирана икономика е наложително Европа да се възползва по най-добрия начин от сегашните фактори, които благоприятстват расте</w:t>
      </w:r>
      <w:r>
        <w:rPr>
          <w:rFonts w:ascii="Times New Roman" w:hAnsi="Times New Roman"/>
          <w:noProof/>
          <w:sz w:val="24"/>
          <w:szCs w:val="24"/>
        </w:rPr>
        <w:t>жа, и да ускори темпа на реформите с цел повишаване на конкурентоспособността на Европейския съюз. Икономическите и социалните политики трябва да отчитат също и неотдавнашния приток на мигранти и бежанци, по-специално за да се осигури задоволяването на тех</w:t>
      </w:r>
      <w:r>
        <w:rPr>
          <w:rFonts w:ascii="Times New Roman" w:hAnsi="Times New Roman"/>
          <w:noProof/>
          <w:sz w:val="24"/>
          <w:szCs w:val="24"/>
        </w:rPr>
        <w:t>ните най-наложителни нужди и тяхното интегриране на пазара на труда.</w:t>
      </w:r>
    </w:p>
    <w:p w:rsidR="00537046" w:rsidRDefault="00573D98">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rPr>
      </w:pPr>
      <w:r>
        <w:rPr>
          <w:rFonts w:ascii="Times New Roman" w:hAnsi="Times New Roman"/>
          <w:b/>
          <w:noProof/>
          <w:color w:val="000000"/>
          <w:sz w:val="24"/>
          <w:szCs w:val="24"/>
          <w:u w:color="000000"/>
          <w:bdr w:val="nil"/>
        </w:rPr>
        <w:t xml:space="preserve">Активното участие на националните парламенти, социалните партньори, гражданското общество и другите заинтересовани страни в изготвянето и изпълнението на реформите е от ключово значение </w:t>
      </w:r>
      <w:r>
        <w:rPr>
          <w:rFonts w:ascii="Times New Roman" w:hAnsi="Times New Roman"/>
          <w:b/>
          <w:noProof/>
          <w:color w:val="000000"/>
          <w:sz w:val="24"/>
          <w:szCs w:val="24"/>
          <w:u w:color="000000"/>
          <w:bdr w:val="nil"/>
        </w:rPr>
        <w:t>за постигането на добри резултати.</w:t>
      </w:r>
      <w:r>
        <w:rPr>
          <w:rFonts w:ascii="Times New Roman" w:hAnsi="Times New Roman"/>
          <w:noProof/>
          <w:color w:val="000000"/>
          <w:sz w:val="24"/>
          <w:szCs w:val="24"/>
          <w:u w:color="000000"/>
          <w:bdr w:val="nil"/>
        </w:rPr>
        <w:t xml:space="preserve"> Необходимо е да се подобри ефективността на усилията за реформи в държавите членки и да се засили тяхната ангажираност с реформите. Това е отразено в насоките на Комисията за държавите членки във връзка с процеса на изгот</w:t>
      </w:r>
      <w:r>
        <w:rPr>
          <w:rFonts w:ascii="Times New Roman" w:hAnsi="Times New Roman"/>
          <w:noProof/>
          <w:color w:val="000000"/>
          <w:sz w:val="24"/>
          <w:szCs w:val="24"/>
          <w:u w:color="000000"/>
          <w:bdr w:val="nil"/>
        </w:rPr>
        <w:t xml:space="preserve">вяне на </w:t>
      </w:r>
      <w:r>
        <w:rPr>
          <w:rFonts w:ascii="Times New Roman" w:hAnsi="Times New Roman"/>
          <w:noProof/>
          <w:color w:val="000000"/>
          <w:sz w:val="24"/>
          <w:szCs w:val="24"/>
          <w:u w:color="000000"/>
          <w:bdr w:val="nil"/>
        </w:rPr>
        <w:lastRenderedPageBreak/>
        <w:t xml:space="preserve">националните програми за реформи. Освен това Комисията установи по-тесни контакти със социалните партньори на европейско и национално равнище с цел да обсъди с тях основните етапи на европейския семестър. Трябва да се положат и допълнителни усилия </w:t>
      </w:r>
      <w:r>
        <w:rPr>
          <w:rFonts w:ascii="Times New Roman" w:hAnsi="Times New Roman"/>
          <w:noProof/>
          <w:color w:val="000000"/>
          <w:sz w:val="24"/>
          <w:szCs w:val="24"/>
          <w:u w:color="000000"/>
          <w:bdr w:val="nil"/>
        </w:rPr>
        <w:t xml:space="preserve">за повишаване на ангажираността на гражданското общество с изпълнението на стратегията „Европа 2020“. </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В докладите по държави, изготвени за 26 държави членки</w:t>
      </w:r>
      <w:r>
        <w:rPr>
          <w:rFonts w:ascii="Times New Roman" w:hAnsi="Times New Roman"/>
          <w:b/>
          <w:noProof/>
          <w:sz w:val="24"/>
          <w:szCs w:val="24"/>
          <w:vertAlign w:val="superscript"/>
        </w:rPr>
        <w:footnoteReference w:id="5"/>
      </w:r>
      <w:r>
        <w:rPr>
          <w:rFonts w:ascii="Times New Roman" w:hAnsi="Times New Roman"/>
          <w:b/>
          <w:noProof/>
          <w:sz w:val="24"/>
          <w:szCs w:val="24"/>
        </w:rPr>
        <w:t>, е представено цялостното икономическо и социално развитие във всяка държава членка.</w:t>
      </w:r>
      <w:r>
        <w:rPr>
          <w:rFonts w:ascii="Times New Roman" w:hAnsi="Times New Roman"/>
          <w:noProof/>
          <w:sz w:val="24"/>
          <w:szCs w:val="24"/>
        </w:rPr>
        <w:t xml:space="preserve"> В докладите </w:t>
      </w:r>
      <w:r>
        <w:rPr>
          <w:rFonts w:ascii="Times New Roman" w:hAnsi="Times New Roman"/>
          <w:noProof/>
          <w:sz w:val="24"/>
          <w:szCs w:val="24"/>
        </w:rPr>
        <w:t>се оценява постигнатият напредък при разрешаването на проблемите, установени в специфичните за всяка държава препоръки за 2015 г., а за 18 държави членки те включват задълбочения преглед в рамките на процедурата при макроикономически дисбаланси. Въз основа</w:t>
      </w:r>
      <w:r>
        <w:rPr>
          <w:rFonts w:ascii="Times New Roman" w:hAnsi="Times New Roman"/>
          <w:noProof/>
          <w:sz w:val="24"/>
          <w:szCs w:val="24"/>
        </w:rPr>
        <w:t xml:space="preserve"> на този анализ Комисията предлага да бъде актуализиран статусът на редица държави членки, засегнати от процедурата. Докладите покриват също и области от макроикономическо значение, като например политиките в областта на климата и енергетиката, които са пр</w:t>
      </w:r>
      <w:r>
        <w:rPr>
          <w:rFonts w:ascii="Times New Roman" w:hAnsi="Times New Roman"/>
          <w:noProof/>
          <w:sz w:val="24"/>
          <w:szCs w:val="24"/>
        </w:rPr>
        <w:t>едмет на отделни процеси на политиката</w:t>
      </w:r>
      <w:r>
        <w:rPr>
          <w:rFonts w:ascii="Times New Roman" w:hAnsi="Times New Roman"/>
          <w:noProof/>
          <w:sz w:val="24"/>
          <w:szCs w:val="24"/>
          <w:vertAlign w:val="superscript"/>
        </w:rPr>
        <w:footnoteReference w:id="6"/>
      </w:r>
      <w:r>
        <w:rPr>
          <w:rFonts w:ascii="Times New Roman" w:hAnsi="Times New Roman"/>
          <w:noProof/>
          <w:sz w:val="24"/>
          <w:szCs w:val="24"/>
        </w:rPr>
        <w:t>.</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В допълнение, в анализа се прави преглед на бюджетната ситуация в държавите членки.</w:t>
      </w:r>
      <w:r>
        <w:rPr>
          <w:rFonts w:ascii="Times New Roman" w:hAnsi="Times New Roman"/>
          <w:noProof/>
          <w:sz w:val="24"/>
          <w:szCs w:val="24"/>
        </w:rPr>
        <w:t xml:space="preserve"> Той се основава на най-актуалните икономически прогнози на Комисията</w:t>
      </w:r>
      <w:r>
        <w:rPr>
          <w:rFonts w:ascii="Times New Roman" w:hAnsi="Times New Roman"/>
          <w:noProof/>
          <w:sz w:val="24"/>
          <w:szCs w:val="24"/>
          <w:vertAlign w:val="superscript"/>
        </w:rPr>
        <w:footnoteReference w:id="7"/>
      </w:r>
      <w:r>
        <w:rPr>
          <w:rFonts w:ascii="Times New Roman" w:hAnsi="Times New Roman"/>
          <w:noProof/>
          <w:sz w:val="24"/>
          <w:szCs w:val="24"/>
        </w:rPr>
        <w:t xml:space="preserve"> и в него са доразвити становищата на Комисията по проектите н</w:t>
      </w:r>
      <w:r>
        <w:rPr>
          <w:rFonts w:ascii="Times New Roman" w:hAnsi="Times New Roman"/>
          <w:noProof/>
          <w:sz w:val="24"/>
          <w:szCs w:val="24"/>
        </w:rPr>
        <w:t>а бюджетни планове за 2016 г. за държавите членки от еврозоната, оповестени през ноември 2015 г., както и приетите от Комисията миналата година насоки</w:t>
      </w:r>
      <w:r>
        <w:rPr>
          <w:rFonts w:ascii="Times New Roman" w:hAnsi="Times New Roman"/>
          <w:noProof/>
          <w:sz w:val="24"/>
          <w:szCs w:val="24"/>
          <w:vertAlign w:val="superscript"/>
        </w:rPr>
        <w:footnoteReference w:id="8"/>
      </w:r>
      <w:r>
        <w:rPr>
          <w:rFonts w:ascii="Times New Roman" w:hAnsi="Times New Roman"/>
          <w:noProof/>
          <w:sz w:val="24"/>
          <w:szCs w:val="24"/>
        </w:rPr>
        <w:t xml:space="preserve"> за това как да се гарантира, че общата фискална рамка подкрепя програмата на ЕС за работни места и расте</w:t>
      </w:r>
      <w:r>
        <w:rPr>
          <w:rFonts w:ascii="Times New Roman" w:hAnsi="Times New Roman"/>
          <w:noProof/>
          <w:sz w:val="24"/>
          <w:szCs w:val="24"/>
        </w:rPr>
        <w:t>ж.</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В докладите по държави се анализират по-подробно пречките пред инвестициите, установени от Комисията миналата година и представени заедно с годишния обзор на растежа за 2016 г.</w:t>
      </w:r>
      <w:r>
        <w:rPr>
          <w:rFonts w:ascii="Times New Roman" w:hAnsi="Times New Roman"/>
          <w:noProof/>
          <w:sz w:val="24"/>
          <w:szCs w:val="24"/>
        </w:rPr>
        <w:t xml:space="preserve"> Държавите членки трябва да работят в тясно сътрудничество помежду си и с инс</w:t>
      </w:r>
      <w:r>
        <w:rPr>
          <w:rFonts w:ascii="Times New Roman" w:hAnsi="Times New Roman"/>
          <w:noProof/>
          <w:sz w:val="24"/>
          <w:szCs w:val="24"/>
        </w:rPr>
        <w:t>титуциите на ЕС за преодоляването на тези пречки в контекста на европейския семестър и да постигнат резултати по третия стълб на Плана за инвестиции за Европа</w:t>
      </w:r>
      <w:r>
        <w:rPr>
          <w:rFonts w:ascii="Times New Roman" w:hAnsi="Times New Roman"/>
          <w:noProof/>
          <w:sz w:val="24"/>
          <w:szCs w:val="24"/>
          <w:vertAlign w:val="superscript"/>
        </w:rPr>
        <w:footnoteReference w:id="9"/>
      </w:r>
      <w:r>
        <w:rPr>
          <w:rFonts w:ascii="Times New Roman" w:hAnsi="Times New Roman"/>
          <w:noProof/>
          <w:sz w:val="24"/>
          <w:szCs w:val="24"/>
        </w:rPr>
        <w:t>.</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Докладите по държави служат като отправна точка за диалог с държавите членки относно икономичес</w:t>
      </w:r>
      <w:r>
        <w:rPr>
          <w:rFonts w:ascii="Times New Roman" w:hAnsi="Times New Roman"/>
          <w:b/>
          <w:noProof/>
          <w:sz w:val="24"/>
          <w:szCs w:val="24"/>
        </w:rPr>
        <w:t>ките и социалните предизвикателства, пред които са изправени.</w:t>
      </w:r>
      <w:r>
        <w:rPr>
          <w:rFonts w:ascii="Times New Roman" w:hAnsi="Times New Roman"/>
          <w:noProof/>
          <w:sz w:val="24"/>
          <w:szCs w:val="24"/>
        </w:rPr>
        <w:t xml:space="preserve"> Тези диалози заедно с препоръката за еврозоната ще се използват при изготвянето на националните програми за реформи, които ще бъдат представени през април. По принцип Комисията няма да отправя п</w:t>
      </w:r>
      <w:r>
        <w:rPr>
          <w:rFonts w:ascii="Times New Roman" w:hAnsi="Times New Roman"/>
          <w:noProof/>
          <w:sz w:val="24"/>
          <w:szCs w:val="24"/>
        </w:rPr>
        <w:t>репоръки по въпроси, които не са определени като предизвикателства в докладите по държави, и ще предложи ограничен брой препоръки за всяка държава членка. Тези препоръки ще се различават в зависимост от сериозността на предизвикателствата, както е отразено</w:t>
      </w:r>
      <w:r>
        <w:rPr>
          <w:rFonts w:ascii="Times New Roman" w:hAnsi="Times New Roman"/>
          <w:noProof/>
          <w:sz w:val="24"/>
          <w:szCs w:val="24"/>
        </w:rPr>
        <w:t xml:space="preserve"> и в специфичните за отделните държави ситуации в рамките на процедурата при макроикономически дисбаланси. </w:t>
      </w:r>
    </w:p>
    <w:p w:rsidR="00537046" w:rsidRDefault="00537046">
      <w:pPr>
        <w:autoSpaceDE w:val="0"/>
        <w:autoSpaceDN w:val="0"/>
        <w:adjustRightInd w:val="0"/>
        <w:spacing w:before="120" w:after="120" w:line="120" w:lineRule="auto"/>
        <w:jc w:val="both"/>
        <w:rPr>
          <w:rFonts w:ascii="Times New Roman" w:hAnsi="Times New Roman"/>
          <w:noProof/>
          <w:sz w:val="24"/>
          <w:szCs w:val="24"/>
        </w:rPr>
      </w:pPr>
    </w:p>
    <w:p w:rsidR="00537046" w:rsidRDefault="00573D98">
      <w:pPr>
        <w:spacing w:before="120" w:after="120" w:line="240" w:lineRule="auto"/>
        <w:jc w:val="both"/>
        <w:rPr>
          <w:rFonts w:ascii="Times New Roman" w:hAnsi="Times New Roman"/>
          <w:b/>
          <w:smallCaps/>
          <w:noProof/>
          <w:sz w:val="24"/>
          <w:szCs w:val="24"/>
        </w:rPr>
      </w:pPr>
      <w:r>
        <w:rPr>
          <w:rFonts w:ascii="Times New Roman" w:hAnsi="Times New Roman"/>
          <w:b/>
          <w:smallCaps/>
          <w:noProof/>
          <w:sz w:val="24"/>
          <w:szCs w:val="24"/>
        </w:rPr>
        <w:t xml:space="preserve">2. </w:t>
      </w:r>
      <w:r>
        <w:rPr>
          <w:rFonts w:ascii="Times New Roman" w:hAnsi="Times New Roman"/>
          <w:noProof/>
          <w:sz w:val="24"/>
          <w:szCs w:val="24"/>
        </w:rPr>
        <w:tab/>
      </w:r>
      <w:r>
        <w:rPr>
          <w:rFonts w:ascii="Times New Roman" w:hAnsi="Times New Roman"/>
          <w:b/>
          <w:smallCaps/>
          <w:noProof/>
          <w:sz w:val="24"/>
          <w:szCs w:val="24"/>
        </w:rPr>
        <w:t>Икономически контекст</w:t>
      </w:r>
    </w:p>
    <w:p w:rsidR="00537046" w:rsidRDefault="00537046">
      <w:pPr>
        <w:spacing w:before="120" w:after="120" w:line="240" w:lineRule="auto"/>
        <w:jc w:val="both"/>
        <w:rPr>
          <w:rFonts w:ascii="Times New Roman" w:eastAsia="Times New Roman" w:hAnsi="Times New Roman"/>
          <w:noProof/>
          <w:sz w:val="8"/>
          <w:szCs w:val="8"/>
        </w:rPr>
      </w:pPr>
    </w:p>
    <w:p w:rsidR="00537046" w:rsidRDefault="00573D98">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 xml:space="preserve">Европейската икономика се възстановява с умерени темпове в условията на нараснали външни рискове. </w:t>
      </w:r>
      <w:r>
        <w:rPr>
          <w:rFonts w:ascii="Times New Roman" w:hAnsi="Times New Roman"/>
          <w:noProof/>
          <w:sz w:val="24"/>
          <w:szCs w:val="24"/>
        </w:rPr>
        <w:t>Темповете на растеж на</w:t>
      </w:r>
      <w:r>
        <w:rPr>
          <w:rFonts w:ascii="Times New Roman" w:hAnsi="Times New Roman"/>
          <w:noProof/>
          <w:sz w:val="24"/>
          <w:szCs w:val="24"/>
        </w:rPr>
        <w:t xml:space="preserve"> световната икономика се </w:t>
      </w:r>
      <w:r>
        <w:rPr>
          <w:rFonts w:ascii="Times New Roman" w:hAnsi="Times New Roman"/>
          <w:noProof/>
          <w:sz w:val="24"/>
          <w:szCs w:val="24"/>
        </w:rPr>
        <w:lastRenderedPageBreak/>
        <w:t>забавят, като през 2015 г. ръстът на БВП е възлизал само на около 3 %, и нейното възстановяване е свързано с множество рискове.</w:t>
      </w:r>
      <w:r>
        <w:rPr>
          <w:rFonts w:ascii="Times New Roman" w:hAnsi="Times New Roman"/>
          <w:noProof/>
          <w:sz w:val="24"/>
          <w:szCs w:val="24"/>
          <w:vertAlign w:val="superscript"/>
        </w:rPr>
        <w:footnoteReference w:id="10"/>
      </w:r>
      <w:r>
        <w:rPr>
          <w:rFonts w:ascii="Times New Roman" w:hAnsi="Times New Roman"/>
          <w:noProof/>
          <w:sz w:val="24"/>
          <w:szCs w:val="24"/>
        </w:rPr>
        <w:t xml:space="preserve"> Докато най-големите развити икономики се радват на продължаващо възстановяване или са в напреднал стад</w:t>
      </w:r>
      <w:r>
        <w:rPr>
          <w:rFonts w:ascii="Times New Roman" w:hAnsi="Times New Roman"/>
          <w:noProof/>
          <w:sz w:val="24"/>
          <w:szCs w:val="24"/>
        </w:rPr>
        <w:t>ий от икономическия си цикъл, перспективите пред голям брой бързо развиващи се пазарни икономики не са добри. Очаква се икономическият растеж в Китай допълнително да се забави, което ще засегне най-вече другите бързо развиващи се и развиващи се икономики и</w:t>
      </w:r>
      <w:r>
        <w:rPr>
          <w:rFonts w:ascii="Times New Roman" w:hAnsi="Times New Roman"/>
          <w:noProof/>
          <w:sz w:val="24"/>
          <w:szCs w:val="24"/>
        </w:rPr>
        <w:t xml:space="preserve"> ще има отражение върху световните капиталови потоци. </w:t>
      </w:r>
    </w:p>
    <w:p w:rsidR="00537046" w:rsidRDefault="00573D98">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 xml:space="preserve">Досега европейската икономика успява да устои на рисковете, но въздействието на по-неблагоприятната външна среда е все по-осезателно. </w:t>
      </w:r>
      <w:r>
        <w:rPr>
          <w:rFonts w:ascii="Times New Roman" w:hAnsi="Times New Roman"/>
          <w:noProof/>
          <w:sz w:val="24"/>
          <w:szCs w:val="24"/>
        </w:rPr>
        <w:t>Очаква се новият спад в цените на енергията да продължи да благопри</w:t>
      </w:r>
      <w:r>
        <w:rPr>
          <w:rFonts w:ascii="Times New Roman" w:hAnsi="Times New Roman"/>
          <w:noProof/>
          <w:sz w:val="24"/>
          <w:szCs w:val="24"/>
        </w:rPr>
        <w:t>ятства за покупателната способност на домакинствата. Пристигането на безпрецедентен брой бежанци и мигранти доведе до допълнителни публични разходи, свързани с нарасналия прием и с други мерки за бежанците. Предвижда се паричните условия да останат изключи</w:t>
      </w:r>
      <w:r>
        <w:rPr>
          <w:rFonts w:ascii="Times New Roman" w:hAnsi="Times New Roman"/>
          <w:noProof/>
          <w:sz w:val="24"/>
          <w:szCs w:val="24"/>
        </w:rPr>
        <w:t>телно гъвкави и фискалната политика да подкрепя процеса на възстановяване тази година. Въпреки това разпространението на отрицателни ефекти, свързани с бавния икономически растеж извън ЕС, може да надвиши прекия ефект върху търговията. Ниските цени на суро</w:t>
      </w:r>
      <w:r>
        <w:rPr>
          <w:rFonts w:ascii="Times New Roman" w:hAnsi="Times New Roman"/>
          <w:noProof/>
          <w:sz w:val="24"/>
          <w:szCs w:val="24"/>
        </w:rPr>
        <w:t>вините също биха могли да представляват риск, ако те водят до нестабилност в световната икономика. Нестабилността на финансовите пазари нарасна значително в последно време. По-специално цените на банковите акции показват ясна низходяща тенденция, а рискови</w:t>
      </w:r>
      <w:r>
        <w:rPr>
          <w:rFonts w:ascii="Times New Roman" w:hAnsi="Times New Roman"/>
          <w:noProof/>
          <w:sz w:val="24"/>
          <w:szCs w:val="24"/>
        </w:rPr>
        <w:t xml:space="preserve">те премии за някои държави членки нараснаха. </w:t>
      </w:r>
    </w:p>
    <w:p w:rsidR="00537046" w:rsidRDefault="00537046">
      <w:pPr>
        <w:spacing w:before="120" w:after="120" w:line="120" w:lineRule="auto"/>
        <w:jc w:val="both"/>
        <w:rPr>
          <w:rFonts w:ascii="Times New Roman" w:eastAsia="Times New Roman" w:hAnsi="Times New Roman"/>
          <w:b/>
          <w:noProof/>
          <w:sz w:val="24"/>
          <w:szCs w:val="24"/>
        </w:rPr>
      </w:pPr>
    </w:p>
    <w:p w:rsidR="00537046" w:rsidRDefault="00573D98">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b/>
          <w:noProof/>
          <w:sz w:val="24"/>
          <w:szCs w:val="24"/>
        </w:rPr>
        <w:t xml:space="preserve">Възстановяването в ЕС продължава да бъде бавно и колебливо, което подчертава необходимостта от засилване на структурните реформи, насърчаване на инвестициите и изграждане на по-конкурентоспособна икономика. </w:t>
      </w:r>
      <w:r>
        <w:rPr>
          <w:rFonts w:ascii="Times New Roman" w:eastAsia="Times New Roman" w:hAnsi="Times New Roman"/>
          <w:b/>
          <w:noProof/>
          <w:sz w:val="24"/>
          <w:szCs w:val="24"/>
        </w:rPr>
        <w:br/>
      </w:r>
      <w:r>
        <w:rPr>
          <w:rFonts w:ascii="Times New Roman" w:hAnsi="Times New Roman"/>
          <w:noProof/>
          <w:sz w:val="24"/>
          <w:szCs w:val="24"/>
        </w:rPr>
        <w:t>В</w:t>
      </w:r>
      <w:r>
        <w:rPr>
          <w:rFonts w:ascii="Times New Roman" w:hAnsi="Times New Roman"/>
          <w:noProof/>
          <w:sz w:val="24"/>
          <w:szCs w:val="24"/>
        </w:rPr>
        <w:t>ъзстановяването е слабо както в историческа перспектива, така и в сравнение с другите развити икономики. Икономическият растеж в ЕС се очаква да бъде 1,9 % от БВП тази година и да нарасне до 2 % през 2017 г. Равнището на безработицата в ЕС се очаква да про</w:t>
      </w:r>
      <w:r>
        <w:rPr>
          <w:rFonts w:ascii="Times New Roman" w:hAnsi="Times New Roman"/>
          <w:noProof/>
          <w:sz w:val="24"/>
          <w:szCs w:val="24"/>
        </w:rPr>
        <w:t>дължи да намалява от 9,5 % през 2015 г. на 9 % през 2016 г., като спадът се очаква да бъде по-голям в държавите членки, в които са били проведени реформи на пазара на труда. Очаква се частното потребление да продължи да бъде основният фактор на растежа, по</w:t>
      </w:r>
      <w:r>
        <w:rPr>
          <w:rFonts w:ascii="Times New Roman" w:hAnsi="Times New Roman"/>
          <w:noProof/>
          <w:sz w:val="24"/>
          <w:szCs w:val="24"/>
        </w:rPr>
        <w:t>дкрепяно от подобрението на пазарите на труда и увеличението в реалните разполагаеми доходи.Тъй като отслабването на световното търсене намалява изгледите за възстановяване въз основа на износа, съживяването на инвестициите от сегашното им ниско равнище ще</w:t>
      </w:r>
      <w:r>
        <w:rPr>
          <w:rFonts w:ascii="Times New Roman" w:hAnsi="Times New Roman"/>
          <w:noProof/>
          <w:sz w:val="24"/>
          <w:szCs w:val="24"/>
        </w:rPr>
        <w:t xml:space="preserve"> бъде от ключово значение за продължаване на икономическото възстановяване върху по-широка основа и за обръщане на низходящата тенденция по отношение на потенциалния растеж. </w:t>
      </w:r>
    </w:p>
    <w:p w:rsidR="00537046" w:rsidRDefault="00537046">
      <w:pPr>
        <w:spacing w:after="0" w:line="120" w:lineRule="auto"/>
        <w:jc w:val="both"/>
        <w:rPr>
          <w:rFonts w:ascii="Times New Roman" w:eastAsia="Times New Roman" w:hAnsi="Times New Roman"/>
          <w:noProof/>
          <w:sz w:val="24"/>
          <w:szCs w:val="24"/>
        </w:rPr>
      </w:pPr>
    </w:p>
    <w:p w:rsidR="00537046" w:rsidRDefault="00573D98">
      <w:pPr>
        <w:spacing w:before="120" w:after="120" w:line="240" w:lineRule="auto"/>
        <w:jc w:val="both"/>
        <w:rPr>
          <w:rFonts w:ascii="Times New Roman" w:hAnsi="Times New Roman"/>
          <w:b/>
          <w:smallCaps/>
          <w:noProof/>
          <w:sz w:val="24"/>
          <w:szCs w:val="24"/>
        </w:rPr>
      </w:pPr>
      <w:r>
        <w:rPr>
          <w:rFonts w:ascii="Times New Roman" w:hAnsi="Times New Roman"/>
          <w:b/>
          <w:smallCaps/>
          <w:noProof/>
          <w:sz w:val="24"/>
          <w:szCs w:val="24"/>
        </w:rPr>
        <w:t>3. Напредък по специфичните за всяка държава препоръки</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smallCaps/>
          <w:noProof/>
          <w:sz w:val="24"/>
          <w:szCs w:val="24"/>
        </w:rPr>
        <w:br/>
      </w:r>
      <w:r>
        <w:rPr>
          <w:rFonts w:ascii="Times New Roman" w:hAnsi="Times New Roman"/>
          <w:b/>
          <w:noProof/>
          <w:sz w:val="24"/>
          <w:szCs w:val="24"/>
        </w:rPr>
        <w:t>В контекста на цялостнот</w:t>
      </w:r>
      <w:r>
        <w:rPr>
          <w:rFonts w:ascii="Times New Roman" w:hAnsi="Times New Roman"/>
          <w:b/>
          <w:noProof/>
          <w:sz w:val="24"/>
          <w:szCs w:val="24"/>
        </w:rPr>
        <w:t>о макроикономическо стабилизиране държавите членки постигнаха известен напредък при разрешаването на проблемите, откроени в специфичните за всяка държава препоръки от 2015 г.</w:t>
      </w:r>
      <w:r>
        <w:rPr>
          <w:rFonts w:ascii="Times New Roman" w:hAnsi="Times New Roman"/>
          <w:noProof/>
          <w:sz w:val="24"/>
          <w:szCs w:val="24"/>
        </w:rPr>
        <w:t xml:space="preserve"> Докладите по държави за 2016 г. показват, че годишният напредък се е запазил на п</w:t>
      </w:r>
      <w:r>
        <w:rPr>
          <w:rFonts w:ascii="Times New Roman" w:hAnsi="Times New Roman"/>
          <w:noProof/>
          <w:sz w:val="24"/>
          <w:szCs w:val="24"/>
        </w:rPr>
        <w:t>одобно равнище. В по-дългосрочна перспектива е ясно, че за да станат видими резултатите от изпълнението на ключови реформи, е необходимо време. Това може да се дължи както на сложността на реформите, които трябва да бъдат предприети, като например реформат</w:t>
      </w:r>
      <w:r>
        <w:rPr>
          <w:rFonts w:ascii="Times New Roman" w:hAnsi="Times New Roman"/>
          <w:noProof/>
          <w:sz w:val="24"/>
          <w:szCs w:val="24"/>
        </w:rPr>
        <w:t>а на пазарите на труда и продуктовите пазари, пенсионните системи и банковия сектор, така и на националните избирателни графици. В редица държави членки (Дания, Естония, Ирландия, Испания, Хърватия, Полша, Португалия и Словакия) през 2015 г. или в началото</w:t>
      </w:r>
      <w:r>
        <w:rPr>
          <w:rFonts w:ascii="Times New Roman" w:hAnsi="Times New Roman"/>
          <w:noProof/>
          <w:sz w:val="24"/>
          <w:szCs w:val="24"/>
        </w:rPr>
        <w:t xml:space="preserve"> на 2016 г. се проведоха национални парламентарни или президентски избори. Специфичните за всяка държава препоръки, изготвени през 2014 г. и 2015 г., се различават също и по отношение на броя и обхвата. Комисията ще представи своята пълна оценка заедно със</w:t>
      </w:r>
      <w:r>
        <w:rPr>
          <w:rFonts w:ascii="Times New Roman" w:hAnsi="Times New Roman"/>
          <w:noProof/>
          <w:sz w:val="24"/>
          <w:szCs w:val="24"/>
        </w:rPr>
        <w:t xml:space="preserve"> своите предложения за нови специфични за всяка държава препоръки през май.</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Като цяло Европа е на добър път да постигне част от целите на стратегията „Европа 2020“. </w:t>
      </w:r>
      <w:r>
        <w:rPr>
          <w:rFonts w:ascii="Times New Roman" w:hAnsi="Times New Roman"/>
          <w:noProof/>
          <w:sz w:val="24"/>
          <w:szCs w:val="24"/>
        </w:rPr>
        <w:t>Държавите членки са на добър път да постигнат целите в областта на изменението на климата и</w:t>
      </w:r>
      <w:r>
        <w:rPr>
          <w:rFonts w:ascii="Times New Roman" w:hAnsi="Times New Roman"/>
          <w:noProof/>
          <w:sz w:val="24"/>
          <w:szCs w:val="24"/>
        </w:rPr>
        <w:t xml:space="preserve"> енергията, като повечето от тях вероятно ще постигнат своите цели за намаляване на емисиите, енергията от възобновяеми източници и енергийната ефективност до 2020 г. Според най-актуалните налични данни ЕС е на добър път да постигне също и образователните </w:t>
      </w:r>
      <w:r>
        <w:rPr>
          <w:rFonts w:ascii="Times New Roman" w:hAnsi="Times New Roman"/>
          <w:noProof/>
          <w:sz w:val="24"/>
          <w:szCs w:val="24"/>
        </w:rPr>
        <w:t xml:space="preserve">цели, като 17 държави членки вече са постигнали своите цели, свързани с преждевременното напускане на училище, а 12 от тях са постигнали своите цели по отношение на завършването на висше образование. Въпреки че за много държави членки целта за заетостта е </w:t>
      </w:r>
      <w:r>
        <w:rPr>
          <w:rFonts w:ascii="Times New Roman" w:hAnsi="Times New Roman"/>
          <w:noProof/>
          <w:sz w:val="24"/>
          <w:szCs w:val="24"/>
        </w:rPr>
        <w:t>трудно постижима, ситуацията в тази област се е подобрила почти във всички държави членки. В края на 2015 г. се отчита увеличение на заетостта с 1,1 %, като тя е достигнала равнището от преди кризата от 70,5 %.</w:t>
      </w:r>
      <w:r>
        <w:rPr>
          <w:rFonts w:ascii="Times New Roman" w:hAnsi="Times New Roman"/>
          <w:noProof/>
          <w:color w:val="1F497D"/>
          <w:sz w:val="24"/>
          <w:szCs w:val="24"/>
        </w:rPr>
        <w:t xml:space="preserve"> </w:t>
      </w:r>
      <w:r>
        <w:rPr>
          <w:rFonts w:ascii="Times New Roman" w:hAnsi="Times New Roman"/>
          <w:noProof/>
          <w:color w:val="000000" w:themeColor="text1"/>
          <w:sz w:val="24"/>
          <w:szCs w:val="24"/>
          <w:shd w:val="clear" w:color="auto" w:fill="FFFFFF" w:themeFill="background1"/>
        </w:rPr>
        <w:t xml:space="preserve">Равнището на заетост при жените се увеличава </w:t>
      </w:r>
      <w:r>
        <w:rPr>
          <w:rFonts w:ascii="Times New Roman" w:hAnsi="Times New Roman"/>
          <w:noProof/>
          <w:color w:val="000000" w:themeColor="text1"/>
          <w:sz w:val="24"/>
          <w:szCs w:val="24"/>
          <w:shd w:val="clear" w:color="auto" w:fill="FFFFFF" w:themeFill="background1"/>
        </w:rPr>
        <w:t>по-бързо, въпреки че разликата между половете все още е значителна.</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Трябва да бъдат положени допълнителни усилия за преодоляване на различията в равнището на заетост на мъжете и жените. Разходите за научноизследователска и развойна дейност като процент от </w:t>
      </w:r>
      <w:r>
        <w:rPr>
          <w:rFonts w:ascii="Times New Roman" w:hAnsi="Times New Roman"/>
          <w:noProof/>
          <w:sz w:val="24"/>
          <w:szCs w:val="24"/>
        </w:rPr>
        <w:t>БВП също са се увеличили в около половината от държавите членки, но целта на ЕС все още изглежда трудно постижима. В резултат на нарасналия вследствие на икономическата криза брой на хората в Европа, изложени на риск от бедност или социално изключване, про</w:t>
      </w:r>
      <w:r>
        <w:rPr>
          <w:rFonts w:ascii="Times New Roman" w:hAnsi="Times New Roman"/>
          <w:noProof/>
          <w:sz w:val="24"/>
          <w:szCs w:val="24"/>
        </w:rPr>
        <w:t xml:space="preserve">дължават да съществуват проблеми, свързани с постигането на целта за намаляване на бедността. Въпреки това актуалните тенденции са по-положителни, тъй като броят на хората, изложени на риск от бедност или социално изключване, е намалял в над половината от </w:t>
      </w:r>
      <w:r>
        <w:rPr>
          <w:rFonts w:ascii="Times New Roman" w:hAnsi="Times New Roman"/>
          <w:noProof/>
          <w:sz w:val="24"/>
          <w:szCs w:val="24"/>
        </w:rPr>
        <w:t xml:space="preserve">държавите членки. Смята се, че тази тенденция е продължила и през 2015 г. в резултат на подобрените условия на заетост. Допълнение 2 съдържа преглед на всички цели на стратегията „Европа 2020“. </w:t>
      </w:r>
    </w:p>
    <w:p w:rsidR="00537046" w:rsidRDefault="00537046">
      <w:pPr>
        <w:spacing w:before="120" w:after="120" w:line="120" w:lineRule="auto"/>
        <w:jc w:val="both"/>
        <w:rPr>
          <w:rFonts w:ascii="Times New Roman" w:hAnsi="Times New Roman"/>
          <w:noProof/>
          <w:sz w:val="24"/>
          <w:szCs w:val="24"/>
        </w:rPr>
      </w:pPr>
    </w:p>
    <w:p w:rsidR="00537046" w:rsidRDefault="00573D98">
      <w:pPr>
        <w:spacing w:after="0" w:line="240" w:lineRule="auto"/>
        <w:rPr>
          <w:rFonts w:ascii="Times New Roman" w:hAnsi="Times New Roman"/>
          <w:b/>
          <w:smallCaps/>
          <w:noProof/>
          <w:sz w:val="24"/>
          <w:szCs w:val="24"/>
        </w:rPr>
      </w:pPr>
      <w:r>
        <w:rPr>
          <w:rFonts w:ascii="Times New Roman" w:hAnsi="Times New Roman"/>
          <w:b/>
          <w:smallCaps/>
          <w:noProof/>
          <w:sz w:val="24"/>
          <w:szCs w:val="24"/>
        </w:rPr>
        <w:t xml:space="preserve">4. Коригиране на макроикономическите дисбаланси </w:t>
      </w:r>
    </w:p>
    <w:p w:rsidR="00537046" w:rsidRDefault="00537046">
      <w:pPr>
        <w:spacing w:after="0" w:line="120" w:lineRule="auto"/>
        <w:jc w:val="both"/>
        <w:rPr>
          <w:rFonts w:ascii="Times New Roman" w:eastAsia="Times New Roman" w:hAnsi="Times New Roman"/>
          <w:b/>
          <w:noProof/>
          <w:sz w:val="24"/>
          <w:szCs w:val="24"/>
        </w:rPr>
      </w:pPr>
    </w:p>
    <w:p w:rsidR="00537046" w:rsidRDefault="00573D98">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 xml:space="preserve">ЕС и </w:t>
      </w:r>
      <w:r>
        <w:rPr>
          <w:rFonts w:ascii="Times New Roman" w:hAnsi="Times New Roman"/>
          <w:b/>
          <w:noProof/>
          <w:sz w:val="24"/>
          <w:szCs w:val="24"/>
        </w:rPr>
        <w:t>държавите членки от еврозоната бележат напредък по отношение на възстановяването на баланса в своите икономики.</w:t>
      </w:r>
      <w:r>
        <w:rPr>
          <w:rFonts w:ascii="Times New Roman" w:hAnsi="Times New Roman"/>
          <w:noProof/>
          <w:sz w:val="24"/>
          <w:szCs w:val="24"/>
        </w:rPr>
        <w:t xml:space="preserve"> Някои от дисбалансите са последица от кризата, но много от тях са съществували преди тя да започне и са допринесли за сериозните последици от не</w:t>
      </w:r>
      <w:r>
        <w:rPr>
          <w:rFonts w:ascii="Times New Roman" w:hAnsi="Times New Roman"/>
          <w:noProof/>
          <w:sz w:val="24"/>
          <w:szCs w:val="24"/>
        </w:rPr>
        <w:t>я. Устойчивото възстановяване на баланса в икономиките на ЕС е от значение не само за отделни държави членки, но също и за ЕС и еврозоната като цяло с оглед на постигането на по-голяма устойчивост на бъдещи сътресения и преминаването към по-устойчив, приоб</w:t>
      </w:r>
      <w:r>
        <w:rPr>
          <w:rFonts w:ascii="Times New Roman" w:hAnsi="Times New Roman"/>
          <w:noProof/>
          <w:sz w:val="24"/>
          <w:szCs w:val="24"/>
        </w:rPr>
        <w:t>щаващ и по-висок растеж.</w:t>
      </w:r>
    </w:p>
    <w:p w:rsidR="00537046" w:rsidRDefault="00573D98">
      <w:p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Задълбочените прегледи предоставят подробен анализ на дисбалансите в държавите членки.</w:t>
      </w:r>
      <w:r>
        <w:rPr>
          <w:rFonts w:ascii="Times New Roman" w:hAnsi="Times New Roman"/>
          <w:noProof/>
          <w:sz w:val="24"/>
          <w:szCs w:val="24"/>
        </w:rPr>
        <w:t xml:space="preserve"> В тях се прави разлика между корекциите в резултат на циклични фактори и корекциите в резултат на структурни реформи, и се потвърждава, че само </w:t>
      </w:r>
      <w:r>
        <w:rPr>
          <w:rFonts w:ascii="Times New Roman" w:hAnsi="Times New Roman"/>
          <w:noProof/>
          <w:sz w:val="24"/>
          <w:szCs w:val="24"/>
        </w:rPr>
        <w:t>корекциите, свързани със структурни реформи, предоставят основа за устойчив растеж. Като се има предвид значението на търговските и финансовите връзки между страните от ЕС, в анализа се разглеждат също и трансграничните последици от възстановяването на бал</w:t>
      </w:r>
      <w:r>
        <w:rPr>
          <w:rFonts w:ascii="Times New Roman" w:hAnsi="Times New Roman"/>
          <w:noProof/>
          <w:sz w:val="24"/>
          <w:szCs w:val="24"/>
        </w:rPr>
        <w:t>анса, като се посочва необходимостта то да се извърши както в държавите с големи външни задължения, така и в държавите с излишъци. Належаща задача остава намаляването на равнищата на дълга. Докато в някои случаи намаляването на държавния или частния дълг н</w:t>
      </w:r>
      <w:r>
        <w:rPr>
          <w:rFonts w:ascii="Times New Roman" w:hAnsi="Times New Roman"/>
          <w:noProof/>
          <w:sz w:val="24"/>
          <w:szCs w:val="24"/>
        </w:rPr>
        <w:t>апредва, неговото високо равнище може все още да доведе до уязвимост на икономиките към потенциални шокове. В други случаи ниските, но нарастващи равнища на задлъжнялост може да са признак за нарастваща уязвимост.</w:t>
      </w:r>
    </w:p>
    <w:p w:rsidR="00537046" w:rsidRDefault="00537046">
      <w:pPr>
        <w:spacing w:after="0" w:line="120" w:lineRule="auto"/>
        <w:jc w:val="both"/>
        <w:rPr>
          <w:rFonts w:ascii="Times New Roman" w:eastAsia="Times New Roman" w:hAnsi="Times New Roman"/>
          <w:noProof/>
          <w:sz w:val="24"/>
          <w:szCs w:val="24"/>
        </w:rPr>
      </w:pPr>
    </w:p>
    <w:p w:rsidR="00537046" w:rsidRDefault="00573D98">
      <w:pPr>
        <w:spacing w:before="120" w:after="120" w:line="240" w:lineRule="auto"/>
        <w:jc w:val="both"/>
        <w:rPr>
          <w:rFonts w:ascii="Times New Roman" w:hAnsi="Times New Roman"/>
          <w:b/>
          <w:noProof/>
          <w:sz w:val="24"/>
          <w:szCs w:val="24"/>
        </w:rPr>
      </w:pPr>
      <w:r>
        <w:rPr>
          <w:rFonts w:ascii="Times New Roman" w:hAnsi="Times New Roman"/>
          <w:b/>
          <w:noProof/>
          <w:sz w:val="24"/>
          <w:szCs w:val="24"/>
        </w:rPr>
        <w:t>4.1 Възстановяване на баланса в ЕС и евро</w:t>
      </w:r>
      <w:r>
        <w:rPr>
          <w:rFonts w:ascii="Times New Roman" w:hAnsi="Times New Roman"/>
          <w:b/>
          <w:noProof/>
          <w:sz w:val="24"/>
          <w:szCs w:val="24"/>
        </w:rPr>
        <w:t>зоната</w:t>
      </w:r>
    </w:p>
    <w:p w:rsidR="00537046" w:rsidRDefault="00573D98">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Коригирането на съществуващите дисбаланси е възпрепятствано от редица фактори. </w:t>
      </w:r>
      <w:r>
        <w:rPr>
          <w:rFonts w:ascii="Times New Roman" w:hAnsi="Times New Roman"/>
          <w:noProof/>
          <w:sz w:val="24"/>
          <w:szCs w:val="24"/>
        </w:rPr>
        <w:t>Забавеният номинален икономически растеж и много ниските равнища на инфлацията са пречки за намаляването на задлъжнялостта. По-слабото световно търсене намалява изгледите</w:t>
      </w:r>
      <w:r>
        <w:rPr>
          <w:rFonts w:ascii="Times New Roman" w:hAnsi="Times New Roman"/>
          <w:noProof/>
          <w:sz w:val="24"/>
          <w:szCs w:val="24"/>
        </w:rPr>
        <w:t xml:space="preserve"> за възстановяване въз основа на износа. Трайно високите равнища на безработица в някои държави членки може да намалят потенциалния растеж на производството, също и поради загубата на умения и пригодност за заетост. </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Коригирането на външните дисбаланси бел</w:t>
      </w:r>
      <w:r>
        <w:rPr>
          <w:rFonts w:ascii="Times New Roman" w:hAnsi="Times New Roman"/>
          <w:b/>
          <w:noProof/>
          <w:sz w:val="24"/>
          <w:szCs w:val="24"/>
        </w:rPr>
        <w:t>ежи напредък.</w:t>
      </w:r>
      <w:r>
        <w:rPr>
          <w:rFonts w:ascii="Times New Roman" w:hAnsi="Times New Roman"/>
          <w:noProof/>
          <w:sz w:val="24"/>
          <w:szCs w:val="24"/>
        </w:rPr>
        <w:t xml:space="preserve"> В страни с висок външен дълг големите дефицити по текущата сметка от периода преди кризата бяха значително намалени или преминаха в излишък. Подпомогната от външни фактори, разходната конкурентоспособност като цяло се подобри. В някои държави</w:t>
      </w:r>
      <w:r>
        <w:rPr>
          <w:rFonts w:ascii="Times New Roman" w:hAnsi="Times New Roman"/>
          <w:noProof/>
          <w:sz w:val="24"/>
          <w:szCs w:val="24"/>
        </w:rPr>
        <w:t xml:space="preserve"> членки има доказателства за структурни корекции, свързани с прехвърлянето на ресурси към търгуемия сектор. Излишъкът по текущата сметка на еврозоната понастоящем е сред най-високите в света. Излишъкът на няколко държави членки е особено висок, което е при</w:t>
      </w:r>
      <w:r>
        <w:rPr>
          <w:rFonts w:ascii="Times New Roman" w:hAnsi="Times New Roman"/>
          <w:noProof/>
          <w:sz w:val="24"/>
          <w:szCs w:val="24"/>
        </w:rPr>
        <w:t xml:space="preserve">знак за слабо вътрешно търсене и ниски ниво на инвестициите. </w:t>
      </w:r>
    </w:p>
    <w:p w:rsidR="00537046" w:rsidRDefault="00573D98">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Слабостите, свързани с нарасналите равнища на дълга, продължават да пораждат безпокойство. </w:t>
      </w:r>
      <w:r>
        <w:rPr>
          <w:rFonts w:ascii="Times New Roman" w:hAnsi="Times New Roman"/>
          <w:noProof/>
          <w:sz w:val="24"/>
          <w:szCs w:val="24"/>
        </w:rPr>
        <w:t>В повечето страни процесът на оздравяване на счетоводния баланс напредва, като намаляването на задлъжня</w:t>
      </w:r>
      <w:r>
        <w:rPr>
          <w:rFonts w:ascii="Times New Roman" w:hAnsi="Times New Roman"/>
          <w:noProof/>
          <w:sz w:val="24"/>
          <w:szCs w:val="24"/>
        </w:rPr>
        <w:t xml:space="preserve">лостта на домакинствата и корпоративните сектори продължава. Въпреки това често пъти то е свързано с намаление на разходите. В някои държави равнището на частния дълг спрямо БВП е спаднало в резултат на значителното възстановяване на икономическия растеж. </w:t>
      </w:r>
      <w:r>
        <w:rPr>
          <w:rFonts w:ascii="Times New Roman" w:hAnsi="Times New Roman"/>
          <w:noProof/>
          <w:sz w:val="24"/>
          <w:szCs w:val="24"/>
        </w:rPr>
        <w:t>Задлъжнялостта продължава да е на рекордни нива в редица държави членки. В страните, в които натискът за намаляване на задлъжнялостта представлява тежест за възстановяването и намалява перспективите за инвестиции и потребление, има допълнителна нужда ударе</w:t>
      </w:r>
      <w:r>
        <w:rPr>
          <w:rFonts w:ascii="Times New Roman" w:hAnsi="Times New Roman"/>
          <w:noProof/>
          <w:sz w:val="24"/>
          <w:szCs w:val="24"/>
        </w:rPr>
        <w:t xml:space="preserve">нието да бъде поставено върху създаването на условия за подобряване на производителността и конкурентоспособността, за да се ограничи ефектът на намаляването на задлъжнялостта върху икономическия растеж и заетостта. </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Капитализацията на банковия сектор се е</w:t>
      </w:r>
      <w:r>
        <w:rPr>
          <w:rFonts w:ascii="Times New Roman" w:hAnsi="Times New Roman"/>
          <w:b/>
          <w:noProof/>
          <w:sz w:val="24"/>
          <w:szCs w:val="24"/>
        </w:rPr>
        <w:t xml:space="preserve"> увеличила, но се запазва натискът, свързан с влошеното качество на кредитите и активите и ниската рентабилност.</w:t>
      </w:r>
      <w:r>
        <w:rPr>
          <w:rFonts w:ascii="Times New Roman" w:hAnsi="Times New Roman"/>
          <w:noProof/>
          <w:sz w:val="24"/>
          <w:szCs w:val="24"/>
        </w:rPr>
        <w:t xml:space="preserve"> Банките постигнаха значителен напредък в коригирането на своите счетоводни баланси и банковите институции като цяло са с добра капитализация и </w:t>
      </w:r>
      <w:r>
        <w:rPr>
          <w:rFonts w:ascii="Times New Roman" w:hAnsi="Times New Roman"/>
          <w:noProof/>
          <w:sz w:val="24"/>
          <w:szCs w:val="24"/>
        </w:rPr>
        <w:t>ликвидност. В същото време съчетание от фактори доведе до това в банковия сектор на някои държави да продължават да се отчитат висок дял на необслужваните кредити и лошо качество на активите. Ако не бъдат разрешени, тези слабости може да доведат до забавен</w:t>
      </w:r>
      <w:r>
        <w:rPr>
          <w:rFonts w:ascii="Times New Roman" w:hAnsi="Times New Roman"/>
          <w:noProof/>
          <w:sz w:val="24"/>
          <w:szCs w:val="24"/>
        </w:rPr>
        <w:t xml:space="preserve"> растеж и неоптимално разпределение на кредитите. Освен това характеризиращата се със слаб икономически растеж и ниски лихвени проценти среда оказва въздействие върху печалбите в банковия сектор.</w:t>
      </w:r>
    </w:p>
    <w:p w:rsidR="00537046" w:rsidRDefault="00573D98">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Необходими са структурни реформи, за да се улесни </w:t>
      </w:r>
      <w:r>
        <w:rPr>
          <w:rFonts w:ascii="Times New Roman" w:hAnsi="Times New Roman"/>
          <w:b/>
          <w:noProof/>
          <w:sz w:val="24"/>
          <w:szCs w:val="24"/>
        </w:rPr>
        <w:t>преразпределението на ресурсите между отделните предприятия, сектори и региони с цел увеличаване на производителността, конкурентоспособността и устойчивата заетост.</w:t>
      </w:r>
      <w:r>
        <w:rPr>
          <w:rFonts w:ascii="Times New Roman" w:hAnsi="Times New Roman"/>
          <w:noProof/>
          <w:sz w:val="24"/>
          <w:szCs w:val="24"/>
        </w:rPr>
        <w:t xml:space="preserve"> Държавите членки трябва да подобрят преразпределението на наличните ресурси, като ги прехв</w:t>
      </w:r>
      <w:r>
        <w:rPr>
          <w:rFonts w:ascii="Times New Roman" w:hAnsi="Times New Roman"/>
          <w:noProof/>
          <w:sz w:val="24"/>
          <w:szCs w:val="24"/>
        </w:rPr>
        <w:t>ърлят към търгуемите сектори и предприятията с най-голяма производителност във всички сектори на икономиката. Това преразпределение може да бъде подпомогнато чрез провеждането на реформи, насочени към отварянето на пазарите на стоки и услуги, което ще стим</w:t>
      </w:r>
      <w:r>
        <w:rPr>
          <w:rFonts w:ascii="Times New Roman" w:hAnsi="Times New Roman"/>
          <w:noProof/>
          <w:sz w:val="24"/>
          <w:szCs w:val="24"/>
        </w:rPr>
        <w:t xml:space="preserve">улира също и вътрешния пазар на ЕС, както и чрез структурни реформи за премахване на пречките пред свободното движение на стоки и услуги. </w:t>
      </w:r>
    </w:p>
    <w:p w:rsidR="00537046" w:rsidRDefault="00537046">
      <w:pPr>
        <w:autoSpaceDE w:val="0"/>
        <w:autoSpaceDN w:val="0"/>
        <w:adjustRightInd w:val="0"/>
        <w:spacing w:after="0" w:line="120" w:lineRule="auto"/>
        <w:jc w:val="both"/>
        <w:rPr>
          <w:rFonts w:ascii="Times New Roman" w:hAnsi="Times New Roman"/>
          <w:b/>
          <w:noProof/>
          <w:sz w:val="8"/>
          <w:szCs w:val="8"/>
        </w:rPr>
      </w:pPr>
    </w:p>
    <w:p w:rsidR="00537046" w:rsidRDefault="00573D98">
      <w:pPr>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4.2 Прилагане на процедурата при макроикономически дисбаланси </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Комисията подобри прозрачността на процедурата при ма</w:t>
      </w:r>
      <w:r>
        <w:rPr>
          <w:rFonts w:ascii="Times New Roman" w:hAnsi="Times New Roman"/>
          <w:b/>
          <w:noProof/>
          <w:sz w:val="24"/>
          <w:szCs w:val="24"/>
        </w:rPr>
        <w:t xml:space="preserve">кроикономически дисбаланси. </w:t>
      </w:r>
      <w:r>
        <w:rPr>
          <w:rFonts w:ascii="Times New Roman" w:hAnsi="Times New Roman"/>
          <w:noProof/>
          <w:sz w:val="24"/>
          <w:szCs w:val="24"/>
        </w:rPr>
        <w:t>Оценките в докладите за отделните държави отразяват ангажиментите в Съобщението на Комисията „Стъпки към завършването на икономическия и паричния съюз“</w:t>
      </w:r>
      <w:r>
        <w:rPr>
          <w:rFonts w:ascii="Times New Roman" w:hAnsi="Times New Roman"/>
          <w:noProof/>
          <w:sz w:val="24"/>
          <w:szCs w:val="24"/>
          <w:vertAlign w:val="superscript"/>
        </w:rPr>
        <w:footnoteReference w:id="11"/>
      </w:r>
      <w:r>
        <w:rPr>
          <w:rFonts w:ascii="Times New Roman" w:hAnsi="Times New Roman"/>
          <w:noProof/>
          <w:sz w:val="24"/>
          <w:szCs w:val="24"/>
        </w:rPr>
        <w:t>, и по-специално за по-голяма прозрачност в прилагането на процедурата. Конс</w:t>
      </w:r>
      <w:r>
        <w:rPr>
          <w:rFonts w:ascii="Times New Roman" w:hAnsi="Times New Roman"/>
          <w:noProof/>
          <w:sz w:val="24"/>
          <w:szCs w:val="24"/>
        </w:rPr>
        <w:t>татациите в задълбочените прегледи бяха представени по-ефективно в докладите по държави с помощта на обобщителни таблици, в които са описани източниците на дисбаланси и са представени основните констатации относно разработването на целесъобразни икономичес</w:t>
      </w:r>
      <w:r>
        <w:rPr>
          <w:rFonts w:ascii="Times New Roman" w:hAnsi="Times New Roman"/>
          <w:noProof/>
          <w:sz w:val="24"/>
          <w:szCs w:val="24"/>
        </w:rPr>
        <w:t>ки променливи, ответните мерки на политиката и оставащите пропуски на политиката. Освен това службите на Комисията ще публикуват и сборник, в който ще бъде събрана информация от значение за процедурата при макроикономически дисбаланси.</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Комисията е в процес</w:t>
      </w:r>
      <w:r>
        <w:rPr>
          <w:rFonts w:ascii="Times New Roman" w:hAnsi="Times New Roman"/>
          <w:b/>
          <w:noProof/>
          <w:sz w:val="24"/>
          <w:szCs w:val="24"/>
        </w:rPr>
        <w:t xml:space="preserve"> на опростяване и стабилизиране на категориите макроикономически дисбаланси. </w:t>
      </w:r>
      <w:r>
        <w:rPr>
          <w:rFonts w:ascii="Times New Roman" w:hAnsi="Times New Roman"/>
          <w:noProof/>
          <w:sz w:val="24"/>
          <w:szCs w:val="24"/>
        </w:rPr>
        <w:t xml:space="preserve">За да се гарантира по-ефективна и по-опростена комуникация, тази година категориите макроикономически дисбаланси бяха намалени от шест на четири: липса на дисбаланси, дисбаланси, </w:t>
      </w:r>
      <w:r>
        <w:rPr>
          <w:rFonts w:ascii="Times New Roman" w:hAnsi="Times New Roman"/>
          <w:noProof/>
          <w:sz w:val="24"/>
          <w:szCs w:val="24"/>
        </w:rPr>
        <w:t>прекомерни дисбаланси и прекомерни дисбаланси с коригиращи действия. Тези категории ще се запазят и през следващите години. В случай на дисбаланси или прекомерни дисбаланси ще бъде задействан специфичен мониторинг, който ще бъде адаптиран в зависимост от т</w:t>
      </w:r>
      <w:r>
        <w:rPr>
          <w:rFonts w:ascii="Times New Roman" w:hAnsi="Times New Roman"/>
          <w:noProof/>
          <w:sz w:val="24"/>
          <w:szCs w:val="24"/>
        </w:rPr>
        <w:t>ежестта на свързаните с тях предизвикателства. Специфичните за всяка държава препоръки ще бъдат изработени така, че да отразяват естеството на дисбалансите в светлината на мерките за реформи, предложени от държавите членки в националните програми за реформ</w:t>
      </w:r>
      <w:r>
        <w:rPr>
          <w:rFonts w:ascii="Times New Roman" w:hAnsi="Times New Roman"/>
          <w:noProof/>
          <w:sz w:val="24"/>
          <w:szCs w:val="24"/>
        </w:rPr>
        <w:t xml:space="preserve">и. </w:t>
      </w:r>
    </w:p>
    <w:p w:rsidR="00537046" w:rsidRDefault="00537046">
      <w:pPr>
        <w:spacing w:after="0" w:line="120" w:lineRule="auto"/>
        <w:jc w:val="both"/>
        <w:rPr>
          <w:rFonts w:ascii="Times New Roman" w:hAnsi="Times New Roman"/>
          <w:noProof/>
          <w:sz w:val="8"/>
          <w:szCs w:val="8"/>
        </w:rPr>
      </w:pPr>
    </w:p>
    <w:p w:rsidR="00537046" w:rsidRDefault="00573D98">
      <w:pPr>
        <w:spacing w:before="120" w:after="120" w:line="240" w:lineRule="auto"/>
        <w:rPr>
          <w:rFonts w:ascii="Times New Roman" w:hAnsi="Times New Roman"/>
          <w:b/>
          <w:noProof/>
          <w:sz w:val="24"/>
          <w:szCs w:val="24"/>
        </w:rPr>
      </w:pPr>
      <w:r>
        <w:rPr>
          <w:rFonts w:ascii="Times New Roman" w:hAnsi="Times New Roman"/>
          <w:b/>
          <w:noProof/>
          <w:sz w:val="24"/>
          <w:szCs w:val="24"/>
        </w:rPr>
        <w:t>Таблица 1: Категоризация на дисбалансите в рамките на процедурата при макроикономически дисбаланси</w:t>
      </w:r>
    </w:p>
    <w:tbl>
      <w:tblPr>
        <w:tblW w:w="8706" w:type="dxa"/>
        <w:jc w:val="center"/>
        <w:tblInd w:w="-15" w:type="dxa"/>
        <w:tblCellMar>
          <w:left w:w="0" w:type="dxa"/>
          <w:right w:w="0" w:type="dxa"/>
        </w:tblCellMar>
        <w:tblLook w:val="04A0" w:firstRow="1" w:lastRow="0" w:firstColumn="1" w:lastColumn="0" w:noHBand="0" w:noVBand="1"/>
      </w:tblPr>
      <w:tblGrid>
        <w:gridCol w:w="4353"/>
        <w:gridCol w:w="4353"/>
      </w:tblGrid>
      <w:tr w:rsidR="00537046">
        <w:trPr>
          <w:trHeight w:val="464"/>
          <w:jc w:val="center"/>
        </w:trPr>
        <w:tc>
          <w:tcPr>
            <w:tcW w:w="4353" w:type="dxa"/>
            <w:tcBorders>
              <w:top w:val="single" w:sz="4" w:space="0" w:color="auto"/>
              <w:bottom w:val="single" w:sz="4" w:space="0" w:color="auto"/>
            </w:tcBorders>
            <w:tcMar>
              <w:top w:w="0" w:type="dxa"/>
              <w:left w:w="108" w:type="dxa"/>
              <w:bottom w:w="0" w:type="dxa"/>
              <w:right w:w="108" w:type="dxa"/>
            </w:tcMar>
            <w:vAlign w:val="center"/>
          </w:tcPr>
          <w:p w:rsidR="00537046" w:rsidRDefault="00573D98">
            <w:pPr>
              <w:spacing w:before="120" w:after="0" w:line="240" w:lineRule="auto"/>
              <w:jc w:val="both"/>
              <w:rPr>
                <w:rFonts w:ascii="Times New Roman" w:hAnsi="Times New Roman"/>
                <w:b/>
                <w:bCs/>
                <w:noProof/>
                <w:color w:val="000000"/>
                <w:sz w:val="18"/>
                <w:szCs w:val="18"/>
              </w:rPr>
            </w:pPr>
            <w:r>
              <w:rPr>
                <w:rFonts w:ascii="Times New Roman" w:hAnsi="Times New Roman"/>
                <w:b/>
                <w:noProof/>
                <w:color w:val="000000"/>
                <w:sz w:val="18"/>
                <w:szCs w:val="18"/>
              </w:rPr>
              <w:t xml:space="preserve">Предишни категории </w:t>
            </w:r>
          </w:p>
        </w:tc>
        <w:tc>
          <w:tcPr>
            <w:tcW w:w="4353" w:type="dxa"/>
            <w:tcBorders>
              <w:top w:val="single" w:sz="4" w:space="0" w:color="auto"/>
              <w:bottom w:val="single" w:sz="4" w:space="0" w:color="auto"/>
            </w:tcBorders>
            <w:vAlign w:val="center"/>
          </w:tcPr>
          <w:p w:rsidR="00537046" w:rsidRDefault="00573D98">
            <w:pPr>
              <w:spacing w:before="120" w:after="0" w:line="240" w:lineRule="auto"/>
              <w:ind w:left="284"/>
              <w:jc w:val="both"/>
              <w:rPr>
                <w:rFonts w:ascii="Times New Roman" w:hAnsi="Times New Roman"/>
                <w:b/>
                <w:noProof/>
                <w:sz w:val="18"/>
                <w:szCs w:val="18"/>
              </w:rPr>
            </w:pPr>
            <w:r>
              <w:rPr>
                <w:rFonts w:ascii="Times New Roman" w:hAnsi="Times New Roman"/>
                <w:b/>
                <w:noProof/>
                <w:sz w:val="18"/>
                <w:szCs w:val="18"/>
              </w:rPr>
              <w:t xml:space="preserve">Опростени категории </w:t>
            </w:r>
          </w:p>
        </w:tc>
      </w:tr>
      <w:tr w:rsidR="00537046">
        <w:trPr>
          <w:trHeight w:val="464"/>
          <w:jc w:val="center"/>
        </w:trPr>
        <w:tc>
          <w:tcPr>
            <w:tcW w:w="4353" w:type="dxa"/>
            <w:tcBorders>
              <w:top w:val="single" w:sz="4" w:space="0" w:color="auto"/>
            </w:tcBorders>
            <w:tcMar>
              <w:top w:w="0" w:type="dxa"/>
              <w:left w:w="108" w:type="dxa"/>
              <w:bottom w:w="0" w:type="dxa"/>
              <w:right w:w="108" w:type="dxa"/>
            </w:tcMar>
            <w:vAlign w:val="center"/>
          </w:tcPr>
          <w:p w:rsidR="00537046" w:rsidRDefault="00573D98">
            <w:pPr>
              <w:spacing w:before="120" w:after="0" w:line="240" w:lineRule="auto"/>
              <w:jc w:val="both"/>
              <w:rPr>
                <w:rFonts w:ascii="Times New Roman" w:hAnsi="Times New Roman"/>
                <w:bCs/>
                <w:noProof/>
                <w:color w:val="000000"/>
                <w:sz w:val="18"/>
                <w:szCs w:val="18"/>
              </w:rPr>
            </w:pPr>
            <w:r>
              <w:rPr>
                <w:rFonts w:ascii="Times New Roman" w:hAnsi="Times New Roman"/>
                <w:noProof/>
                <w:color w:val="000000"/>
                <w:sz w:val="18"/>
                <w:szCs w:val="18"/>
              </w:rPr>
              <w:t>Липса на дисбаланси</w:t>
            </w:r>
          </w:p>
        </w:tc>
        <w:tc>
          <w:tcPr>
            <w:tcW w:w="4353" w:type="dxa"/>
            <w:tcBorders>
              <w:top w:val="single" w:sz="4" w:space="0" w:color="auto"/>
            </w:tcBorders>
            <w:vAlign w:val="center"/>
          </w:tcPr>
          <w:p w:rsidR="00537046" w:rsidRDefault="00573D98">
            <w:pPr>
              <w:spacing w:before="120" w:after="0" w:line="240" w:lineRule="auto"/>
              <w:ind w:left="284"/>
              <w:jc w:val="both"/>
              <w:rPr>
                <w:rFonts w:ascii="Times New Roman" w:hAnsi="Times New Roman"/>
                <w:bCs/>
                <w:noProof/>
                <w:color w:val="000000"/>
                <w:sz w:val="18"/>
                <w:szCs w:val="18"/>
              </w:rPr>
            </w:pPr>
            <w:r>
              <w:rPr>
                <w:rFonts w:ascii="Times New Roman" w:hAnsi="Times New Roman"/>
                <w:noProof/>
                <w:sz w:val="18"/>
                <w:szCs w:val="18"/>
              </w:rPr>
              <w:t>Липса на дисбаланси</w:t>
            </w:r>
          </w:p>
        </w:tc>
      </w:tr>
      <w:tr w:rsidR="00537046">
        <w:trPr>
          <w:trHeight w:val="464"/>
          <w:jc w:val="center"/>
        </w:trPr>
        <w:tc>
          <w:tcPr>
            <w:tcW w:w="4353" w:type="dxa"/>
            <w:tcMar>
              <w:top w:w="0" w:type="dxa"/>
              <w:left w:w="108" w:type="dxa"/>
              <w:bottom w:w="0" w:type="dxa"/>
              <w:right w:w="108" w:type="dxa"/>
            </w:tcMar>
            <w:vAlign w:val="center"/>
            <w:hideMark/>
          </w:tcPr>
          <w:p w:rsidR="00537046" w:rsidRDefault="00573D98">
            <w:pPr>
              <w:spacing w:before="120" w:after="0" w:line="240" w:lineRule="auto"/>
              <w:jc w:val="both"/>
              <w:rPr>
                <w:rFonts w:ascii="Times New Roman" w:hAnsi="Times New Roman"/>
                <w:bCs/>
                <w:noProof/>
                <w:color w:val="000000"/>
                <w:sz w:val="18"/>
                <w:szCs w:val="18"/>
              </w:rPr>
            </w:pPr>
            <w:r>
              <w:rPr>
                <w:rFonts w:ascii="Times New Roman" w:hAnsi="Times New Roman"/>
                <w:noProof/>
                <w:color w:val="000000"/>
                <w:sz w:val="18"/>
                <w:szCs w:val="18"/>
              </w:rPr>
              <w:t xml:space="preserve">Дисбаланси, за които са необходими действия в областта на политиката </w:t>
            </w:r>
            <w:r>
              <w:rPr>
                <w:rFonts w:ascii="Times New Roman" w:hAnsi="Times New Roman"/>
                <w:noProof/>
                <w:color w:val="000000"/>
                <w:sz w:val="18"/>
                <w:szCs w:val="18"/>
              </w:rPr>
              <w:t>и мониторинг</w:t>
            </w:r>
          </w:p>
        </w:tc>
        <w:tc>
          <w:tcPr>
            <w:tcW w:w="4353" w:type="dxa"/>
            <w:vMerge w:val="restart"/>
            <w:vAlign w:val="center"/>
          </w:tcPr>
          <w:p w:rsidR="00537046" w:rsidRDefault="00573D98">
            <w:pPr>
              <w:spacing w:before="120" w:after="0" w:line="240" w:lineRule="auto"/>
              <w:ind w:left="284"/>
              <w:jc w:val="both"/>
              <w:rPr>
                <w:rFonts w:ascii="Times New Roman" w:hAnsi="Times New Roman"/>
                <w:bCs/>
                <w:noProof/>
                <w:color w:val="000000"/>
                <w:sz w:val="18"/>
                <w:szCs w:val="18"/>
              </w:rPr>
            </w:pPr>
            <w:r>
              <w:rPr>
                <w:rFonts w:ascii="Times New Roman" w:hAnsi="Times New Roman"/>
                <w:noProof/>
                <w:sz w:val="18"/>
                <w:szCs w:val="18"/>
              </w:rPr>
              <w:t>Дисбаланси</w:t>
            </w:r>
          </w:p>
        </w:tc>
      </w:tr>
      <w:tr w:rsidR="00537046">
        <w:trPr>
          <w:trHeight w:val="464"/>
          <w:jc w:val="center"/>
        </w:trPr>
        <w:tc>
          <w:tcPr>
            <w:tcW w:w="4353" w:type="dxa"/>
            <w:tcMar>
              <w:top w:w="0" w:type="dxa"/>
              <w:left w:w="108" w:type="dxa"/>
              <w:bottom w:w="0" w:type="dxa"/>
              <w:right w:w="108" w:type="dxa"/>
            </w:tcMar>
            <w:vAlign w:val="center"/>
            <w:hideMark/>
          </w:tcPr>
          <w:p w:rsidR="00537046" w:rsidRDefault="00573D98">
            <w:pPr>
              <w:spacing w:before="120" w:after="0" w:line="240" w:lineRule="auto"/>
              <w:jc w:val="both"/>
              <w:rPr>
                <w:rFonts w:ascii="Times New Roman" w:hAnsi="Times New Roman"/>
                <w:bCs/>
                <w:noProof/>
                <w:color w:val="000000"/>
                <w:sz w:val="18"/>
                <w:szCs w:val="18"/>
              </w:rPr>
            </w:pPr>
            <w:r>
              <w:rPr>
                <w:rFonts w:ascii="Times New Roman" w:hAnsi="Times New Roman"/>
                <w:noProof/>
                <w:color w:val="000000"/>
                <w:sz w:val="18"/>
                <w:szCs w:val="18"/>
              </w:rPr>
              <w:t>Дисбаланси, за които са необходими решителни действия в областта на политиката и мониторинг</w:t>
            </w:r>
          </w:p>
        </w:tc>
        <w:tc>
          <w:tcPr>
            <w:tcW w:w="4353" w:type="dxa"/>
            <w:vMerge/>
            <w:vAlign w:val="center"/>
          </w:tcPr>
          <w:p w:rsidR="00537046" w:rsidRDefault="00537046">
            <w:pPr>
              <w:spacing w:before="120" w:after="0" w:line="240" w:lineRule="auto"/>
              <w:jc w:val="both"/>
              <w:rPr>
                <w:rFonts w:ascii="Times New Roman" w:hAnsi="Times New Roman"/>
                <w:bCs/>
                <w:noProof/>
                <w:color w:val="000000"/>
                <w:sz w:val="18"/>
                <w:szCs w:val="18"/>
              </w:rPr>
            </w:pPr>
          </w:p>
        </w:tc>
      </w:tr>
      <w:tr w:rsidR="00537046">
        <w:trPr>
          <w:trHeight w:val="464"/>
          <w:jc w:val="center"/>
        </w:trPr>
        <w:tc>
          <w:tcPr>
            <w:tcW w:w="4353" w:type="dxa"/>
            <w:tcMar>
              <w:top w:w="0" w:type="dxa"/>
              <w:left w:w="108" w:type="dxa"/>
              <w:bottom w:w="0" w:type="dxa"/>
              <w:right w:w="108" w:type="dxa"/>
            </w:tcMar>
            <w:vAlign w:val="center"/>
            <w:hideMark/>
          </w:tcPr>
          <w:p w:rsidR="00537046" w:rsidRDefault="00573D98">
            <w:pPr>
              <w:spacing w:before="120" w:after="0" w:line="240" w:lineRule="auto"/>
              <w:jc w:val="both"/>
              <w:rPr>
                <w:rFonts w:ascii="Times New Roman" w:hAnsi="Times New Roman"/>
                <w:bCs/>
                <w:noProof/>
                <w:color w:val="000000"/>
                <w:sz w:val="18"/>
                <w:szCs w:val="18"/>
              </w:rPr>
            </w:pPr>
            <w:r>
              <w:rPr>
                <w:rFonts w:ascii="Times New Roman" w:hAnsi="Times New Roman"/>
                <w:noProof/>
                <w:color w:val="000000"/>
                <w:sz w:val="18"/>
                <w:szCs w:val="18"/>
              </w:rPr>
              <w:t>Дисбаланси, за които са необходими решителни действия в областта на политиката и специфичен мониторинг</w:t>
            </w:r>
          </w:p>
        </w:tc>
        <w:tc>
          <w:tcPr>
            <w:tcW w:w="4353" w:type="dxa"/>
            <w:vMerge/>
            <w:vAlign w:val="center"/>
          </w:tcPr>
          <w:p w:rsidR="00537046" w:rsidRDefault="00537046">
            <w:pPr>
              <w:spacing w:before="120" w:after="0" w:line="240" w:lineRule="auto"/>
              <w:jc w:val="both"/>
              <w:rPr>
                <w:rFonts w:ascii="Times New Roman" w:hAnsi="Times New Roman"/>
                <w:bCs/>
                <w:noProof/>
                <w:color w:val="000000"/>
                <w:sz w:val="18"/>
                <w:szCs w:val="18"/>
              </w:rPr>
            </w:pPr>
          </w:p>
        </w:tc>
      </w:tr>
      <w:tr w:rsidR="00537046">
        <w:trPr>
          <w:trHeight w:val="464"/>
          <w:jc w:val="center"/>
        </w:trPr>
        <w:tc>
          <w:tcPr>
            <w:tcW w:w="4353" w:type="dxa"/>
            <w:tcMar>
              <w:top w:w="0" w:type="dxa"/>
              <w:left w:w="108" w:type="dxa"/>
              <w:bottom w:w="0" w:type="dxa"/>
              <w:right w:w="108" w:type="dxa"/>
            </w:tcMar>
            <w:vAlign w:val="center"/>
            <w:hideMark/>
          </w:tcPr>
          <w:p w:rsidR="00537046" w:rsidRDefault="00573D98">
            <w:pPr>
              <w:spacing w:before="120" w:after="0" w:line="240" w:lineRule="auto"/>
              <w:jc w:val="both"/>
              <w:rPr>
                <w:rFonts w:ascii="Times New Roman" w:hAnsi="Times New Roman"/>
                <w:bCs/>
                <w:noProof/>
                <w:color w:val="000000"/>
                <w:sz w:val="18"/>
                <w:szCs w:val="18"/>
              </w:rPr>
            </w:pPr>
            <w:r>
              <w:rPr>
                <w:rFonts w:ascii="Times New Roman" w:hAnsi="Times New Roman"/>
                <w:noProof/>
                <w:color w:val="000000"/>
                <w:sz w:val="18"/>
                <w:szCs w:val="18"/>
              </w:rPr>
              <w:t xml:space="preserve">Прекомерни дисбаланси, за които </w:t>
            </w:r>
            <w:r>
              <w:rPr>
                <w:rFonts w:ascii="Times New Roman" w:hAnsi="Times New Roman"/>
                <w:noProof/>
                <w:color w:val="000000"/>
                <w:sz w:val="18"/>
                <w:szCs w:val="18"/>
              </w:rPr>
              <w:t>са необходими решителни действия в областта на политиката и специфичен мониторинг</w:t>
            </w:r>
          </w:p>
        </w:tc>
        <w:tc>
          <w:tcPr>
            <w:tcW w:w="4353" w:type="dxa"/>
            <w:vAlign w:val="center"/>
          </w:tcPr>
          <w:p w:rsidR="00537046" w:rsidRDefault="00573D98">
            <w:pPr>
              <w:spacing w:before="120" w:after="0" w:line="240" w:lineRule="auto"/>
              <w:ind w:left="284"/>
              <w:jc w:val="both"/>
              <w:rPr>
                <w:rFonts w:ascii="Times New Roman" w:hAnsi="Times New Roman"/>
                <w:bCs/>
                <w:noProof/>
                <w:color w:val="000000"/>
                <w:sz w:val="18"/>
                <w:szCs w:val="18"/>
              </w:rPr>
            </w:pPr>
            <w:r>
              <w:rPr>
                <w:rFonts w:ascii="Times New Roman" w:hAnsi="Times New Roman"/>
                <w:noProof/>
                <w:sz w:val="18"/>
                <w:szCs w:val="18"/>
              </w:rPr>
              <w:t>Прекомерни дисбаланси</w:t>
            </w:r>
          </w:p>
        </w:tc>
      </w:tr>
      <w:tr w:rsidR="00537046">
        <w:trPr>
          <w:trHeight w:val="464"/>
          <w:jc w:val="center"/>
        </w:trPr>
        <w:tc>
          <w:tcPr>
            <w:tcW w:w="4353" w:type="dxa"/>
            <w:tcBorders>
              <w:top w:val="nil"/>
              <w:left w:val="nil"/>
              <w:bottom w:val="single" w:sz="4" w:space="0" w:color="auto"/>
              <w:right w:val="nil"/>
            </w:tcBorders>
            <w:tcMar>
              <w:top w:w="0" w:type="dxa"/>
              <w:left w:w="108" w:type="dxa"/>
              <w:bottom w:w="0" w:type="dxa"/>
              <w:right w:w="108" w:type="dxa"/>
            </w:tcMar>
            <w:vAlign w:val="center"/>
          </w:tcPr>
          <w:p w:rsidR="00537046" w:rsidRDefault="00573D98">
            <w:pPr>
              <w:spacing w:before="120" w:after="0" w:line="240" w:lineRule="auto"/>
              <w:jc w:val="both"/>
              <w:rPr>
                <w:rFonts w:ascii="Times New Roman" w:hAnsi="Times New Roman"/>
                <w:bCs/>
                <w:noProof/>
                <w:color w:val="000000"/>
                <w:sz w:val="18"/>
                <w:szCs w:val="18"/>
              </w:rPr>
            </w:pPr>
            <w:r>
              <w:rPr>
                <w:rFonts w:ascii="Times New Roman" w:hAnsi="Times New Roman"/>
                <w:noProof/>
                <w:sz w:val="18"/>
                <w:szCs w:val="18"/>
              </w:rPr>
              <w:t>Прекомерни дисбаланси с коригиращи действия*</w:t>
            </w:r>
          </w:p>
        </w:tc>
        <w:tc>
          <w:tcPr>
            <w:tcW w:w="4353" w:type="dxa"/>
            <w:tcBorders>
              <w:top w:val="nil"/>
              <w:left w:val="nil"/>
              <w:bottom w:val="single" w:sz="4" w:space="0" w:color="auto"/>
              <w:right w:val="nil"/>
            </w:tcBorders>
            <w:vAlign w:val="center"/>
          </w:tcPr>
          <w:p w:rsidR="00537046" w:rsidRDefault="00573D98">
            <w:pPr>
              <w:spacing w:before="120" w:after="0" w:line="240" w:lineRule="auto"/>
              <w:ind w:left="284" w:hanging="1"/>
              <w:jc w:val="both"/>
              <w:rPr>
                <w:rFonts w:ascii="Times New Roman" w:hAnsi="Times New Roman"/>
                <w:bCs/>
                <w:noProof/>
                <w:color w:val="000000"/>
                <w:sz w:val="18"/>
                <w:szCs w:val="18"/>
              </w:rPr>
            </w:pPr>
            <w:r>
              <w:rPr>
                <w:rFonts w:ascii="Times New Roman" w:hAnsi="Times New Roman"/>
                <w:noProof/>
                <w:sz w:val="18"/>
                <w:szCs w:val="18"/>
              </w:rPr>
              <w:t>Прекомерни дисбаланси с коригиращи действия</w:t>
            </w:r>
          </w:p>
        </w:tc>
      </w:tr>
    </w:tbl>
    <w:p w:rsidR="00537046" w:rsidRDefault="00573D98">
      <w:pPr>
        <w:spacing w:before="120" w:after="120" w:line="240" w:lineRule="auto"/>
        <w:jc w:val="both"/>
        <w:rPr>
          <w:rFonts w:ascii="Times New Roman" w:hAnsi="Times New Roman"/>
          <w:noProof/>
          <w:sz w:val="18"/>
          <w:szCs w:val="18"/>
        </w:rPr>
      </w:pPr>
      <w:r>
        <w:rPr>
          <w:rFonts w:ascii="Times New Roman" w:hAnsi="Times New Roman"/>
          <w:noProof/>
          <w:sz w:val="18"/>
          <w:szCs w:val="18"/>
        </w:rPr>
        <w:t xml:space="preserve">*Категорията „прекомерни дисбаланси с коригиращи действия“ </w:t>
      </w:r>
      <w:r>
        <w:rPr>
          <w:rFonts w:ascii="Times New Roman" w:hAnsi="Times New Roman"/>
          <w:noProof/>
          <w:sz w:val="18"/>
          <w:szCs w:val="18"/>
        </w:rPr>
        <w:t>предполага откриване на процедурата при прекомерен дисбаланс съгласно Регламент (ЕС) № 1176/2011.</w:t>
      </w:r>
    </w:p>
    <w:p w:rsidR="00537046" w:rsidRDefault="00537046">
      <w:pPr>
        <w:spacing w:before="120" w:after="120" w:line="240" w:lineRule="auto"/>
        <w:jc w:val="both"/>
        <w:rPr>
          <w:rFonts w:ascii="Times New Roman" w:hAnsi="Times New Roman"/>
          <w:b/>
          <w:noProof/>
          <w:sz w:val="24"/>
          <w:szCs w:val="24"/>
        </w:rPr>
      </w:pPr>
    </w:p>
    <w:p w:rsidR="00537046" w:rsidRDefault="00573D98">
      <w:pPr>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В задълбочените прегледи бяха взети предвид също така и ефектите на разпространение в други страни и системните проблеми. </w:t>
      </w:r>
      <w:r>
        <w:rPr>
          <w:rFonts w:ascii="Times New Roman" w:hAnsi="Times New Roman"/>
          <w:noProof/>
          <w:sz w:val="24"/>
          <w:szCs w:val="24"/>
        </w:rPr>
        <w:t>При установяването и оценяването на</w:t>
      </w:r>
      <w:r>
        <w:rPr>
          <w:rFonts w:ascii="Times New Roman" w:hAnsi="Times New Roman"/>
          <w:noProof/>
          <w:sz w:val="24"/>
          <w:szCs w:val="24"/>
        </w:rPr>
        <w:t xml:space="preserve"> макроикономическите дисбаланси се отчита необходимостта от координиран подход на равнище еврозона, насочен към преодоляване на дисбалансите, като същевременно се подпомага възстановяването. Процедурата при макроикономически дисбаланси има за цел предотвра</w:t>
      </w:r>
      <w:r>
        <w:rPr>
          <w:rFonts w:ascii="Times New Roman" w:hAnsi="Times New Roman"/>
          <w:noProof/>
          <w:sz w:val="24"/>
          <w:szCs w:val="24"/>
        </w:rPr>
        <w:t>тяването и коригирането на дисбаланси, които биха могли да навредят на самата държава, на еврозоната или на ЕС. В доклада си за механизма за предупреждение за 2016 г.</w:t>
      </w:r>
      <w:r>
        <w:rPr>
          <w:rStyle w:val="FootnoteReference"/>
          <w:rFonts w:ascii="Times New Roman" w:hAnsi="Times New Roman"/>
          <w:noProof/>
          <w:sz w:val="24"/>
          <w:szCs w:val="24"/>
        </w:rPr>
        <w:footnoteReference w:id="12"/>
      </w:r>
      <w:r>
        <w:rPr>
          <w:rFonts w:ascii="Times New Roman" w:hAnsi="Times New Roman"/>
          <w:noProof/>
          <w:sz w:val="24"/>
          <w:szCs w:val="24"/>
        </w:rPr>
        <w:t>, публикуван заедно с годишния обзор на растежа за 2016 г., Комисията прецени, че 18 държ</w:t>
      </w:r>
      <w:r>
        <w:rPr>
          <w:rFonts w:ascii="Times New Roman" w:hAnsi="Times New Roman"/>
          <w:noProof/>
          <w:sz w:val="24"/>
          <w:szCs w:val="24"/>
        </w:rPr>
        <w:t>ави членки трябва да бъдат подложени на задълбочен преглед, за да се оцени по-подробно сериозността на възможните дисбаланси.</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В сравнение с миналата година, дисбаланси са установени в по-малък брой държави членки.</w:t>
      </w:r>
      <w:r>
        <w:rPr>
          <w:rFonts w:ascii="Times New Roman" w:hAnsi="Times New Roman"/>
          <w:noProof/>
          <w:sz w:val="24"/>
          <w:szCs w:val="24"/>
        </w:rPr>
        <w:t xml:space="preserve"> От 18-те държави членки, подложени на допъ</w:t>
      </w:r>
      <w:r>
        <w:rPr>
          <w:rFonts w:ascii="Times New Roman" w:hAnsi="Times New Roman"/>
          <w:noProof/>
          <w:sz w:val="24"/>
          <w:szCs w:val="24"/>
        </w:rPr>
        <w:t xml:space="preserve">лнителен анализ, в задълбочените прегледи беше установено, че шест държави членки не са засегнати от дисбаланси, в седем държави членки се наблюдават дисбаланси, а в пет държави членки са налице прекомерни дисбаланси. За Хърватия и Португалия Комисията ще </w:t>
      </w:r>
      <w:r>
        <w:rPr>
          <w:rFonts w:ascii="Times New Roman" w:hAnsi="Times New Roman"/>
          <w:noProof/>
          <w:sz w:val="24"/>
          <w:szCs w:val="24"/>
        </w:rPr>
        <w:t>преразгледа своята оценка през май, като вземе предвид степента на амбициозност на техните национални програми за реформи. В допълнение 3 са обобщени констатациите от задълбочените прегледи по държави членки.</w:t>
      </w:r>
    </w:p>
    <w:p w:rsidR="00537046" w:rsidRDefault="00537046">
      <w:pPr>
        <w:spacing w:before="120" w:after="120" w:line="240" w:lineRule="auto"/>
        <w:jc w:val="both"/>
        <w:rPr>
          <w:rFonts w:ascii="Times New Roman" w:hAnsi="Times New Roman"/>
          <w:noProof/>
          <w:sz w:val="24"/>
          <w:szCs w:val="24"/>
        </w:rPr>
      </w:pPr>
    </w:p>
    <w:p w:rsidR="00537046" w:rsidRDefault="00573D98">
      <w:pPr>
        <w:spacing w:before="120" w:after="120" w:line="240" w:lineRule="auto"/>
        <w:rPr>
          <w:rFonts w:ascii="Times New Roman" w:hAnsi="Times New Roman"/>
          <w:noProof/>
          <w:sz w:val="18"/>
          <w:szCs w:val="18"/>
        </w:rPr>
      </w:pPr>
      <w:r>
        <w:rPr>
          <w:rFonts w:ascii="Times New Roman" w:hAnsi="Times New Roman"/>
          <w:b/>
          <w:noProof/>
          <w:sz w:val="24"/>
          <w:szCs w:val="24"/>
        </w:rPr>
        <w:br/>
      </w:r>
      <w:r>
        <w:rPr>
          <w:rFonts w:ascii="Times New Roman" w:hAnsi="Times New Roman"/>
          <w:b/>
          <w:noProof/>
          <w:sz w:val="24"/>
          <w:szCs w:val="24"/>
        </w:rPr>
        <w:t xml:space="preserve">Таблица 2: Резултати от задълбочените прегледи за 2016 г. (опростени категории) </w:t>
      </w:r>
    </w:p>
    <w:tbl>
      <w:tblPr>
        <w:tblW w:w="7969" w:type="dxa"/>
        <w:jc w:val="center"/>
        <w:tblInd w:w="170" w:type="dxa"/>
        <w:tblBorders>
          <w:top w:val="single" w:sz="4" w:space="0" w:color="auto"/>
          <w:bottom w:val="single" w:sz="4" w:space="0" w:color="auto"/>
        </w:tblBorders>
        <w:tblLayout w:type="fixed"/>
        <w:tblLook w:val="04A0" w:firstRow="1" w:lastRow="0" w:firstColumn="1" w:lastColumn="0" w:noHBand="0" w:noVBand="1"/>
      </w:tblPr>
      <w:tblGrid>
        <w:gridCol w:w="5118"/>
        <w:gridCol w:w="2851"/>
      </w:tblGrid>
      <w:tr w:rsidR="00537046">
        <w:trPr>
          <w:jc w:val="center"/>
        </w:trPr>
        <w:tc>
          <w:tcPr>
            <w:tcW w:w="5118" w:type="dxa"/>
            <w:shd w:val="clear" w:color="auto" w:fill="auto"/>
          </w:tcPr>
          <w:p w:rsidR="00537046" w:rsidRDefault="00573D98">
            <w:pPr>
              <w:spacing w:before="120" w:after="120"/>
              <w:rPr>
                <w:rFonts w:ascii="Times New Roman" w:hAnsi="Times New Roman"/>
                <w:b/>
                <w:noProof/>
                <w:color w:val="000000"/>
                <w:sz w:val="18"/>
                <w:szCs w:val="18"/>
              </w:rPr>
            </w:pPr>
            <w:r>
              <w:rPr>
                <w:rFonts w:ascii="Times New Roman" w:hAnsi="Times New Roman"/>
                <w:b/>
                <w:noProof/>
                <w:color w:val="000000"/>
                <w:sz w:val="18"/>
                <w:szCs w:val="18"/>
              </w:rPr>
              <w:t xml:space="preserve">Липса на дисбаланси </w:t>
            </w:r>
          </w:p>
        </w:tc>
        <w:tc>
          <w:tcPr>
            <w:tcW w:w="2851" w:type="dxa"/>
            <w:shd w:val="clear" w:color="auto" w:fill="auto"/>
          </w:tcPr>
          <w:p w:rsidR="00537046" w:rsidRDefault="00573D98">
            <w:pPr>
              <w:spacing w:before="120" w:after="120"/>
              <w:rPr>
                <w:rFonts w:ascii="Times New Roman" w:hAnsi="Times New Roman"/>
                <w:noProof/>
                <w:sz w:val="18"/>
                <w:szCs w:val="18"/>
              </w:rPr>
            </w:pPr>
            <w:r>
              <w:rPr>
                <w:rFonts w:ascii="Times New Roman" w:hAnsi="Times New Roman"/>
                <w:noProof/>
                <w:sz w:val="18"/>
                <w:szCs w:val="18"/>
              </w:rPr>
              <w:t>Белгия, Естония, Унгария, Австрия, Румъния, Обединеното кралство</w:t>
            </w:r>
          </w:p>
        </w:tc>
      </w:tr>
      <w:tr w:rsidR="00537046">
        <w:trPr>
          <w:jc w:val="center"/>
        </w:trPr>
        <w:tc>
          <w:tcPr>
            <w:tcW w:w="5118" w:type="dxa"/>
            <w:shd w:val="clear" w:color="auto" w:fill="auto"/>
          </w:tcPr>
          <w:p w:rsidR="00537046" w:rsidRDefault="00573D98">
            <w:pPr>
              <w:spacing w:before="120" w:after="120"/>
              <w:rPr>
                <w:rFonts w:ascii="Times New Roman" w:hAnsi="Times New Roman"/>
                <w:b/>
                <w:noProof/>
                <w:color w:val="000000"/>
                <w:sz w:val="18"/>
                <w:szCs w:val="18"/>
              </w:rPr>
            </w:pPr>
            <w:r>
              <w:rPr>
                <w:rFonts w:ascii="Times New Roman" w:hAnsi="Times New Roman"/>
                <w:b/>
                <w:noProof/>
                <w:color w:val="000000"/>
                <w:sz w:val="18"/>
                <w:szCs w:val="18"/>
              </w:rPr>
              <w:t xml:space="preserve">Дисбаланси* </w:t>
            </w:r>
          </w:p>
        </w:tc>
        <w:tc>
          <w:tcPr>
            <w:tcW w:w="2851" w:type="dxa"/>
            <w:shd w:val="clear" w:color="auto" w:fill="auto"/>
          </w:tcPr>
          <w:p w:rsidR="00537046" w:rsidRDefault="00573D98">
            <w:pPr>
              <w:spacing w:before="120" w:after="120"/>
              <w:rPr>
                <w:rFonts w:ascii="Times New Roman" w:hAnsi="Times New Roman"/>
                <w:noProof/>
                <w:color w:val="000000"/>
                <w:sz w:val="18"/>
                <w:szCs w:val="18"/>
              </w:rPr>
            </w:pPr>
            <w:r>
              <w:rPr>
                <w:rFonts w:ascii="Times New Roman" w:hAnsi="Times New Roman"/>
                <w:noProof/>
                <w:color w:val="000000"/>
                <w:sz w:val="18"/>
                <w:szCs w:val="18"/>
              </w:rPr>
              <w:t>Германия, Ирландия, Испания, Нидерландия, Словения., Финландия, Швеция</w:t>
            </w:r>
          </w:p>
        </w:tc>
      </w:tr>
      <w:tr w:rsidR="00537046">
        <w:trPr>
          <w:jc w:val="center"/>
        </w:trPr>
        <w:tc>
          <w:tcPr>
            <w:tcW w:w="5118" w:type="dxa"/>
            <w:shd w:val="clear" w:color="auto" w:fill="auto"/>
          </w:tcPr>
          <w:p w:rsidR="00537046" w:rsidRDefault="00573D98">
            <w:pPr>
              <w:spacing w:before="120" w:after="120"/>
              <w:rPr>
                <w:rFonts w:ascii="Times New Roman" w:hAnsi="Times New Roman"/>
                <w:b/>
                <w:noProof/>
                <w:color w:val="000000"/>
                <w:sz w:val="18"/>
                <w:szCs w:val="18"/>
              </w:rPr>
            </w:pPr>
            <w:r>
              <w:rPr>
                <w:rFonts w:ascii="Times New Roman" w:hAnsi="Times New Roman"/>
                <w:b/>
                <w:noProof/>
                <w:color w:val="000000"/>
                <w:sz w:val="18"/>
                <w:szCs w:val="18"/>
              </w:rPr>
              <w:t xml:space="preserve">Прекомерни дисбаланси* </w:t>
            </w:r>
          </w:p>
        </w:tc>
        <w:tc>
          <w:tcPr>
            <w:tcW w:w="2851" w:type="dxa"/>
            <w:shd w:val="clear" w:color="auto" w:fill="auto"/>
          </w:tcPr>
          <w:p w:rsidR="00537046" w:rsidRDefault="00573D98">
            <w:pPr>
              <w:spacing w:before="120" w:after="120"/>
              <w:rPr>
                <w:rFonts w:ascii="Times New Roman" w:hAnsi="Times New Roman"/>
                <w:noProof/>
                <w:color w:val="000000"/>
                <w:sz w:val="18"/>
                <w:szCs w:val="18"/>
              </w:rPr>
            </w:pPr>
            <w:r>
              <w:rPr>
                <w:rFonts w:ascii="Times New Roman" w:hAnsi="Times New Roman"/>
                <w:noProof/>
                <w:color w:val="000000"/>
                <w:sz w:val="18"/>
                <w:szCs w:val="18"/>
              </w:rPr>
              <w:t>България, Франция, Хърватия, Италия, Португалия</w:t>
            </w:r>
          </w:p>
        </w:tc>
      </w:tr>
    </w:tbl>
    <w:p w:rsidR="00537046" w:rsidRDefault="00573D98">
      <w:pPr>
        <w:spacing w:before="60" w:after="120"/>
        <w:jc w:val="both"/>
        <w:rPr>
          <w:rFonts w:ascii="Times New Roman" w:hAnsi="Times New Roman"/>
          <w:noProof/>
          <w:sz w:val="18"/>
          <w:szCs w:val="18"/>
        </w:rPr>
      </w:pPr>
      <w:r>
        <w:rPr>
          <w:rFonts w:ascii="Times New Roman" w:hAnsi="Times New Roman"/>
          <w:noProof/>
          <w:sz w:val="18"/>
          <w:szCs w:val="18"/>
        </w:rPr>
        <w:t>*Категорията „дисбаланси“ и категорията „прекомерни дисбаланси“ включват специфичен мониторинг, който трябва да се адаптира в зависимост от това доколко сериозни са предизвикателстват</w:t>
      </w:r>
      <w:r>
        <w:rPr>
          <w:rFonts w:ascii="Times New Roman" w:hAnsi="Times New Roman"/>
          <w:noProof/>
          <w:sz w:val="18"/>
          <w:szCs w:val="18"/>
        </w:rPr>
        <w:t xml:space="preserve">а. </w:t>
      </w:r>
    </w:p>
    <w:p w:rsidR="00537046" w:rsidRDefault="00537046">
      <w:pPr>
        <w:spacing w:before="120" w:after="120" w:line="240" w:lineRule="auto"/>
        <w:jc w:val="both"/>
        <w:rPr>
          <w:rFonts w:ascii="Times New Roman" w:hAnsi="Times New Roman"/>
          <w:b/>
          <w:noProof/>
          <w:sz w:val="24"/>
          <w:szCs w:val="24"/>
        </w:rPr>
      </w:pPr>
    </w:p>
    <w:p w:rsidR="00537046" w:rsidRDefault="00537046">
      <w:pPr>
        <w:spacing w:before="120" w:after="120" w:line="240" w:lineRule="auto"/>
        <w:jc w:val="both"/>
        <w:rPr>
          <w:rFonts w:ascii="Times New Roman" w:hAnsi="Times New Roman"/>
          <w:b/>
          <w:noProof/>
          <w:sz w:val="24"/>
          <w:szCs w:val="24"/>
        </w:rPr>
      </w:pPr>
    </w:p>
    <w:p w:rsidR="00537046" w:rsidRDefault="00573D98">
      <w:pPr>
        <w:spacing w:before="120" w:after="120" w:line="240" w:lineRule="auto"/>
        <w:jc w:val="both"/>
        <w:rPr>
          <w:rFonts w:ascii="Times New Roman" w:hAnsi="Times New Roman"/>
          <w:noProof/>
          <w:sz w:val="24"/>
          <w:szCs w:val="24"/>
          <w:highlight w:val="yellow"/>
        </w:rPr>
      </w:pPr>
      <w:r>
        <w:rPr>
          <w:rFonts w:ascii="Times New Roman" w:hAnsi="Times New Roman"/>
          <w:b/>
          <w:noProof/>
          <w:sz w:val="24"/>
          <w:szCs w:val="24"/>
        </w:rPr>
        <w:t xml:space="preserve">В съответствие с опростените категории в рамките на процедурата при макроикономически дисбаланси надзорът ще включва специфичен мониторинг за всички държави членки, засегнати от дисбаланси и прекомерни дисбаланси. </w:t>
      </w:r>
      <w:r>
        <w:rPr>
          <w:rFonts w:ascii="Times New Roman" w:hAnsi="Times New Roman"/>
          <w:noProof/>
          <w:sz w:val="24"/>
          <w:szCs w:val="24"/>
        </w:rPr>
        <w:t>Чрез специфичния мониторинг следва д</w:t>
      </w:r>
      <w:r>
        <w:rPr>
          <w:rFonts w:ascii="Times New Roman" w:hAnsi="Times New Roman"/>
          <w:noProof/>
          <w:sz w:val="24"/>
          <w:szCs w:val="24"/>
        </w:rPr>
        <w:t>а се гарантира засиленият надзор на ответните мерки на политиката по отношение на установените дисбаланси посредством засилен диалог с националните органи, експертни мисии и редовни доклади за напредъка, които трябва да бъдат обсъдени от всички държави чле</w:t>
      </w:r>
      <w:r>
        <w:rPr>
          <w:rFonts w:ascii="Times New Roman" w:hAnsi="Times New Roman"/>
          <w:noProof/>
          <w:sz w:val="24"/>
          <w:szCs w:val="24"/>
        </w:rPr>
        <w:t>нки. Тези контакти ще помогнат също така при проследяването на изпълнението на специфичните за всяка държава препоръки в съответните държави членки. Мониторингът може да се различава в зависимост от естеството на дисбаланса. Като общ принцип държавите, кои</w:t>
      </w:r>
      <w:r>
        <w:rPr>
          <w:rFonts w:ascii="Times New Roman" w:hAnsi="Times New Roman"/>
          <w:noProof/>
          <w:sz w:val="24"/>
          <w:szCs w:val="24"/>
        </w:rPr>
        <w:t xml:space="preserve">то са засегнати от прекомерни дисбаланси, ще бъдат подложени на по-строг мониторинг. За страните в категорията „прекомерни дисбаланси с коригиращи действия“ ще бъде задействана процедурата при прекомерен дисбаланс (ППД), която включва препоръки в областта </w:t>
      </w:r>
      <w:r>
        <w:rPr>
          <w:rFonts w:ascii="Times New Roman" w:hAnsi="Times New Roman"/>
          <w:noProof/>
          <w:sz w:val="24"/>
          <w:szCs w:val="24"/>
        </w:rPr>
        <w:t>на политиката за коригиране на дисбалансите и последващи действия посредством план за коригиращи действия.</w:t>
      </w:r>
    </w:p>
    <w:p w:rsidR="00537046" w:rsidRDefault="00537046">
      <w:pPr>
        <w:spacing w:before="120" w:after="120" w:line="240" w:lineRule="auto"/>
        <w:jc w:val="both"/>
        <w:rPr>
          <w:rFonts w:ascii="Times New Roman" w:hAnsi="Times New Roman"/>
          <w:b/>
          <w:smallCaps/>
          <w:noProof/>
          <w:sz w:val="24"/>
          <w:szCs w:val="24"/>
        </w:rPr>
      </w:pPr>
    </w:p>
    <w:p w:rsidR="00537046" w:rsidRDefault="00537046">
      <w:pPr>
        <w:spacing w:before="120" w:after="120" w:line="240" w:lineRule="auto"/>
        <w:jc w:val="both"/>
        <w:rPr>
          <w:rFonts w:ascii="Times New Roman" w:hAnsi="Times New Roman"/>
          <w:b/>
          <w:smallCaps/>
          <w:noProof/>
          <w:sz w:val="24"/>
          <w:szCs w:val="24"/>
        </w:rPr>
      </w:pPr>
    </w:p>
    <w:p w:rsidR="00537046" w:rsidRDefault="00573D98">
      <w:pPr>
        <w:spacing w:before="120" w:after="120" w:line="240" w:lineRule="auto"/>
        <w:jc w:val="both"/>
        <w:rPr>
          <w:rFonts w:ascii="Times New Roman" w:hAnsi="Times New Roman"/>
          <w:b/>
          <w:smallCaps/>
          <w:noProof/>
          <w:sz w:val="24"/>
          <w:szCs w:val="24"/>
        </w:rPr>
      </w:pPr>
      <w:r>
        <w:rPr>
          <w:rFonts w:ascii="Times New Roman" w:hAnsi="Times New Roman"/>
          <w:b/>
          <w:smallCaps/>
          <w:noProof/>
          <w:sz w:val="24"/>
          <w:szCs w:val="24"/>
        </w:rPr>
        <w:t xml:space="preserve">5. Реформи в държавите членки </w:t>
      </w:r>
    </w:p>
    <w:p w:rsidR="00537046" w:rsidRDefault="00537046">
      <w:pPr>
        <w:spacing w:before="120" w:after="120" w:line="120" w:lineRule="auto"/>
        <w:jc w:val="both"/>
        <w:rPr>
          <w:rFonts w:ascii="Times New Roman" w:hAnsi="Times New Roman"/>
          <w:b/>
          <w:noProof/>
          <w:sz w:val="24"/>
          <w:szCs w:val="24"/>
        </w:rPr>
      </w:pP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Повечето държави членки са постигнали напредък по отношение на провежданите реформи.</w:t>
      </w:r>
      <w:r>
        <w:rPr>
          <w:rFonts w:ascii="Times New Roman" w:hAnsi="Times New Roman"/>
          <w:noProof/>
          <w:sz w:val="24"/>
          <w:szCs w:val="24"/>
        </w:rPr>
        <w:t xml:space="preserve"> Тези усилия за реформи трябва да се запазят и засилят, за да могат икономиките да бъдат подготвени за бъдещи сътресения и да се повиши тяхната конкурентоспособност. Силата и устойчивостта на възстановяването зависят от бързината и ефективността на приеман</w:t>
      </w:r>
      <w:r>
        <w:rPr>
          <w:rFonts w:ascii="Times New Roman" w:hAnsi="Times New Roman"/>
          <w:noProof/>
          <w:sz w:val="24"/>
          <w:szCs w:val="24"/>
        </w:rPr>
        <w:t>ето и провеждането на реформите. Фондовете на ЕС, по-специално европейските структурни и инвестиционни фондове, може и трябва да бъдат използвани за провеждане на реформите. Докато в миналогодишните специфични за всяка държава препоръки бяха откроени въпро</w:t>
      </w:r>
      <w:r>
        <w:rPr>
          <w:rFonts w:ascii="Times New Roman" w:hAnsi="Times New Roman"/>
          <w:noProof/>
          <w:sz w:val="24"/>
          <w:szCs w:val="24"/>
        </w:rPr>
        <w:t>си, които стояха в центъра на дискусиите в областта на икономическата и социалната политика в държавите членки, в няколко случая в докладите по държави са посочени нови развития, като например притокът на мигранти и бежанци.</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Качествените аспекти на реформи</w:t>
      </w:r>
      <w:r>
        <w:rPr>
          <w:rFonts w:ascii="Times New Roman" w:hAnsi="Times New Roman"/>
          <w:b/>
          <w:noProof/>
          <w:sz w:val="24"/>
          <w:szCs w:val="24"/>
        </w:rPr>
        <w:t>те са от важно значение за успеха.</w:t>
      </w:r>
      <w:r>
        <w:rPr>
          <w:rFonts w:ascii="Times New Roman" w:hAnsi="Times New Roman"/>
          <w:noProof/>
          <w:sz w:val="24"/>
          <w:szCs w:val="24"/>
        </w:rPr>
        <w:t xml:space="preserve"> Ефективното разпределяне на ресурсите към предприятия с по-добра производителност ще доведе до увеличаване на производителността и темповете на растеж. Освен това то ще доведе до по-големи инвестиции от страна на по-ефект</w:t>
      </w:r>
      <w:r>
        <w:rPr>
          <w:rFonts w:ascii="Times New Roman" w:hAnsi="Times New Roman"/>
          <w:noProof/>
          <w:sz w:val="24"/>
          <w:szCs w:val="24"/>
        </w:rPr>
        <w:t>ивни предприятия, като подобри дългосрочния потенциал за растеж на икономиките на държавите членки. Необходимо е време докато станат видими резултатите от реформите на пазарите на стоки и услуги и на пазарите на труда, но тези реформи задействат преразпред</w:t>
      </w:r>
      <w:r>
        <w:rPr>
          <w:rFonts w:ascii="Times New Roman" w:hAnsi="Times New Roman"/>
          <w:noProof/>
          <w:sz w:val="24"/>
          <w:szCs w:val="24"/>
        </w:rPr>
        <w:t>елянето на ресурсите чрез насърчаване на инвестициите и модернизиране на производствената база на икономиката на ЕС.</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Реформите на равнище държави членки са необходими, за да допълнят реформите, предприети на равнище ЕС. </w:t>
      </w:r>
      <w:r>
        <w:rPr>
          <w:rFonts w:ascii="Times New Roman" w:hAnsi="Times New Roman"/>
          <w:noProof/>
          <w:sz w:val="24"/>
          <w:szCs w:val="24"/>
        </w:rPr>
        <w:t>На равнище ЕС бяха договорени редица</w:t>
      </w:r>
      <w:r>
        <w:rPr>
          <w:rFonts w:ascii="Times New Roman" w:hAnsi="Times New Roman"/>
          <w:noProof/>
          <w:sz w:val="24"/>
          <w:szCs w:val="24"/>
        </w:rPr>
        <w:t xml:space="preserve"> реформи в областта на политиката и бяха изработени инструменти на политиката, които имат за цел да се осигурят по-добра бизнес среда и по-сигурна и по-стабилна регулаторна среда, като например стратегията за единния пазар, единният цифров пазар, енергийни</w:t>
      </w:r>
      <w:r>
        <w:rPr>
          <w:rFonts w:ascii="Times New Roman" w:hAnsi="Times New Roman"/>
          <w:noProof/>
          <w:sz w:val="24"/>
          <w:szCs w:val="24"/>
        </w:rPr>
        <w:t>ят съюз, съюзът на капиталовите пазари, пакетът за кръговата икономика и програмата за по-добро регулиране. В раздела по-долу се описва напредъкът на държавите членки в провеждането на реформи в областите, набелязани в миналогодишните специфични за всяка д</w:t>
      </w:r>
      <w:r>
        <w:rPr>
          <w:rFonts w:ascii="Times New Roman" w:hAnsi="Times New Roman"/>
          <w:noProof/>
          <w:sz w:val="24"/>
          <w:szCs w:val="24"/>
        </w:rPr>
        <w:t xml:space="preserve">ържава препоръки. </w:t>
      </w:r>
    </w:p>
    <w:p w:rsidR="00537046" w:rsidRDefault="00537046">
      <w:pPr>
        <w:tabs>
          <w:tab w:val="left" w:pos="7621"/>
        </w:tabs>
        <w:spacing w:before="120" w:after="120" w:line="240" w:lineRule="auto"/>
        <w:jc w:val="both"/>
        <w:rPr>
          <w:rFonts w:ascii="Times New Roman" w:hAnsi="Times New Roman"/>
          <w:noProof/>
          <w:sz w:val="24"/>
          <w:szCs w:val="24"/>
        </w:rPr>
      </w:pPr>
    </w:p>
    <w:p w:rsidR="00537046" w:rsidRDefault="00573D98">
      <w:pPr>
        <w:spacing w:before="120" w:after="120" w:line="240" w:lineRule="auto"/>
        <w:jc w:val="both"/>
        <w:rPr>
          <w:rFonts w:ascii="Times New Roman" w:hAnsi="Times New Roman"/>
          <w:i/>
          <w:noProof/>
          <w:sz w:val="24"/>
          <w:szCs w:val="24"/>
        </w:rPr>
      </w:pPr>
      <w:r>
        <w:rPr>
          <w:rFonts w:ascii="Times New Roman" w:hAnsi="Times New Roman"/>
          <w:b/>
          <w:i/>
          <w:noProof/>
          <w:sz w:val="24"/>
          <w:szCs w:val="24"/>
        </w:rPr>
        <w:t>5.1</w:t>
      </w:r>
      <w:r>
        <w:rPr>
          <w:rFonts w:ascii="Times New Roman" w:hAnsi="Times New Roman"/>
          <w:noProof/>
          <w:sz w:val="24"/>
          <w:szCs w:val="24"/>
        </w:rPr>
        <w:tab/>
      </w:r>
      <w:r>
        <w:rPr>
          <w:rFonts w:ascii="Times New Roman" w:hAnsi="Times New Roman"/>
          <w:b/>
          <w:i/>
          <w:noProof/>
          <w:sz w:val="24"/>
          <w:szCs w:val="24"/>
        </w:rPr>
        <w:t>Нов тласък за инвестициите</w:t>
      </w:r>
      <w:r>
        <w:rPr>
          <w:rFonts w:ascii="Times New Roman" w:hAnsi="Times New Roman"/>
          <w:i/>
          <w:noProof/>
          <w:sz w:val="24"/>
          <w:szCs w:val="24"/>
        </w:rPr>
        <w:t xml:space="preserve"> </w:t>
      </w:r>
    </w:p>
    <w:p w:rsidR="00537046" w:rsidRDefault="00537046">
      <w:pPr>
        <w:spacing w:before="120" w:after="120" w:line="120" w:lineRule="auto"/>
        <w:jc w:val="both"/>
        <w:rPr>
          <w:rFonts w:ascii="Times New Roman" w:hAnsi="Times New Roman"/>
          <w:noProof/>
          <w:sz w:val="24"/>
          <w:szCs w:val="24"/>
        </w:rPr>
      </w:pPr>
    </w:p>
    <w:p w:rsidR="00537046" w:rsidRDefault="00573D98">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b/>
          <w:noProof/>
          <w:color w:val="000000"/>
          <w:sz w:val="24"/>
          <w:szCs w:val="24"/>
          <w:u w:color="000000"/>
          <w:bdr w:val="nil"/>
        </w:rPr>
        <w:t>За да се подобрят условията за инвестиции, трябва да бъдат предприети действия в няколко области. Необходимо е да бъде привлечено повече частно финансиране за инвестиции в реалната икономика и да се осиг</w:t>
      </w:r>
      <w:r>
        <w:rPr>
          <w:rFonts w:ascii="Times New Roman" w:hAnsi="Times New Roman"/>
          <w:b/>
          <w:noProof/>
          <w:color w:val="000000"/>
          <w:sz w:val="24"/>
          <w:szCs w:val="24"/>
          <w:u w:color="000000"/>
          <w:bdr w:val="nil"/>
        </w:rPr>
        <w:t>урят висококачествени публични инвестиции.</w:t>
      </w:r>
      <w:r>
        <w:rPr>
          <w:rFonts w:ascii="Times New Roman" w:hAnsi="Times New Roman"/>
          <w:noProof/>
          <w:color w:val="000000"/>
          <w:sz w:val="24"/>
          <w:szCs w:val="24"/>
          <w:u w:color="000000"/>
          <w:bdr w:val="nil"/>
        </w:rPr>
        <w:t xml:space="preserve"> В съответствие с Плана за инвестиции за Европа, за да може инвестициите да започнат да допринасят в по-голяма степен за икономическия растеж и създаването на работни места, е необходимо да се подобри рисковото фин</w:t>
      </w:r>
      <w:r>
        <w:rPr>
          <w:rFonts w:ascii="Times New Roman" w:hAnsi="Times New Roman"/>
          <w:noProof/>
          <w:color w:val="000000"/>
          <w:sz w:val="24"/>
          <w:szCs w:val="24"/>
          <w:u w:color="000000"/>
          <w:bdr w:val="nil"/>
        </w:rPr>
        <w:t>ансиране, да се създаде по-добра среда за инвестиции и да се разработят по-добре структурирани инвестиционни проекти с по-голяма видимост. Комисията вече предприе редица реформи на европейско равнище, които имат за цел да се даде нов тласък на инвестициите</w:t>
      </w:r>
      <w:r>
        <w:rPr>
          <w:rFonts w:ascii="Times New Roman" w:hAnsi="Times New Roman"/>
          <w:noProof/>
          <w:color w:val="000000"/>
          <w:sz w:val="24"/>
          <w:szCs w:val="24"/>
          <w:u w:color="000000"/>
          <w:bdr w:val="nil"/>
        </w:rPr>
        <w:t>, като например предложението по директивата „Платежоспособност II“. Освен това службите на Комисията посочиха подробно основните предизвикателства пред инвестициите във всяка държава членка</w:t>
      </w:r>
      <w:r>
        <w:rPr>
          <w:rFonts w:ascii="Times New Roman" w:hAnsi="Times New Roman"/>
          <w:noProof/>
          <w:color w:val="000000"/>
          <w:sz w:val="24"/>
          <w:szCs w:val="24"/>
          <w:u w:color="000000"/>
          <w:bdr w:val="nil"/>
          <w:vertAlign w:val="superscript"/>
        </w:rPr>
        <w:footnoteReference w:id="13"/>
      </w:r>
      <w:r>
        <w:rPr>
          <w:rFonts w:ascii="Times New Roman" w:hAnsi="Times New Roman"/>
          <w:noProof/>
          <w:color w:val="000000"/>
          <w:sz w:val="24"/>
          <w:szCs w:val="24"/>
          <w:u w:color="000000"/>
          <w:bdr w:val="nil"/>
        </w:rPr>
        <w:t xml:space="preserve">. Тези предизвикателства включват регулаторните и </w:t>
      </w:r>
      <w:r>
        <w:rPr>
          <w:rFonts w:ascii="Times New Roman" w:hAnsi="Times New Roman"/>
          <w:noProof/>
          <w:color w:val="000000"/>
          <w:sz w:val="24"/>
          <w:szCs w:val="24"/>
          <w:u w:color="000000"/>
          <w:bdr w:val="nil"/>
        </w:rPr>
        <w:t>административните бариери, обществените поръчки, данъчното облагане, съдебните системи, достъпа до финансиране и уредбите за несъстоятелността, образованието и уменията, както и секторните нормативни разпоредби. В допълнение Комисията открои необходимостта</w:t>
      </w:r>
      <w:r>
        <w:rPr>
          <w:rFonts w:ascii="Times New Roman" w:hAnsi="Times New Roman"/>
          <w:noProof/>
          <w:color w:val="000000"/>
          <w:sz w:val="24"/>
          <w:szCs w:val="24"/>
          <w:u w:color="000000"/>
          <w:bdr w:val="nil"/>
        </w:rPr>
        <w:t xml:space="preserve"> от достъп до повече и по-разнообразни източници на финансиране, както и от по-широк обхват на приоритетите, в който влиза не само традиционната инфраструктура, но и човешкият капитал и свързаните с него социални инвестиции.</w:t>
      </w:r>
    </w:p>
    <w:p w:rsidR="00537046" w:rsidRDefault="00573D98">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b/>
          <w:noProof/>
          <w:color w:val="000000"/>
          <w:sz w:val="24"/>
          <w:szCs w:val="24"/>
          <w:u w:color="000000"/>
          <w:bdr w:val="nil"/>
        </w:rPr>
        <w:t xml:space="preserve">До този момент инвестициите не </w:t>
      </w:r>
      <w:r>
        <w:rPr>
          <w:rFonts w:ascii="Times New Roman" w:hAnsi="Times New Roman"/>
          <w:b/>
          <w:noProof/>
          <w:color w:val="000000"/>
          <w:sz w:val="24"/>
          <w:szCs w:val="24"/>
          <w:u w:color="000000"/>
          <w:bdr w:val="nil"/>
        </w:rPr>
        <w:t>успяха да се превърнат в мощен двигател на възстановяването.</w:t>
      </w:r>
      <w:r>
        <w:rPr>
          <w:rFonts w:ascii="Times New Roman" w:hAnsi="Times New Roman"/>
          <w:noProof/>
          <w:color w:val="000000"/>
          <w:sz w:val="24"/>
          <w:szCs w:val="24"/>
          <w:u w:color="000000"/>
          <w:bdr w:val="nil"/>
          <w:vertAlign w:val="superscript"/>
        </w:rPr>
        <w:footnoteReference w:id="14"/>
      </w:r>
      <w:r>
        <w:rPr>
          <w:rFonts w:ascii="Times New Roman" w:hAnsi="Times New Roman"/>
          <w:noProof/>
          <w:color w:val="000000"/>
          <w:sz w:val="24"/>
          <w:szCs w:val="24"/>
          <w:u w:color="000000"/>
          <w:bdr w:val="nil"/>
        </w:rPr>
        <w:t xml:space="preserve"> Държавите членки се приканват да осигурят среда, която насърчава инвестициите, чрез отстраняване на пречките, осигуряване на по-добра регулаторна предвидимост, укрепване на единния пазар,</w:t>
      </w:r>
      <w:r>
        <w:rPr>
          <w:rFonts w:ascii="Times New Roman" w:hAnsi="Times New Roman"/>
          <w:noProof/>
          <w:sz w:val="24"/>
          <w:szCs w:val="24"/>
        </w:rPr>
        <w:t xml:space="preserve"> устано</w:t>
      </w:r>
      <w:r>
        <w:rPr>
          <w:rFonts w:ascii="Times New Roman" w:hAnsi="Times New Roman"/>
          <w:noProof/>
          <w:sz w:val="24"/>
          <w:szCs w:val="24"/>
        </w:rPr>
        <w:t>вяване на стабилен поток от проекти и осигуряване на координация и планиране на всички нива на управление.</w:t>
      </w:r>
      <w:r>
        <w:rPr>
          <w:rFonts w:ascii="Times New Roman" w:hAnsi="Times New Roman"/>
          <w:noProof/>
          <w:color w:val="000000" w:themeColor="text1"/>
          <w:sz w:val="24"/>
          <w:szCs w:val="24"/>
        </w:rPr>
        <w:t xml:space="preserve"> </w:t>
      </w:r>
      <w:r>
        <w:rPr>
          <w:rFonts w:ascii="Times New Roman" w:hAnsi="Times New Roman"/>
          <w:noProof/>
          <w:color w:val="000000" w:themeColor="text1"/>
          <w:sz w:val="24"/>
          <w:szCs w:val="24"/>
          <w:u w:color="000000"/>
          <w:bdr w:val="nil"/>
        </w:rPr>
        <w:t>В повечето държави членки все още се усещат отрицателните последици от финансовата криза върху инвестициите, като в някои държави членки се наблюдава</w:t>
      </w:r>
      <w:r>
        <w:rPr>
          <w:rFonts w:ascii="Times New Roman" w:hAnsi="Times New Roman"/>
          <w:noProof/>
          <w:color w:val="000000" w:themeColor="text1"/>
          <w:sz w:val="24"/>
          <w:szCs w:val="24"/>
          <w:u w:color="000000"/>
          <w:bdr w:val="nil"/>
        </w:rPr>
        <w:t>т промени в относителния баланс между публичните инвестиции и частните или бизнес инвестициите. Ирландия е пример за държава членка, в която вследствие на мащабен и труден процес на корекции високото равнище на частните инвестиции играе централна роля за и</w:t>
      </w:r>
      <w:r>
        <w:rPr>
          <w:rFonts w:ascii="Times New Roman" w:hAnsi="Times New Roman"/>
          <w:noProof/>
          <w:color w:val="000000" w:themeColor="text1"/>
          <w:sz w:val="24"/>
          <w:szCs w:val="24"/>
          <w:u w:color="000000"/>
          <w:bdr w:val="nil"/>
        </w:rPr>
        <w:t>кономическото възстановяване.</w:t>
      </w:r>
    </w:p>
    <w:p w:rsidR="00537046" w:rsidRDefault="00573D98">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b/>
          <w:noProof/>
          <w:color w:val="000000"/>
          <w:sz w:val="24"/>
          <w:szCs w:val="24"/>
          <w:u w:color="000000"/>
          <w:bdr w:val="nil"/>
        </w:rPr>
        <w:t xml:space="preserve">Средствата от ЕС продължават да играят ключова роля в редица държави членки. </w:t>
      </w:r>
      <w:r>
        <w:rPr>
          <w:rFonts w:ascii="Times New Roman" w:hAnsi="Times New Roman"/>
          <w:noProof/>
          <w:color w:val="000000"/>
          <w:sz w:val="24"/>
          <w:szCs w:val="24"/>
          <w:u w:color="000000"/>
          <w:bdr w:val="nil"/>
        </w:rPr>
        <w:t>В България, Чешката република, Естония, Хърватия, Латвия, Литва, Унгария, Малта, Полша, Португалия, Румъния, Словения и Словакия на тях се дължат гол</w:t>
      </w:r>
      <w:r>
        <w:rPr>
          <w:rFonts w:ascii="Times New Roman" w:hAnsi="Times New Roman"/>
          <w:noProof/>
          <w:color w:val="000000"/>
          <w:sz w:val="24"/>
          <w:szCs w:val="24"/>
          <w:u w:color="000000"/>
          <w:bdr w:val="nil"/>
        </w:rPr>
        <w:t>ям дял от инвестициите. Комисията работи в тясно сътрудничество с държавите членки за подобряване на начина, по който средствата се управляват и инвестират. Процентът на усвояване може да се увеличи чрез засилване на административния капацитет на националн</w:t>
      </w:r>
      <w:r>
        <w:rPr>
          <w:rFonts w:ascii="Times New Roman" w:hAnsi="Times New Roman"/>
          <w:noProof/>
          <w:color w:val="000000"/>
          <w:sz w:val="24"/>
          <w:szCs w:val="24"/>
          <w:u w:color="000000"/>
          <w:bdr w:val="nil"/>
        </w:rPr>
        <w:t>ите и регионалните администрации и чрез техническа помощ, като по този начин се допринесе също така и за оптималното съчетаване на различните фондове на ЕС.</w:t>
      </w:r>
    </w:p>
    <w:p w:rsidR="00537046" w:rsidRDefault="00573D98">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b/>
          <w:noProof/>
          <w:color w:val="000000"/>
          <w:sz w:val="24"/>
          <w:szCs w:val="24"/>
          <w:u w:color="000000"/>
          <w:bdr w:val="nil"/>
        </w:rPr>
        <w:t>В многогодишната финансова рамка за 2014—2020 г. европейските структурни и инвестиционни фондове са</w:t>
      </w:r>
      <w:r>
        <w:rPr>
          <w:rFonts w:ascii="Times New Roman" w:hAnsi="Times New Roman"/>
          <w:b/>
          <w:noProof/>
          <w:color w:val="000000"/>
          <w:sz w:val="24"/>
          <w:szCs w:val="24"/>
          <w:u w:color="000000"/>
          <w:bdr w:val="nil"/>
        </w:rPr>
        <w:t xml:space="preserve"> тясно свързани с целите на стратегията „Европа 2020“ и с макроикономическите предизвикателства, констатирани в специфичните за всяка държава препоръки.</w:t>
      </w:r>
      <w:r>
        <w:rPr>
          <w:rFonts w:ascii="Times New Roman" w:hAnsi="Times New Roman"/>
          <w:noProof/>
          <w:color w:val="000000"/>
          <w:sz w:val="24"/>
          <w:szCs w:val="24"/>
          <w:u w:color="000000"/>
          <w:bdr w:val="nil"/>
        </w:rPr>
        <w:t xml:space="preserve"> Освен процентите на усвояване е важно да се гарантира, че средствата от ЕС се използват по най-ефективе</w:t>
      </w:r>
      <w:r>
        <w:rPr>
          <w:rFonts w:ascii="Times New Roman" w:hAnsi="Times New Roman"/>
          <w:noProof/>
          <w:color w:val="000000"/>
          <w:sz w:val="24"/>
          <w:szCs w:val="24"/>
          <w:u w:color="000000"/>
          <w:bdr w:val="nil"/>
        </w:rPr>
        <w:t>н начин за преодоляване на икономическите и социалните предизвикателства в държавите членки. Поради забавеното програмиране на част от фондовете са необходими допълнителни усилия, за да се гарантира по-бързото и безпрепятствено предоставяне на средства. Ня</w:t>
      </w:r>
      <w:r>
        <w:rPr>
          <w:rFonts w:ascii="Times New Roman" w:hAnsi="Times New Roman"/>
          <w:noProof/>
          <w:color w:val="000000"/>
          <w:sz w:val="24"/>
          <w:szCs w:val="24"/>
          <w:u w:color="000000"/>
          <w:bdr w:val="nil"/>
        </w:rPr>
        <w:t xml:space="preserve">кои държави членки все още трябва да изпълнят предварителните условия, тъй като в противен случай Комисията може да спре междинните плащания за приоритетите на съответните програми. Финансирането по Европейския фонд за стратегически инвестиции, програмата </w:t>
      </w:r>
      <w:r>
        <w:rPr>
          <w:rFonts w:ascii="Times New Roman" w:hAnsi="Times New Roman"/>
          <w:noProof/>
          <w:color w:val="000000"/>
          <w:sz w:val="24"/>
          <w:szCs w:val="24"/>
          <w:u w:color="000000"/>
          <w:bdr w:val="nil"/>
        </w:rPr>
        <w:t>„Хоризонт 2020“, Механизма за свързване на Европа (включително над 4,1 милиарда евро само за транспортния сектор) и други пряко управлявани фондове на ЕС допълва европейските структурни и инвестиционни фондове и тези възможности трябва да бъдат оптимално с</w:t>
      </w:r>
      <w:r>
        <w:rPr>
          <w:rFonts w:ascii="Times New Roman" w:hAnsi="Times New Roman"/>
          <w:noProof/>
          <w:color w:val="000000"/>
          <w:sz w:val="24"/>
          <w:szCs w:val="24"/>
          <w:u w:color="000000"/>
          <w:bdr w:val="nil"/>
        </w:rPr>
        <w:t xml:space="preserve">ъчетани. От европейските структурни и инвестиционни фондове за финансиране на интелигентен и приобщаващ растеж, конкурентоспособност и сближаване за периода от 2014 г. до 2020 г. се предоставят над 450 милиарда евро. </w:t>
      </w:r>
    </w:p>
    <w:p w:rsidR="00537046" w:rsidRDefault="00573D98">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b/>
          <w:noProof/>
          <w:color w:val="000000"/>
          <w:sz w:val="24"/>
          <w:szCs w:val="24"/>
          <w:u w:color="000000"/>
          <w:bdr w:val="nil"/>
        </w:rPr>
        <w:t xml:space="preserve">Въпреки постигнатия известен напредък </w:t>
      </w:r>
      <w:r>
        <w:rPr>
          <w:rFonts w:ascii="Times New Roman" w:hAnsi="Times New Roman"/>
          <w:b/>
          <w:noProof/>
          <w:color w:val="000000"/>
          <w:sz w:val="24"/>
          <w:szCs w:val="24"/>
          <w:u w:color="000000"/>
          <w:bdr w:val="nil"/>
        </w:rPr>
        <w:t xml:space="preserve">в някои ключови сектори в много държави членки продължават да съществуват пречки пред инвестициите. </w:t>
      </w:r>
      <w:r>
        <w:rPr>
          <w:rFonts w:ascii="Times New Roman" w:hAnsi="Times New Roman"/>
          <w:noProof/>
          <w:color w:val="000000"/>
          <w:sz w:val="24"/>
          <w:szCs w:val="24"/>
          <w:u w:color="000000"/>
          <w:bdr w:val="nil"/>
        </w:rPr>
        <w:t>Това се отнася най-вече за услугите, мрежовите индустрии и строителството. Относително благоприятната бизнес среда в държави членки като Естония и Обединено</w:t>
      </w:r>
      <w:r>
        <w:rPr>
          <w:rFonts w:ascii="Times New Roman" w:hAnsi="Times New Roman"/>
          <w:noProof/>
          <w:color w:val="000000"/>
          <w:sz w:val="24"/>
          <w:szCs w:val="24"/>
          <w:u w:color="000000"/>
          <w:bdr w:val="nil"/>
        </w:rPr>
        <w:t>то кралство играе ролята на стимул за инвестициите. Редица държави членки обаче се характеризират с пречки пред инвестициите като административна тежест, бюрокрация, неефективна публична администрация, правна несигурност или променяща се законодателна сред</w:t>
      </w:r>
      <w:r>
        <w:rPr>
          <w:rFonts w:ascii="Times New Roman" w:hAnsi="Times New Roman"/>
          <w:noProof/>
          <w:color w:val="000000"/>
          <w:sz w:val="24"/>
          <w:szCs w:val="24"/>
          <w:u w:color="000000"/>
          <w:bdr w:val="nil"/>
        </w:rPr>
        <w:t>а, както и липса на прозрачност, което възпрепятства борбата срещу корупцията. В няколко държави членки беше установено наличието на тромави или продължителни процедури при широкомащабните проекти. Тези слабости могат да създадат бариери пред навлизането и</w:t>
      </w:r>
      <w:r>
        <w:rPr>
          <w:rFonts w:ascii="Times New Roman" w:hAnsi="Times New Roman"/>
          <w:noProof/>
          <w:color w:val="000000"/>
          <w:sz w:val="24"/>
          <w:szCs w:val="24"/>
          <w:u w:color="000000"/>
          <w:bdr w:val="nil"/>
        </w:rPr>
        <w:t xml:space="preserve"> установяването, например в сектора на търговията на дребно и професионалните услуги. Трудният достъп до финансиране представлява също така и пречка за инвестициите в някои държави членки.</w:t>
      </w:r>
    </w:p>
    <w:p w:rsidR="00537046" w:rsidRDefault="00537046">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rPr>
      </w:pPr>
    </w:p>
    <w:p w:rsidR="00537046" w:rsidRDefault="00573D98">
      <w:pPr>
        <w:pBdr>
          <w:top w:val="nil"/>
          <w:left w:val="nil"/>
          <w:bottom w:val="nil"/>
          <w:right w:val="nil"/>
          <w:between w:val="nil"/>
          <w:bar w:val="nil"/>
        </w:pBdr>
        <w:spacing w:before="120" w:after="120" w:line="240" w:lineRule="auto"/>
        <w:jc w:val="both"/>
        <w:rPr>
          <w:rFonts w:ascii="Times New Roman" w:eastAsia="Times New Roman" w:hAnsi="Times New Roman"/>
          <w:i/>
          <w:noProof/>
          <w:color w:val="000000"/>
          <w:sz w:val="24"/>
          <w:szCs w:val="24"/>
          <w:u w:color="000000"/>
          <w:bdr w:val="nil"/>
        </w:rPr>
      </w:pPr>
      <w:r>
        <w:rPr>
          <w:rFonts w:ascii="Times New Roman" w:hAnsi="Times New Roman"/>
          <w:i/>
          <w:noProof/>
          <w:color w:val="000000"/>
          <w:sz w:val="24"/>
          <w:szCs w:val="24"/>
          <w:u w:color="000000"/>
          <w:bdr w:val="nil"/>
        </w:rPr>
        <w:t>Възстановяване на кредитирането за реалната икономика</w:t>
      </w:r>
    </w:p>
    <w:p w:rsidR="00537046" w:rsidRDefault="00573D98">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rPr>
      </w:pPr>
      <w:r>
        <w:rPr>
          <w:rFonts w:ascii="Times New Roman" w:hAnsi="Times New Roman"/>
          <w:b/>
          <w:noProof/>
          <w:color w:val="000000"/>
          <w:sz w:val="24"/>
          <w:szCs w:val="24"/>
          <w:u w:color="000000"/>
          <w:bdr w:val="nil"/>
        </w:rPr>
        <w:t xml:space="preserve">Във финансовия сектор се наблюдава по-нататъшно облекчаване на кредитните условия. </w:t>
      </w:r>
      <w:r>
        <w:rPr>
          <w:rFonts w:ascii="Times New Roman" w:hAnsi="Times New Roman"/>
          <w:noProof/>
          <w:color w:val="000000"/>
          <w:sz w:val="24"/>
          <w:szCs w:val="24"/>
          <w:u w:color="000000"/>
          <w:bdr w:val="nil"/>
        </w:rPr>
        <w:t>Въпреки намаления ръст в кредитирането в държавите, в които е в ход намаляване на задлъжнялостта, по отношение на предлагането на кредити са налице положителни тенденции. Съ</w:t>
      </w:r>
      <w:r>
        <w:rPr>
          <w:rFonts w:ascii="Times New Roman" w:hAnsi="Times New Roman"/>
          <w:noProof/>
          <w:color w:val="000000"/>
          <w:sz w:val="24"/>
          <w:szCs w:val="24"/>
          <w:u w:color="000000"/>
          <w:bdr w:val="nil"/>
        </w:rPr>
        <w:t>гласно проучването на кредитирането от януари 2016 г., проведено от Европейската централна банка</w:t>
      </w:r>
      <w:r>
        <w:rPr>
          <w:rFonts w:ascii="Times New Roman" w:hAnsi="Times New Roman"/>
          <w:noProof/>
          <w:color w:val="000000"/>
          <w:sz w:val="24"/>
          <w:szCs w:val="24"/>
          <w:u w:color="000000"/>
          <w:bdr w:val="nil"/>
          <w:vertAlign w:val="superscript"/>
        </w:rPr>
        <w:footnoteReference w:id="15"/>
      </w:r>
      <w:r>
        <w:rPr>
          <w:rFonts w:ascii="Times New Roman" w:hAnsi="Times New Roman"/>
          <w:noProof/>
          <w:color w:val="000000"/>
          <w:sz w:val="24"/>
          <w:szCs w:val="24"/>
          <w:u w:color="000000"/>
          <w:bdr w:val="nil"/>
        </w:rPr>
        <w:t>, банките отчитат продължаващо нетно понижаване на кредитните стандарти за заеми за предприятията и за закупуване на жилища от домакинствата, както и за потреб</w:t>
      </w:r>
      <w:r>
        <w:rPr>
          <w:rFonts w:ascii="Times New Roman" w:hAnsi="Times New Roman"/>
          <w:noProof/>
          <w:color w:val="000000"/>
          <w:sz w:val="24"/>
          <w:szCs w:val="24"/>
          <w:u w:color="000000"/>
          <w:bdr w:val="nil"/>
        </w:rPr>
        <w:t>ителски кредити. Конкуренцията продължава да бъде основният фактор за понижаване на кредитните стандарти на банките за отпускане на заеми на предприятията. Банките продължиха да облекчават условията за отпускане на нови заеми за всички категории кредити, и</w:t>
      </w:r>
      <w:r>
        <w:rPr>
          <w:rFonts w:ascii="Times New Roman" w:hAnsi="Times New Roman"/>
          <w:noProof/>
          <w:color w:val="000000"/>
          <w:sz w:val="24"/>
          <w:szCs w:val="24"/>
          <w:u w:color="000000"/>
          <w:bdr w:val="nil"/>
        </w:rPr>
        <w:t xml:space="preserve"> по-специално за предприятията. Постигнатият напредък в укрепването на банките насърчава също и по-благоприятни условия за отпускане на кредити.</w:t>
      </w:r>
    </w:p>
    <w:p w:rsidR="00537046" w:rsidRDefault="00573D98">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rPr>
      </w:pPr>
      <w:r>
        <w:rPr>
          <w:rFonts w:ascii="Times New Roman" w:hAnsi="Times New Roman"/>
          <w:b/>
          <w:noProof/>
          <w:color w:val="000000"/>
          <w:sz w:val="24"/>
          <w:szCs w:val="24"/>
          <w:u w:color="000000"/>
          <w:bdr w:val="nil"/>
        </w:rPr>
        <w:t>Налице е известен напредък по отношение на по-добрия достъп до финансиране.</w:t>
      </w:r>
      <w:r>
        <w:rPr>
          <w:rFonts w:ascii="Times New Roman" w:hAnsi="Times New Roman"/>
          <w:noProof/>
          <w:color w:val="000000"/>
          <w:sz w:val="24"/>
          <w:szCs w:val="24"/>
          <w:u w:color="000000"/>
          <w:bdr w:val="nil"/>
        </w:rPr>
        <w:t xml:space="preserve"> Няколко държави членки въведоха ини</w:t>
      </w:r>
      <w:r>
        <w:rPr>
          <w:rFonts w:ascii="Times New Roman" w:hAnsi="Times New Roman"/>
          <w:noProof/>
          <w:color w:val="000000"/>
          <w:sz w:val="24"/>
          <w:szCs w:val="24"/>
          <w:u w:color="000000"/>
          <w:bdr w:val="nil"/>
        </w:rPr>
        <w:t>циативи за подобряване на достъпа до финансиране или засилиха съществуващите инициативи. Унгария постави началото на схемата за финансиране на растежа. В ход са също така и няколко инициативи за подобряване на достъпа до финансиране за малките и средните п</w:t>
      </w:r>
      <w:r>
        <w:rPr>
          <w:rFonts w:ascii="Times New Roman" w:hAnsi="Times New Roman"/>
          <w:noProof/>
          <w:color w:val="000000"/>
          <w:sz w:val="24"/>
          <w:szCs w:val="24"/>
          <w:u w:color="000000"/>
          <w:bdr w:val="nil"/>
        </w:rPr>
        <w:t xml:space="preserve">редприятия, по-специално чрез използване на фондовете на ЕС. Така например Португалия предостави на разположение ресурси за инвестиции в дялово участие и рисков капитал от европейските структурни фондове и от национални средства. Малта съчетава национални </w:t>
      </w:r>
      <w:r>
        <w:rPr>
          <w:rFonts w:ascii="Times New Roman" w:hAnsi="Times New Roman"/>
          <w:noProof/>
          <w:color w:val="000000"/>
          <w:sz w:val="24"/>
          <w:szCs w:val="24"/>
          <w:u w:color="000000"/>
          <w:bdr w:val="nil"/>
        </w:rPr>
        <w:t xml:space="preserve">средства и европейско финансиране, за да предоставя на МСП данъчни кредити, безвъзмездни средства или финансови гаранции. </w:t>
      </w:r>
    </w:p>
    <w:p w:rsidR="00537046" w:rsidRDefault="00573D98">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rPr>
      </w:pPr>
      <w:r>
        <w:rPr>
          <w:rFonts w:ascii="Times New Roman" w:hAnsi="Times New Roman"/>
          <w:b/>
          <w:noProof/>
          <w:color w:val="000000"/>
          <w:sz w:val="24"/>
          <w:szCs w:val="24"/>
          <w:u w:color="000000"/>
          <w:bdr w:val="nil"/>
        </w:rPr>
        <w:t xml:space="preserve">Уредбите за несъстоятелността бяха подобрени в редица държави членки. </w:t>
      </w:r>
      <w:r>
        <w:rPr>
          <w:rFonts w:ascii="Times New Roman" w:hAnsi="Times New Roman"/>
          <w:noProof/>
          <w:color w:val="000000"/>
          <w:sz w:val="24"/>
          <w:szCs w:val="24"/>
          <w:u w:color="000000"/>
          <w:bdr w:val="nil"/>
        </w:rPr>
        <w:t xml:space="preserve">Хърватия преразгледа своето законодателство за несъстоятелност </w:t>
      </w:r>
      <w:r>
        <w:rPr>
          <w:rFonts w:ascii="Times New Roman" w:hAnsi="Times New Roman"/>
          <w:noProof/>
          <w:color w:val="000000"/>
          <w:sz w:val="24"/>
          <w:szCs w:val="24"/>
          <w:u w:color="000000"/>
          <w:bdr w:val="nil"/>
        </w:rPr>
        <w:t>на дружествата и физическите лица. Ирландия въведе промени в своята нормативна уредба за несъстоятелността, насочени към увеличаване на използването на схеми за несъстоятелност и фалит</w:t>
      </w:r>
      <w:r>
        <w:rPr>
          <w:rFonts w:ascii="Times New Roman" w:hAnsi="Times New Roman"/>
          <w:b/>
          <w:noProof/>
          <w:color w:val="000000"/>
          <w:sz w:val="24"/>
          <w:szCs w:val="24"/>
          <w:u w:color="000000"/>
          <w:bdr w:val="nil"/>
        </w:rPr>
        <w:t xml:space="preserve"> </w:t>
      </w:r>
      <w:r>
        <w:rPr>
          <w:rFonts w:ascii="Times New Roman" w:hAnsi="Times New Roman"/>
          <w:noProof/>
          <w:color w:val="000000"/>
          <w:sz w:val="24"/>
          <w:szCs w:val="24"/>
          <w:u w:color="000000"/>
          <w:bdr w:val="nil"/>
        </w:rPr>
        <w:t>на физически лица. Испания въведе нова уредба за несъстоятелност на физ</w:t>
      </w:r>
      <w:r>
        <w:rPr>
          <w:rFonts w:ascii="Times New Roman" w:hAnsi="Times New Roman"/>
          <w:noProof/>
          <w:color w:val="000000"/>
          <w:sz w:val="24"/>
          <w:szCs w:val="24"/>
          <w:u w:color="000000"/>
          <w:bdr w:val="nil"/>
        </w:rPr>
        <w:t>ическите лица и направи по-гъвкави процедурите за корпоративна несъстоятелност и извънсъдебните процедури.</w:t>
      </w:r>
    </w:p>
    <w:p w:rsidR="00537046" w:rsidRDefault="00537046">
      <w:pPr>
        <w:spacing w:before="120" w:after="120" w:line="240" w:lineRule="auto"/>
        <w:jc w:val="both"/>
        <w:rPr>
          <w:rFonts w:ascii="Times New Roman" w:eastAsia="Times New Roman" w:hAnsi="Times New Roman"/>
          <w:noProof/>
          <w:sz w:val="24"/>
          <w:szCs w:val="24"/>
        </w:rPr>
      </w:pPr>
    </w:p>
    <w:p w:rsidR="00537046" w:rsidRDefault="00573D98">
      <w:pPr>
        <w:spacing w:before="120" w:after="120" w:line="240" w:lineRule="auto"/>
        <w:jc w:val="both"/>
        <w:rPr>
          <w:rFonts w:ascii="Times New Roman" w:eastAsia="Times New Roman" w:hAnsi="Times New Roman"/>
          <w:i/>
          <w:noProof/>
          <w:sz w:val="24"/>
          <w:szCs w:val="24"/>
        </w:rPr>
      </w:pPr>
      <w:r>
        <w:rPr>
          <w:rFonts w:ascii="Times New Roman" w:hAnsi="Times New Roman"/>
          <w:b/>
          <w:i/>
          <w:noProof/>
          <w:sz w:val="24"/>
          <w:szCs w:val="24"/>
        </w:rPr>
        <w:t>5.2</w:t>
      </w:r>
      <w:r>
        <w:rPr>
          <w:rFonts w:ascii="Times New Roman" w:hAnsi="Times New Roman"/>
          <w:noProof/>
          <w:sz w:val="24"/>
          <w:szCs w:val="24"/>
        </w:rPr>
        <w:tab/>
      </w:r>
      <w:r>
        <w:rPr>
          <w:rFonts w:ascii="Times New Roman" w:hAnsi="Times New Roman"/>
          <w:b/>
          <w:i/>
          <w:noProof/>
          <w:sz w:val="24"/>
          <w:szCs w:val="24"/>
        </w:rPr>
        <w:t>Провеждане на структурни реформи за модернизиране на икономиките</w:t>
      </w:r>
    </w:p>
    <w:p w:rsidR="00537046" w:rsidRDefault="00537046">
      <w:pPr>
        <w:spacing w:before="120" w:after="120" w:line="120" w:lineRule="auto"/>
        <w:jc w:val="both"/>
        <w:rPr>
          <w:rFonts w:ascii="Times New Roman" w:hAnsi="Times New Roman"/>
          <w:noProof/>
          <w:sz w:val="24"/>
          <w:szCs w:val="24"/>
        </w:rPr>
      </w:pPr>
    </w:p>
    <w:p w:rsidR="00537046" w:rsidRDefault="00573D98">
      <w:pPr>
        <w:pBdr>
          <w:top w:val="nil"/>
          <w:left w:val="nil"/>
          <w:bottom w:val="nil"/>
          <w:right w:val="nil"/>
          <w:between w:val="nil"/>
          <w:bar w:val="nil"/>
        </w:pBdr>
        <w:spacing w:before="120" w:after="120" w:line="240" w:lineRule="auto"/>
        <w:jc w:val="both"/>
        <w:rPr>
          <w:rFonts w:ascii="Times New Roman" w:hAnsi="Times New Roman"/>
          <w:bCs/>
          <w:noProof/>
          <w:color w:val="000000"/>
          <w:sz w:val="24"/>
          <w:szCs w:val="24"/>
          <w:u w:color="000000"/>
          <w:bdr w:val="nil"/>
        </w:rPr>
      </w:pPr>
      <w:r>
        <w:rPr>
          <w:rFonts w:ascii="Times New Roman" w:hAnsi="Times New Roman"/>
          <w:noProof/>
          <w:color w:val="000000"/>
          <w:sz w:val="24"/>
          <w:szCs w:val="24"/>
          <w:u w:color="000000"/>
          <w:bdr w:val="nil"/>
        </w:rPr>
        <w:t xml:space="preserve">В годишния обзор на растежа за 2016 г. Комисията постави ударение върху </w:t>
      </w:r>
      <w:r>
        <w:rPr>
          <w:rFonts w:ascii="Times New Roman" w:hAnsi="Times New Roman"/>
          <w:noProof/>
          <w:color w:val="000000"/>
          <w:sz w:val="24"/>
          <w:szCs w:val="24"/>
          <w:u w:color="000000"/>
          <w:bdr w:val="nil"/>
        </w:rPr>
        <w:t>ефективната координация между държавите членки с цел по-висока производителност и по-голямо сближаване, необходимостта от балансиране на гъвкавостта и сигурността в политиките на пазара на труда и необходимостта от по-добре интегрирани и по-конкурентоспосо</w:t>
      </w:r>
      <w:r>
        <w:rPr>
          <w:rFonts w:ascii="Times New Roman" w:hAnsi="Times New Roman"/>
          <w:noProof/>
          <w:color w:val="000000"/>
          <w:sz w:val="24"/>
          <w:szCs w:val="24"/>
          <w:u w:color="000000"/>
          <w:bdr w:val="nil"/>
        </w:rPr>
        <w:t>бни пазари на стоки и услуги.</w:t>
      </w:r>
    </w:p>
    <w:p w:rsidR="00537046" w:rsidRDefault="00537046">
      <w:pPr>
        <w:pBdr>
          <w:top w:val="nil"/>
          <w:left w:val="nil"/>
          <w:bottom w:val="nil"/>
          <w:right w:val="nil"/>
          <w:between w:val="nil"/>
          <w:bar w:val="nil"/>
        </w:pBdr>
        <w:spacing w:before="120" w:after="120" w:line="240" w:lineRule="auto"/>
        <w:rPr>
          <w:rFonts w:ascii="Times New Roman" w:hAnsi="Times New Roman"/>
          <w:bCs/>
          <w:i/>
          <w:noProof/>
          <w:color w:val="000000"/>
          <w:sz w:val="24"/>
          <w:szCs w:val="24"/>
          <w:u w:color="000000"/>
          <w:bdr w:val="nil"/>
        </w:rPr>
      </w:pPr>
    </w:p>
    <w:p w:rsidR="00537046" w:rsidRDefault="00573D98">
      <w:pPr>
        <w:pBdr>
          <w:top w:val="nil"/>
          <w:left w:val="nil"/>
          <w:bottom w:val="nil"/>
          <w:right w:val="nil"/>
          <w:between w:val="nil"/>
          <w:bar w:val="nil"/>
        </w:pBdr>
        <w:spacing w:before="120" w:after="120" w:line="240" w:lineRule="auto"/>
        <w:rPr>
          <w:rFonts w:ascii="Times New Roman" w:eastAsia="Times New Roman" w:hAnsi="Times New Roman"/>
          <w:i/>
          <w:noProof/>
          <w:color w:val="000000"/>
          <w:sz w:val="24"/>
          <w:szCs w:val="24"/>
          <w:u w:color="000000"/>
          <w:bdr w:val="nil"/>
        </w:rPr>
      </w:pPr>
      <w:r>
        <w:rPr>
          <w:rFonts w:ascii="Times New Roman" w:hAnsi="Times New Roman"/>
          <w:i/>
          <w:noProof/>
          <w:color w:val="000000"/>
          <w:sz w:val="24"/>
          <w:szCs w:val="24"/>
          <w:u w:color="000000"/>
          <w:bdr w:val="nil"/>
        </w:rPr>
        <w:t xml:space="preserve">Заетост и социална политика </w:t>
      </w:r>
    </w:p>
    <w:p w:rsidR="00537046" w:rsidRDefault="00573D98">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b/>
          <w:noProof/>
          <w:color w:val="000000"/>
          <w:sz w:val="24"/>
          <w:szCs w:val="24"/>
          <w:u w:color="000000"/>
          <w:bdr w:val="nil"/>
        </w:rPr>
        <w:t xml:space="preserve">Понастоящем заетостта в ЕС и в еврозоната нараства. </w:t>
      </w:r>
      <w:r>
        <w:rPr>
          <w:rFonts w:ascii="Times New Roman" w:hAnsi="Times New Roman"/>
          <w:noProof/>
          <w:color w:val="000000"/>
          <w:sz w:val="24"/>
          <w:szCs w:val="24"/>
          <w:u w:color="000000"/>
          <w:bdr w:val="nil"/>
        </w:rPr>
        <w:t xml:space="preserve">Безработицата, включително младежката безработица, намалява. Същевременно дълготрайната безработица продължи да нараства през 2015 г. в </w:t>
      </w:r>
      <w:r>
        <w:rPr>
          <w:rFonts w:ascii="Times New Roman" w:hAnsi="Times New Roman"/>
          <w:noProof/>
          <w:color w:val="000000"/>
          <w:sz w:val="24"/>
          <w:szCs w:val="24"/>
          <w:u w:color="000000"/>
          <w:bdr w:val="nil"/>
        </w:rPr>
        <w:t>сравнение с 2014 г., въпреки че през годината се наблюдава постепенен спад. Дълготрайната безработица засяга 10,5 милиона души и на нея се падат 48 % от общата безработица. Младежката безработица възлиза на 20 %, което означава, че четири и половина милион</w:t>
      </w:r>
      <w:r>
        <w:rPr>
          <w:rFonts w:ascii="Times New Roman" w:hAnsi="Times New Roman"/>
          <w:noProof/>
          <w:color w:val="000000"/>
          <w:sz w:val="24"/>
          <w:szCs w:val="24"/>
          <w:u w:color="000000"/>
          <w:bdr w:val="nil"/>
        </w:rPr>
        <w:t>а млади хора са безработни. В някои държави членки голям брой млади хора напускат страната. В Гърция, Испания, Хърватия и Италия младежката безработица е около 40 % или повече. В допълнение, в редица държави членки делът на неработещите, неучещите и необуч</w:t>
      </w:r>
      <w:r>
        <w:rPr>
          <w:rFonts w:ascii="Times New Roman" w:hAnsi="Times New Roman"/>
          <w:noProof/>
          <w:color w:val="000000"/>
          <w:sz w:val="24"/>
          <w:szCs w:val="24"/>
          <w:u w:color="000000"/>
          <w:bdr w:val="nil"/>
        </w:rPr>
        <w:t>аващите се млади хора е висок и достига над 20 % в България и Италия.</w:t>
      </w:r>
    </w:p>
    <w:p w:rsidR="00537046" w:rsidRDefault="00573D98">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b/>
          <w:noProof/>
          <w:color w:val="000000"/>
          <w:sz w:val="24"/>
          <w:szCs w:val="24"/>
          <w:u w:color="000000"/>
          <w:bdr w:val="nil"/>
        </w:rPr>
        <w:t>За да се засили конкурентната позиция на ЕС, в средносрочен план реалните заплати трябва да продължат да се променят в съответствие с производителността.</w:t>
      </w:r>
      <w:r>
        <w:rPr>
          <w:rFonts w:ascii="Times New Roman" w:hAnsi="Times New Roman"/>
          <w:noProof/>
          <w:color w:val="000000"/>
          <w:sz w:val="24"/>
          <w:szCs w:val="24"/>
          <w:u w:color="000000"/>
          <w:bdr w:val="nil"/>
        </w:rPr>
        <w:t xml:space="preserve"> Няколко държави положиха усилия </w:t>
      </w:r>
      <w:r>
        <w:rPr>
          <w:rFonts w:ascii="Times New Roman" w:hAnsi="Times New Roman"/>
          <w:noProof/>
          <w:color w:val="000000"/>
          <w:sz w:val="24"/>
          <w:szCs w:val="24"/>
          <w:u w:color="000000"/>
          <w:bdr w:val="nil"/>
        </w:rPr>
        <w:t>да засилят способността за ответна реакция на своите пазари на труда и да насърчат растежа на предприятията. Тези усилия включваха премахването на някои правила за определяне на прагове за предприятията и подобряването на предвидимостта на резултатите от т</w:t>
      </w:r>
      <w:r>
        <w:rPr>
          <w:rFonts w:ascii="Times New Roman" w:hAnsi="Times New Roman"/>
          <w:noProof/>
          <w:color w:val="000000"/>
          <w:sz w:val="24"/>
          <w:szCs w:val="24"/>
          <w:u w:color="000000"/>
          <w:bdr w:val="nil"/>
        </w:rPr>
        <w:t>рудови спорове, което може да улесни първоначалното наемане на работна ръка от предприятията. Въпреки че като цяло беше постигнато съгласуване на изменението на заплатите с равнищата на производителност в ЕС, в няколко държави членки напредъкът в тази обла</w:t>
      </w:r>
      <w:r>
        <w:rPr>
          <w:rFonts w:ascii="Times New Roman" w:hAnsi="Times New Roman"/>
          <w:noProof/>
          <w:color w:val="000000"/>
          <w:sz w:val="24"/>
          <w:szCs w:val="24"/>
          <w:u w:color="000000"/>
          <w:bdr w:val="nil"/>
        </w:rPr>
        <w:t>ст е ограничен. В съответствие със специфичните за всяка държава препоръки за 2015 г. във Финландия и Испания бяха сключени междусекторни споразумения за задържане на нарастването на заплатите съответно за периода 2014—2015 г. и 2015—2017 г. Нови механизми</w:t>
      </w:r>
      <w:r>
        <w:rPr>
          <w:rFonts w:ascii="Times New Roman" w:hAnsi="Times New Roman"/>
          <w:noProof/>
          <w:color w:val="000000"/>
          <w:sz w:val="24"/>
          <w:szCs w:val="24"/>
          <w:u w:color="000000"/>
          <w:bdr w:val="nil"/>
        </w:rPr>
        <w:t xml:space="preserve"> за определяне на минималната работна заплата бяха въведени в Ирландия, а в Германия беше въведена задължителна национална минимална работна заплата.</w:t>
      </w:r>
    </w:p>
    <w:p w:rsidR="00537046" w:rsidRDefault="00573D98">
      <w:pPr>
        <w:shd w:val="clear" w:color="auto" w:fill="FFFFFF"/>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 xml:space="preserve">Трябва да бъдат положени допълнителни усилия за преодоляване на сегментирането на пазарите на труда. </w:t>
      </w:r>
      <w:r>
        <w:rPr>
          <w:rFonts w:ascii="Times New Roman" w:hAnsi="Times New Roman"/>
          <w:noProof/>
          <w:sz w:val="24"/>
          <w:szCs w:val="24"/>
        </w:rPr>
        <w:t xml:space="preserve">С </w:t>
      </w:r>
      <w:r>
        <w:rPr>
          <w:rFonts w:ascii="Times New Roman" w:hAnsi="Times New Roman"/>
          <w:noProof/>
          <w:sz w:val="24"/>
          <w:szCs w:val="24"/>
        </w:rPr>
        <w:t>намаляването на регулаторното несъответствие между безсрочните и нестандартните трудови договори може да се насърчат преминаването към безсрочни договори и създаването на стабилна заетост, като на работодателите и служителите се предоставят стимули да инве</w:t>
      </w:r>
      <w:r>
        <w:rPr>
          <w:rFonts w:ascii="Times New Roman" w:hAnsi="Times New Roman"/>
          <w:noProof/>
          <w:sz w:val="24"/>
          <w:szCs w:val="24"/>
        </w:rPr>
        <w:t xml:space="preserve">стират в умения и обучение през целия живот. Реформите в тази насока продължиха през 2015 г. в съответствие със специфичните за отделните държави препоръки, и по-специално в страните със значителна двойственост на пазара на труда като Италия и Полша. Като </w:t>
      </w:r>
      <w:r>
        <w:rPr>
          <w:rFonts w:ascii="Times New Roman" w:hAnsi="Times New Roman"/>
          <w:noProof/>
          <w:sz w:val="24"/>
          <w:szCs w:val="24"/>
        </w:rPr>
        <w:t>част от цялостната реформа на пазара на труда Италия опрости договорните споразумения и трудово-правните процедури и намали възможностите за възстановяване на работа след несправедливи уволнения.</w:t>
      </w:r>
    </w:p>
    <w:p w:rsidR="00537046" w:rsidRDefault="00573D98">
      <w:pPr>
        <w:shd w:val="clear" w:color="auto" w:fill="FFFFFF"/>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Инициативата „Гаранция за младежта“, която понастоящем е в т</w:t>
      </w:r>
      <w:r>
        <w:rPr>
          <w:rFonts w:ascii="Times New Roman" w:hAnsi="Times New Roman"/>
          <w:b/>
          <w:noProof/>
          <w:sz w:val="24"/>
          <w:szCs w:val="24"/>
        </w:rPr>
        <w:t>ретата година от своето изпълнение, започна да носи резултати.</w:t>
      </w:r>
      <w:r>
        <w:rPr>
          <w:rFonts w:ascii="Times New Roman" w:hAnsi="Times New Roman"/>
          <w:noProof/>
          <w:sz w:val="24"/>
          <w:szCs w:val="24"/>
        </w:rPr>
        <w:t xml:space="preserve"> Положението на младите хора в ЕС се подобрява и усилията за подобряване на прехода от училище към работа бяха засилени, включително чрез политики за ранно активизиране и включване на неработещи</w:t>
      </w:r>
      <w:r>
        <w:rPr>
          <w:rFonts w:ascii="Times New Roman" w:hAnsi="Times New Roman"/>
          <w:noProof/>
          <w:sz w:val="24"/>
          <w:szCs w:val="24"/>
        </w:rPr>
        <w:t>те, неучещите и необучаващите се млади хора. Сред основните резултати са по-добрата информираност, по-добре насочената подкрепа за младите хора от публичните служби по заетостта, по-добрата структура на инструментите за активна политика на заетостта за мла</w:t>
      </w:r>
      <w:r>
        <w:rPr>
          <w:rFonts w:ascii="Times New Roman" w:hAnsi="Times New Roman"/>
          <w:noProof/>
          <w:sz w:val="24"/>
          <w:szCs w:val="24"/>
        </w:rPr>
        <w:t xml:space="preserve">дите хора и по-силният акцент върху качествените програми за стаж. Реформите в контекста на гаранцията за младежта бяха ускорени, по-специално в държавите членки, които са изправени пред значителни предизвикателства, като например Италия и Португалия, и в </w:t>
      </w:r>
      <w:r>
        <w:rPr>
          <w:rFonts w:ascii="Times New Roman" w:hAnsi="Times New Roman"/>
          <w:noProof/>
          <w:sz w:val="24"/>
          <w:szCs w:val="24"/>
        </w:rPr>
        <w:t>държавите членки, които получават финансова подкрепа от ЕС, с която могат да бъдат предприети широкомащабни мерки и структурни реформи.</w:t>
      </w:r>
    </w:p>
    <w:p w:rsidR="00537046" w:rsidRDefault="00573D98">
      <w:pPr>
        <w:shd w:val="clear" w:color="auto" w:fill="FFFFFF"/>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Въпреки постигнатия напредък по отношение на връщането на пазара на труда на безработните лица са необходими по-нататъшн</w:t>
      </w:r>
      <w:r>
        <w:rPr>
          <w:rFonts w:ascii="Times New Roman" w:hAnsi="Times New Roman"/>
          <w:b/>
          <w:noProof/>
          <w:sz w:val="24"/>
          <w:szCs w:val="24"/>
        </w:rPr>
        <w:t>и реформи на активните политики по заетостта.</w:t>
      </w:r>
      <w:r>
        <w:rPr>
          <w:rFonts w:ascii="Times New Roman" w:hAnsi="Times New Roman"/>
          <w:noProof/>
          <w:sz w:val="24"/>
          <w:szCs w:val="24"/>
        </w:rPr>
        <w:t xml:space="preserve"> Няколко държави членки, като например Испания, Франция, Латвия и Финландия, предприеха нови активни мерки, насочени към дълготрайно безработните лица. Италия започна да провежда реформа на управлението на актив</w:t>
      </w:r>
      <w:r>
        <w:rPr>
          <w:rFonts w:ascii="Times New Roman" w:hAnsi="Times New Roman"/>
          <w:noProof/>
          <w:sz w:val="24"/>
          <w:szCs w:val="24"/>
        </w:rPr>
        <w:t>ните политики по заетостта и да укрепва връзките с пасивните политики. При все това все още трябва да бъдат разрешени някои други предизвикателства, като например недостатъчната координация между службите по заетостта и социалните служби, липсата на участи</w:t>
      </w:r>
      <w:r>
        <w:rPr>
          <w:rFonts w:ascii="Times New Roman" w:hAnsi="Times New Roman"/>
          <w:noProof/>
          <w:sz w:val="24"/>
          <w:szCs w:val="24"/>
        </w:rPr>
        <w:t>е и партньорства с работодателите, сравнително ниското равнище на участие в мерките за активна политика по заетостта, както и тяхното недостатъчно финансиране. Освен това някои страни не осигуряват индивидуализирани подходи, основани на профилиране, хармон</w:t>
      </w:r>
      <w:r>
        <w:rPr>
          <w:rFonts w:ascii="Times New Roman" w:hAnsi="Times New Roman"/>
          <w:noProof/>
          <w:sz w:val="24"/>
          <w:szCs w:val="24"/>
        </w:rPr>
        <w:t>изиране на уменията или интензивно консултиране. В препоръката за интеграция на трайно безработните на пазара на труда, приета от Съвета през декември 2015 г.</w:t>
      </w:r>
      <w:r>
        <w:rPr>
          <w:rFonts w:ascii="Times New Roman" w:hAnsi="Times New Roman"/>
          <w:noProof/>
          <w:sz w:val="24"/>
          <w:szCs w:val="24"/>
          <w:vertAlign w:val="superscript"/>
        </w:rPr>
        <w:footnoteReference w:id="16"/>
      </w:r>
      <w:r>
        <w:rPr>
          <w:rFonts w:ascii="Times New Roman" w:hAnsi="Times New Roman"/>
          <w:noProof/>
          <w:sz w:val="24"/>
          <w:szCs w:val="24"/>
        </w:rPr>
        <w:t>, на държавите членки се предоставят насоки как да подобрят своите усилия за справяне с дългосроч</w:t>
      </w:r>
      <w:r>
        <w:rPr>
          <w:rFonts w:ascii="Times New Roman" w:hAnsi="Times New Roman"/>
          <w:noProof/>
          <w:sz w:val="24"/>
          <w:szCs w:val="24"/>
        </w:rPr>
        <w:t xml:space="preserve">ната безработица. </w:t>
      </w:r>
    </w:p>
    <w:p w:rsidR="00537046" w:rsidRDefault="00573D98">
      <w:pPr>
        <w:shd w:val="clear" w:color="auto" w:fill="FFFFFF"/>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 xml:space="preserve">За справянето с бедността са необходими всеобхватни ответни мерки на политиката. </w:t>
      </w:r>
      <w:r>
        <w:rPr>
          <w:rFonts w:ascii="Times New Roman" w:hAnsi="Times New Roman"/>
          <w:noProof/>
          <w:sz w:val="24"/>
          <w:szCs w:val="24"/>
        </w:rPr>
        <w:t>В редица държави членки бяха предприети или са в ход мерки в областта на социалното подпомагане, и по-специално свързани с адекватността и/или обхвата на сх</w:t>
      </w:r>
      <w:r>
        <w:rPr>
          <w:rFonts w:ascii="Times New Roman" w:hAnsi="Times New Roman"/>
          <w:noProof/>
          <w:sz w:val="24"/>
          <w:szCs w:val="24"/>
        </w:rPr>
        <w:t>емите за минимални доходи. Като се има предвид, че подпомагането на доходите трябва да е съпроводено с ефективно съчетаване на търсенето и предлагането на пазара на труда, за да се улесни връщането на пазара на труда, се въвеждат също така и разнообразни ф</w:t>
      </w:r>
      <w:r>
        <w:rPr>
          <w:rFonts w:ascii="Times New Roman" w:hAnsi="Times New Roman"/>
          <w:noProof/>
          <w:sz w:val="24"/>
          <w:szCs w:val="24"/>
        </w:rPr>
        <w:t>инансови и нефинансови стимули. Те включват разработването на системи за обезщетения за безработица в Дания и Италия и социални плащания за работещите лица в Малта. За да постигнат баланс между целите за намаляване на бедността и увеличаване на участието н</w:t>
      </w:r>
      <w:r>
        <w:rPr>
          <w:rFonts w:ascii="Times New Roman" w:hAnsi="Times New Roman"/>
          <w:noProof/>
          <w:sz w:val="24"/>
          <w:szCs w:val="24"/>
        </w:rPr>
        <w:t>а пазара на труда, някои държави членки, като например Обединеното кралство, се опитват да оптимизират различните обезщетения в по-широки схеми. Загрижеността относно последиците от все по-големия брой деца, живеещи в бедност, доведе до увеличаване на съот</w:t>
      </w:r>
      <w:r>
        <w:rPr>
          <w:rFonts w:ascii="Times New Roman" w:hAnsi="Times New Roman"/>
          <w:noProof/>
          <w:sz w:val="24"/>
          <w:szCs w:val="24"/>
        </w:rPr>
        <w:t>ветните социални помощи в някои държави членки. Ограничен напредък бе постигнат по отношение на приобщаването на ромите в съответните държави членки.</w:t>
      </w:r>
    </w:p>
    <w:p w:rsidR="00537046" w:rsidRDefault="00573D98">
      <w:pPr>
        <w:shd w:val="clear" w:color="auto" w:fill="FFFFFF"/>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 xml:space="preserve">Успешното интегриране на мигрантите и бежанците в някои държави членки изисква особено внимание. </w:t>
      </w:r>
      <w:r>
        <w:rPr>
          <w:rFonts w:ascii="Times New Roman" w:hAnsi="Times New Roman"/>
          <w:noProof/>
          <w:sz w:val="24"/>
          <w:szCs w:val="24"/>
        </w:rPr>
        <w:t xml:space="preserve">Големият </w:t>
      </w:r>
      <w:r>
        <w:rPr>
          <w:rFonts w:ascii="Times New Roman" w:hAnsi="Times New Roman"/>
          <w:noProof/>
          <w:sz w:val="24"/>
          <w:szCs w:val="24"/>
        </w:rPr>
        <w:t>приток на мигранти и бежанци през последната година е сериозно предизвикателство за голям брой държави членки и за ЕС. Въпреки това той представлява също и възможност, и по-специално за онези държави членки, в които се наблюдават демографски промени. Опитъ</w:t>
      </w:r>
      <w:r>
        <w:rPr>
          <w:rFonts w:ascii="Times New Roman" w:hAnsi="Times New Roman"/>
          <w:noProof/>
          <w:sz w:val="24"/>
          <w:szCs w:val="24"/>
        </w:rPr>
        <w:t>т с потоците от бежанци в миналото показва, че те може да се сблъскат с по-големи трудности при интегрирането си на пазара на труда в сравнение с гражданите на трети държави. За успешната интеграция се изискват, наред с другото, своевременна оценка на умен</w:t>
      </w:r>
      <w:r>
        <w:rPr>
          <w:rFonts w:ascii="Times New Roman" w:hAnsi="Times New Roman"/>
          <w:noProof/>
          <w:sz w:val="24"/>
          <w:szCs w:val="24"/>
        </w:rPr>
        <w:t xml:space="preserve">ията, бързо признаване на квалификациите и подходящо езиково обучение с цел осигуряване на своевременен и ефективен достъп до пазара на труда, до здравеопазване и жилищно настаняване. Като се има предвид големият дял на децата и младежите (около 26 %), се </w:t>
      </w:r>
      <w:r>
        <w:rPr>
          <w:rFonts w:ascii="Times New Roman" w:hAnsi="Times New Roman"/>
          <w:noProof/>
          <w:sz w:val="24"/>
          <w:szCs w:val="24"/>
        </w:rPr>
        <w:t>налага бързото приспособяване най-вече на образователните системи, които да могат да предложат подходящи програми за основни и езикови умения. Освен това, успешното интегриране на жените заслужава особено внимание.</w:t>
      </w:r>
    </w:p>
    <w:p w:rsidR="00537046" w:rsidRDefault="00573D98">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r>
        <w:rPr>
          <w:rFonts w:ascii="Times New Roman" w:hAnsi="Times New Roman"/>
          <w:b/>
          <w:noProof/>
          <w:sz w:val="24"/>
          <w:szCs w:val="24"/>
        </w:rPr>
        <w:t>Резултатите на системите за образование и</w:t>
      </w:r>
      <w:r>
        <w:rPr>
          <w:rFonts w:ascii="Times New Roman" w:hAnsi="Times New Roman"/>
          <w:b/>
          <w:noProof/>
          <w:sz w:val="24"/>
          <w:szCs w:val="24"/>
        </w:rPr>
        <w:t xml:space="preserve"> обучение пораждат безпокойство в голям брой държави членки.</w:t>
      </w:r>
      <w:r>
        <w:rPr>
          <w:rFonts w:ascii="Times New Roman" w:hAnsi="Times New Roman"/>
          <w:noProof/>
          <w:color w:val="000000"/>
          <w:sz w:val="24"/>
          <w:szCs w:val="24"/>
          <w:u w:color="000000"/>
          <w:bdr w:val="nil"/>
        </w:rPr>
        <w:t xml:space="preserve"> Въпреки че делът на преждевременно напусналите училище е намалял средно до 11,1 %, в девет държави членки той все още е над водещата цел от 10 %, определена в стратегията „Европа 2020“. Тези стру</w:t>
      </w:r>
      <w:r>
        <w:rPr>
          <w:rFonts w:ascii="Times New Roman" w:hAnsi="Times New Roman"/>
          <w:noProof/>
          <w:color w:val="000000"/>
          <w:sz w:val="24"/>
          <w:szCs w:val="24"/>
          <w:u w:color="000000"/>
          <w:bdr w:val="nil"/>
        </w:rPr>
        <w:t>ктурни слабости застрашават потенциала за икономически растеж на Европа. Голям брой държави членки разработват стратегии за уменията и провеждат структурни реформи в образователните си системи. Чешката република прие реформа на висшето образование, а Бълга</w:t>
      </w:r>
      <w:r>
        <w:rPr>
          <w:rFonts w:ascii="Times New Roman" w:hAnsi="Times New Roman"/>
          <w:noProof/>
          <w:color w:val="000000"/>
          <w:sz w:val="24"/>
          <w:szCs w:val="24"/>
          <w:u w:color="000000"/>
          <w:bdr w:val="nil"/>
        </w:rPr>
        <w:t>рия прие закон за предучилищното и училищното образование, благодарение на които се предоставя консолидирана правна уредба за подобряване на качеството и равнопоставеността в образователната система в основното и средното образование. Италия проведе реформ</w:t>
      </w:r>
      <w:r>
        <w:rPr>
          <w:rFonts w:ascii="Times New Roman" w:hAnsi="Times New Roman"/>
          <w:noProof/>
          <w:color w:val="000000"/>
          <w:sz w:val="24"/>
          <w:szCs w:val="24"/>
          <w:u w:color="000000"/>
          <w:bdr w:val="nil"/>
        </w:rPr>
        <w:t>а в училищата, като увеличи тяхната автономност, въведе основани на заслугите компоненти в заплатите на учителите и подобри системата за наемане на учители.</w:t>
      </w:r>
    </w:p>
    <w:p w:rsidR="00537046" w:rsidRDefault="00573D98">
      <w:pPr>
        <w:shd w:val="clear" w:color="auto" w:fill="FFFFFF"/>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 xml:space="preserve">Данъчната тежест върху работната ръка трябва още да бъде намалена. </w:t>
      </w:r>
      <w:r>
        <w:rPr>
          <w:rFonts w:ascii="Times New Roman" w:hAnsi="Times New Roman"/>
          <w:noProof/>
          <w:sz w:val="24"/>
          <w:szCs w:val="24"/>
        </w:rPr>
        <w:t>Голям брой държави членки предпр</w:t>
      </w:r>
      <w:r>
        <w:rPr>
          <w:rFonts w:ascii="Times New Roman" w:hAnsi="Times New Roman"/>
          <w:noProof/>
          <w:sz w:val="24"/>
          <w:szCs w:val="24"/>
        </w:rPr>
        <w:t>иеха мерки за намаляване на данъчното облагане на труда. Естония и Франция например предприеха стъпки за намаляване на данъчното облагане на труда за лицата с ниски доходи. Освен това реформи в данъчното облагане на труда бяха проведени в някои държави чле</w:t>
      </w:r>
      <w:r>
        <w:rPr>
          <w:rFonts w:ascii="Times New Roman" w:hAnsi="Times New Roman"/>
          <w:noProof/>
          <w:sz w:val="24"/>
          <w:szCs w:val="24"/>
        </w:rPr>
        <w:t>нки, характеризиращи се с високо равнище на безработицата, като например Белгия, Испания и Италия. Въпреки това данъчната тежест върху труда, и по-специално за лицата с ниски доходи, продължава да е висока в няколко държави членки, като в някои от тях тя д</w:t>
      </w:r>
      <w:r>
        <w:rPr>
          <w:rFonts w:ascii="Times New Roman" w:hAnsi="Times New Roman"/>
          <w:noProof/>
          <w:sz w:val="24"/>
          <w:szCs w:val="24"/>
        </w:rPr>
        <w:t xml:space="preserve">ори се е увеличила. </w:t>
      </w:r>
    </w:p>
    <w:p w:rsidR="00537046" w:rsidRDefault="00537046">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rPr>
      </w:pPr>
    </w:p>
    <w:p w:rsidR="00537046" w:rsidRDefault="00573D98">
      <w:pPr>
        <w:pBdr>
          <w:top w:val="nil"/>
          <w:left w:val="nil"/>
          <w:bottom w:val="nil"/>
          <w:right w:val="nil"/>
          <w:between w:val="nil"/>
          <w:bar w:val="nil"/>
        </w:pBdr>
        <w:spacing w:before="120" w:after="120" w:line="240" w:lineRule="auto"/>
        <w:jc w:val="both"/>
        <w:rPr>
          <w:rFonts w:ascii="Times New Roman" w:eastAsia="Times New Roman" w:hAnsi="Times New Roman"/>
          <w:i/>
          <w:noProof/>
          <w:color w:val="000000"/>
          <w:sz w:val="24"/>
          <w:szCs w:val="24"/>
          <w:u w:color="000000"/>
          <w:bdr w:val="nil"/>
        </w:rPr>
      </w:pPr>
      <w:r>
        <w:rPr>
          <w:rFonts w:ascii="Times New Roman" w:hAnsi="Times New Roman"/>
          <w:i/>
          <w:noProof/>
          <w:color w:val="000000"/>
          <w:sz w:val="24"/>
          <w:szCs w:val="24"/>
          <w:u w:color="000000"/>
          <w:bdr w:val="nil"/>
        </w:rPr>
        <w:t>Бизнес среда и мрежови индустрии</w:t>
      </w:r>
    </w:p>
    <w:p w:rsidR="00537046" w:rsidRDefault="00573D98">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rPr>
      </w:pPr>
      <w:r>
        <w:rPr>
          <w:rFonts w:ascii="Times New Roman" w:hAnsi="Times New Roman"/>
          <w:b/>
          <w:noProof/>
          <w:color w:val="000000"/>
          <w:sz w:val="24"/>
          <w:szCs w:val="24"/>
          <w:u w:color="000000"/>
          <w:bdr w:val="nil"/>
        </w:rPr>
        <w:t xml:space="preserve">Регулаторна среда, която благоприятства в по-голяма степен бизнеса и заетостта, ще насърчи частните инвестиции. </w:t>
      </w:r>
      <w:r>
        <w:rPr>
          <w:rFonts w:ascii="Times New Roman" w:hAnsi="Times New Roman"/>
          <w:noProof/>
          <w:color w:val="000000"/>
          <w:sz w:val="24"/>
          <w:szCs w:val="24"/>
          <w:u w:color="000000"/>
          <w:bdr w:val="nil"/>
        </w:rPr>
        <w:t>Подобряването на практиките в публичната администрация, изкореняването на корупцията, въвеждането на прозрачност, опростеното и предвидимо законодателство допринасят за повишаване на конкурентоспособността и растежа и за създаването на работни места. В тов</w:t>
      </w:r>
      <w:r>
        <w:rPr>
          <w:rFonts w:ascii="Times New Roman" w:hAnsi="Times New Roman"/>
          <w:noProof/>
          <w:color w:val="000000"/>
          <w:sz w:val="24"/>
          <w:szCs w:val="24"/>
          <w:u w:color="000000"/>
          <w:bdr w:val="nil"/>
        </w:rPr>
        <w:t xml:space="preserve">а отношение може да бъде отчетен напредък. Италия предприе стъпки за допълнителното реформиране </w:t>
      </w:r>
      <w:r>
        <w:rPr>
          <w:rFonts w:ascii="Times New Roman" w:hAnsi="Times New Roman"/>
          <w:noProof/>
          <w:sz w:val="24"/>
          <w:szCs w:val="24"/>
          <w:u w:color="000000"/>
          <w:bdr w:val="nil"/>
        </w:rPr>
        <w:t xml:space="preserve">и </w:t>
      </w:r>
      <w:r>
        <w:rPr>
          <w:rFonts w:ascii="Times New Roman" w:hAnsi="Times New Roman"/>
          <w:noProof/>
          <w:sz w:val="24"/>
          <w:szCs w:val="24"/>
        </w:rPr>
        <w:t>ускоряване на производствата по несъстоятелност и по принудително изпълнение</w:t>
      </w:r>
      <w:r>
        <w:rPr>
          <w:rFonts w:ascii="Times New Roman" w:hAnsi="Times New Roman"/>
          <w:noProof/>
          <w:sz w:val="24"/>
          <w:szCs w:val="24"/>
          <w:u w:color="000000"/>
          <w:bdr w:val="nil"/>
        </w:rPr>
        <w:t>. Фран</w:t>
      </w:r>
      <w:r>
        <w:rPr>
          <w:rFonts w:ascii="Times New Roman" w:hAnsi="Times New Roman"/>
          <w:noProof/>
          <w:color w:val="000000"/>
          <w:sz w:val="24"/>
          <w:szCs w:val="24"/>
          <w:u w:color="000000"/>
          <w:bdr w:val="nil"/>
        </w:rPr>
        <w:t>ция продължи да осъществява амбициозна програма за опростяване, включваща на</w:t>
      </w:r>
      <w:r>
        <w:rPr>
          <w:rFonts w:ascii="Times New Roman" w:hAnsi="Times New Roman"/>
          <w:noProof/>
          <w:color w:val="000000"/>
          <w:sz w:val="24"/>
          <w:szCs w:val="24"/>
          <w:u w:color="000000"/>
          <w:bdr w:val="nil"/>
        </w:rPr>
        <w:t>д 600 мерки, около една трета от които вече са били изпълнени. Хърватия постигна известен напредък в подобряването на уредбата за производствата, предшестващи производството по несъстоятелност, и уредбата за несъстоятелност на предприятия. Малта въведе ред</w:t>
      </w:r>
      <w:r>
        <w:rPr>
          <w:rFonts w:ascii="Times New Roman" w:hAnsi="Times New Roman"/>
          <w:noProof/>
          <w:color w:val="000000"/>
          <w:sz w:val="24"/>
          <w:szCs w:val="24"/>
          <w:u w:color="000000"/>
          <w:bdr w:val="nil"/>
        </w:rPr>
        <w:t xml:space="preserve">ица нови технологични и процесуални системи за намаляване на бюрокрацията и закъсненията в гражданските съдилища. В Латвия бе постигнат значителен напредък по отношение на уредбите за медиация и арбитраж. </w:t>
      </w:r>
      <w:r>
        <w:rPr>
          <w:rFonts w:ascii="Times New Roman" w:hAnsi="Times New Roman"/>
          <w:noProof/>
          <w:sz w:val="24"/>
          <w:szCs w:val="24"/>
        </w:rPr>
        <w:t>Качеството, независимостта и ефикасността на съдебн</w:t>
      </w:r>
      <w:r>
        <w:rPr>
          <w:rFonts w:ascii="Times New Roman" w:hAnsi="Times New Roman"/>
          <w:noProof/>
          <w:sz w:val="24"/>
          <w:szCs w:val="24"/>
        </w:rPr>
        <w:t>ата система продължават да бъдат предизвикателства в някои държави членки, макар реформите в съдебната система да постигнаха известен напредък в Италия, Латвия и Словения.</w:t>
      </w:r>
    </w:p>
    <w:p w:rsidR="00537046" w:rsidRDefault="00573D98">
      <w:pPr>
        <w:spacing w:line="240" w:lineRule="auto"/>
        <w:jc w:val="both"/>
        <w:rPr>
          <w:rFonts w:ascii="Times New Roman" w:eastAsia="Times New Roman" w:hAnsi="Times New Roman"/>
          <w:noProof/>
          <w:sz w:val="24"/>
          <w:szCs w:val="24"/>
        </w:rPr>
      </w:pPr>
      <w:r>
        <w:rPr>
          <w:rFonts w:ascii="Times New Roman" w:hAnsi="Times New Roman"/>
          <w:b/>
          <w:noProof/>
          <w:sz w:val="24"/>
          <w:szCs w:val="24"/>
        </w:rPr>
        <w:t>Съществуват допълнителни възможности за намаляване на бюрокрацията, укрепване на адм</w:t>
      </w:r>
      <w:r>
        <w:rPr>
          <w:rFonts w:ascii="Times New Roman" w:hAnsi="Times New Roman"/>
          <w:b/>
          <w:noProof/>
          <w:sz w:val="24"/>
          <w:szCs w:val="24"/>
        </w:rPr>
        <w:t>инистративната ефикасност и подобряване на качеството на регулаторната уредба.</w:t>
      </w:r>
      <w:r>
        <w:rPr>
          <w:rFonts w:ascii="Times New Roman" w:hAnsi="Times New Roman"/>
          <w:noProof/>
          <w:sz w:val="24"/>
          <w:szCs w:val="24"/>
        </w:rPr>
        <w:t xml:space="preserve"> Забавянията в рамките на процедурите за издаване на разрешителни остават значителни и над две трети от държавите членки все още принуждават стартиращите предприятия да заплащат </w:t>
      </w:r>
      <w:r>
        <w:rPr>
          <w:rFonts w:ascii="Times New Roman" w:hAnsi="Times New Roman"/>
          <w:noProof/>
          <w:sz w:val="24"/>
          <w:szCs w:val="24"/>
        </w:rPr>
        <w:t>такси от над 100 евро, което е таванът, предложен в Законодателния акт за малкия бизнес в Европа. Често структурните реформи се забавят поради липсата на капацитет за изпълнение и нестабилните институционални структури. Ефикасността на публичните инвестици</w:t>
      </w:r>
      <w:r>
        <w:rPr>
          <w:rFonts w:ascii="Times New Roman" w:hAnsi="Times New Roman"/>
          <w:noProof/>
          <w:sz w:val="24"/>
          <w:szCs w:val="24"/>
        </w:rPr>
        <w:t>и често пъти е възпрепятствана от слабости, свързани с оценката на проектите, възлагането на обществени поръчки, изпълнението и слабата координация между различните нива на управление. Предоставянето на съвременни и добре интегрирани услуги на електронното</w:t>
      </w:r>
      <w:r>
        <w:rPr>
          <w:rFonts w:ascii="Times New Roman" w:hAnsi="Times New Roman"/>
          <w:noProof/>
          <w:sz w:val="24"/>
          <w:szCs w:val="24"/>
        </w:rPr>
        <w:t xml:space="preserve"> управление за предприятията продължава да бъде предизвикателство в много държави членки. </w:t>
      </w:r>
    </w:p>
    <w:p w:rsidR="00537046" w:rsidRDefault="00573D98">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rPr>
      </w:pPr>
      <w:r>
        <w:rPr>
          <w:rFonts w:ascii="Times New Roman" w:hAnsi="Times New Roman"/>
          <w:b/>
          <w:noProof/>
          <w:color w:val="000000"/>
          <w:sz w:val="24"/>
          <w:szCs w:val="24"/>
          <w:u w:color="000000"/>
          <w:bdr w:val="nil"/>
        </w:rPr>
        <w:t xml:space="preserve">Допълнителни подобрения са необходими в областта на обществените поръчки. </w:t>
      </w:r>
      <w:r>
        <w:rPr>
          <w:rFonts w:ascii="Times New Roman" w:hAnsi="Times New Roman"/>
          <w:noProof/>
          <w:color w:val="000000"/>
          <w:sz w:val="24"/>
          <w:szCs w:val="24"/>
          <w:u w:color="000000"/>
          <w:bdr w:val="nil"/>
        </w:rPr>
        <w:t xml:space="preserve">За някои държави членки слабостите в областта на обществените поръчки продължават да бъдат </w:t>
      </w:r>
      <w:r>
        <w:rPr>
          <w:rFonts w:ascii="Times New Roman" w:hAnsi="Times New Roman"/>
          <w:noProof/>
          <w:color w:val="000000"/>
          <w:sz w:val="24"/>
          <w:szCs w:val="24"/>
          <w:u w:color="000000"/>
          <w:bdr w:val="nil"/>
        </w:rPr>
        <w:t>един от основните източници на нередности, установени при одитите на използването на европейските структурни и инвестиционни фондове. Те действат като пречка за инвестициите и правилното функциониране на единния пазар. Освен това обществените поръчки са об</w:t>
      </w:r>
      <w:r>
        <w:rPr>
          <w:rFonts w:ascii="Times New Roman" w:hAnsi="Times New Roman"/>
          <w:noProof/>
          <w:color w:val="000000"/>
          <w:sz w:val="24"/>
          <w:szCs w:val="24"/>
          <w:u w:color="000000"/>
          <w:bdr w:val="nil"/>
        </w:rPr>
        <w:t xml:space="preserve">ласт, засегната от корупция. </w:t>
      </w:r>
    </w:p>
    <w:p w:rsidR="00537046" w:rsidRDefault="00573D98">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rPr>
      </w:pPr>
      <w:r>
        <w:rPr>
          <w:rFonts w:ascii="Times New Roman" w:hAnsi="Times New Roman"/>
          <w:b/>
          <w:noProof/>
          <w:color w:val="000000"/>
          <w:sz w:val="24"/>
          <w:szCs w:val="24"/>
          <w:u w:color="000000"/>
          <w:bdr w:val="nil"/>
        </w:rPr>
        <w:t>Инвестициите в енергийни и транспортни мрежи допринасят за по-тясно интегрирани и по-добре функциониращи пазари и за по-голяма сигурност на доставките и са от основно значение за прехода към икономика с ниски въглеродни емисии</w:t>
      </w:r>
      <w:r>
        <w:rPr>
          <w:rFonts w:ascii="Times New Roman" w:hAnsi="Times New Roman"/>
          <w:b/>
          <w:noProof/>
          <w:color w:val="000000"/>
          <w:sz w:val="24"/>
          <w:szCs w:val="24"/>
          <w:u w:color="000000"/>
          <w:bdr w:val="nil"/>
        </w:rPr>
        <w:t>.</w:t>
      </w:r>
      <w:r>
        <w:rPr>
          <w:rFonts w:ascii="Times New Roman" w:hAnsi="Times New Roman"/>
          <w:noProof/>
          <w:color w:val="000000"/>
          <w:sz w:val="24"/>
          <w:szCs w:val="24"/>
          <w:u w:color="000000"/>
          <w:bdr w:val="nil"/>
        </w:rPr>
        <w:t xml:space="preserve"> Завършването на електроенергийните и газовите междусистемни връзки между Испания и Франция, например, ще бъде от решаващо значение за гарантиране на сигурността на доставките и за подобряване на функционирането на енергийните пазари. Инвестициите в капац</w:t>
      </w:r>
      <w:r>
        <w:rPr>
          <w:rFonts w:ascii="Times New Roman" w:hAnsi="Times New Roman"/>
          <w:noProof/>
          <w:color w:val="000000"/>
          <w:sz w:val="24"/>
          <w:szCs w:val="24"/>
          <w:u w:color="000000"/>
          <w:bdr w:val="nil"/>
        </w:rPr>
        <w:t>итет за пренос на електроенергия и в газови междусистемни връзки с балтийските държави и между тях самите също нараснаха с цел интегрирането на тези държави членки в европейските мрежи и енергийни пазари. Неотдавнашното завършване на електроенергийните връ</w:t>
      </w:r>
      <w:r>
        <w:rPr>
          <w:rFonts w:ascii="Times New Roman" w:hAnsi="Times New Roman"/>
          <w:noProof/>
          <w:color w:val="000000"/>
          <w:sz w:val="24"/>
          <w:szCs w:val="24"/>
          <w:u w:color="000000"/>
          <w:bdr w:val="nil"/>
        </w:rPr>
        <w:t>зки между трите балтийски държави и Полша, Финландия и Швеция доведе до коефициент на взаимна свързаност от около 25 %, като между балтийските държави продължават да се осъществяват допълнителни инвестиции в междусистемни връзки. Испания създаде фонд за по</w:t>
      </w:r>
      <w:r>
        <w:rPr>
          <w:rFonts w:ascii="Times New Roman" w:hAnsi="Times New Roman"/>
          <w:noProof/>
          <w:color w:val="000000"/>
          <w:sz w:val="24"/>
          <w:szCs w:val="24"/>
          <w:u w:color="000000"/>
          <w:bdr w:val="nil"/>
        </w:rPr>
        <w:t>добряване на сухопътния достъп до морските пристанища.</w:t>
      </w:r>
    </w:p>
    <w:p w:rsidR="00537046" w:rsidRDefault="00573D98">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rPr>
      </w:pPr>
      <w:r>
        <w:rPr>
          <w:rFonts w:ascii="Times New Roman" w:hAnsi="Times New Roman"/>
          <w:b/>
          <w:noProof/>
          <w:sz w:val="24"/>
          <w:szCs w:val="24"/>
        </w:rPr>
        <w:t>Модернизирането на икономиката на ЕС изисква отстраняването на инфраструктурните слабости в цифровите съобщителни мрежи.</w:t>
      </w:r>
      <w:r>
        <w:rPr>
          <w:rFonts w:ascii="Times New Roman" w:hAnsi="Times New Roman"/>
          <w:noProof/>
          <w:color w:val="000000"/>
          <w:sz w:val="24"/>
          <w:szCs w:val="24"/>
          <w:u w:color="000000"/>
          <w:bdr w:val="nil"/>
        </w:rPr>
        <w:t xml:space="preserve"> Очакваното увеличение в търсенето на висококачествени съобщителни мрежи не трябв</w:t>
      </w:r>
      <w:r>
        <w:rPr>
          <w:rFonts w:ascii="Times New Roman" w:hAnsi="Times New Roman"/>
          <w:noProof/>
          <w:color w:val="000000"/>
          <w:sz w:val="24"/>
          <w:szCs w:val="24"/>
          <w:u w:color="000000"/>
          <w:bdr w:val="nil"/>
        </w:rPr>
        <w:t>а да се забавя вследствие на закъснели ответни реакции от страна на предлагането. В някои държави членки въпреки значителните усилия за подобряване на покритието на съобщителните инфраструктурни мрежи от ново поколение</w:t>
      </w:r>
      <w:r>
        <w:rPr>
          <w:rFonts w:ascii="Times New Roman" w:hAnsi="Times New Roman"/>
          <w:noProof/>
          <w:sz w:val="24"/>
          <w:szCs w:val="24"/>
        </w:rPr>
        <w:t>, е застрашено постигането на целта на</w:t>
      </w:r>
      <w:r>
        <w:rPr>
          <w:rFonts w:ascii="Times New Roman" w:hAnsi="Times New Roman"/>
          <w:noProof/>
          <w:sz w:val="24"/>
          <w:szCs w:val="24"/>
        </w:rPr>
        <w:t xml:space="preserve"> програмата в областта на цифровите технологии относно покритието на мрежите от следващо поколение със скорост </w:t>
      </w:r>
      <w:r>
        <w:rPr>
          <w:rFonts w:ascii="Times New Roman" w:hAnsi="Times New Roman"/>
          <w:noProof/>
          <w:color w:val="000000"/>
          <w:sz w:val="24"/>
          <w:szCs w:val="24"/>
          <w:u w:color="000000"/>
          <w:bdr w:val="nil"/>
        </w:rPr>
        <w:t>30</w:t>
      </w:r>
      <w:r>
        <w:rPr>
          <w:rFonts w:ascii="Times New Roman" w:hAnsi="Times New Roman"/>
          <w:noProof/>
          <w:sz w:val="24"/>
          <w:szCs w:val="24"/>
        </w:rPr>
        <w:t xml:space="preserve"> Mbps или повече за всички до 2020 г.</w:t>
      </w:r>
      <w:r>
        <w:rPr>
          <w:rFonts w:ascii="Times New Roman" w:hAnsi="Times New Roman"/>
          <w:noProof/>
          <w:color w:val="000000"/>
          <w:sz w:val="24"/>
          <w:szCs w:val="24"/>
          <w:u w:color="000000"/>
          <w:bdr w:val="nil"/>
        </w:rPr>
        <w:t xml:space="preserve"> </w:t>
      </w:r>
    </w:p>
    <w:p w:rsidR="00537046" w:rsidRDefault="00537046">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rPr>
      </w:pPr>
    </w:p>
    <w:p w:rsidR="00573D98" w:rsidRDefault="00573D98">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rPr>
      </w:pPr>
    </w:p>
    <w:p w:rsidR="00537046" w:rsidRDefault="00573D98">
      <w:pPr>
        <w:spacing w:before="120" w:after="120" w:line="240" w:lineRule="auto"/>
        <w:jc w:val="both"/>
        <w:rPr>
          <w:rFonts w:ascii="Times New Roman" w:eastAsia="Times New Roman" w:hAnsi="Times New Roman"/>
          <w:i/>
          <w:noProof/>
          <w:color w:val="000000"/>
          <w:sz w:val="24"/>
          <w:szCs w:val="24"/>
        </w:rPr>
      </w:pPr>
      <w:r>
        <w:rPr>
          <w:rFonts w:ascii="Times New Roman" w:hAnsi="Times New Roman"/>
          <w:i/>
          <w:noProof/>
          <w:color w:val="000000"/>
          <w:sz w:val="24"/>
          <w:szCs w:val="24"/>
        </w:rPr>
        <w:t>Реформи на пазарите на продукти и услуги</w:t>
      </w:r>
    </w:p>
    <w:p w:rsidR="00537046" w:rsidRDefault="00573D98">
      <w:pPr>
        <w:autoSpaceDE w:val="0"/>
        <w:autoSpaceDN w:val="0"/>
        <w:adjustRightInd w:val="0"/>
        <w:spacing w:line="240" w:lineRule="auto"/>
        <w:jc w:val="both"/>
        <w:rPr>
          <w:rFonts w:ascii="Times New Roman" w:eastAsia="Times New Roman" w:hAnsi="Times New Roman"/>
          <w:b/>
          <w:noProof/>
          <w:sz w:val="24"/>
          <w:szCs w:val="24"/>
        </w:rPr>
      </w:pPr>
      <w:r>
        <w:rPr>
          <w:rFonts w:ascii="Times New Roman" w:hAnsi="Times New Roman"/>
          <w:b/>
          <w:noProof/>
          <w:sz w:val="24"/>
          <w:szCs w:val="24"/>
        </w:rPr>
        <w:t xml:space="preserve">Броят на ограниченията в сектора на услугите остава голям в </w:t>
      </w:r>
      <w:r>
        <w:rPr>
          <w:rFonts w:ascii="Times New Roman" w:hAnsi="Times New Roman"/>
          <w:b/>
          <w:noProof/>
          <w:sz w:val="24"/>
          <w:szCs w:val="24"/>
        </w:rPr>
        <w:t>много държави — членки на ЕС.</w:t>
      </w:r>
      <w:r>
        <w:rPr>
          <w:rFonts w:ascii="Times New Roman" w:hAnsi="Times New Roman"/>
          <w:noProof/>
          <w:sz w:val="24"/>
          <w:szCs w:val="24"/>
        </w:rPr>
        <w:t xml:space="preserve"> Както е отразено в последните прогнози на Комисията, съпътстващи публикацията на Стратегията за единния пазар</w:t>
      </w:r>
      <w:r>
        <w:rPr>
          <w:rFonts w:ascii="Times New Roman" w:hAnsi="Times New Roman"/>
          <w:noProof/>
          <w:sz w:val="24"/>
          <w:szCs w:val="24"/>
          <w:vertAlign w:val="superscript"/>
        </w:rPr>
        <w:footnoteReference w:id="17"/>
      </w:r>
      <w:r>
        <w:rPr>
          <w:rFonts w:ascii="Times New Roman" w:hAnsi="Times New Roman"/>
          <w:noProof/>
          <w:sz w:val="24"/>
          <w:szCs w:val="24"/>
        </w:rPr>
        <w:t xml:space="preserve">, регулаторните ограничения имат доказано отрицателно въздействие върху инвестициите, растежа и заетостта. </w:t>
      </w:r>
    </w:p>
    <w:p w:rsidR="00537046" w:rsidRDefault="00573D98">
      <w:pPr>
        <w:autoSpaceDE w:val="0"/>
        <w:autoSpaceDN w:val="0"/>
        <w:adjustRightInd w:val="0"/>
        <w:spacing w:line="240" w:lineRule="auto"/>
        <w:jc w:val="both"/>
        <w:rPr>
          <w:rFonts w:ascii="Times New Roman" w:eastAsia="Times New Roman" w:hAnsi="Times New Roman"/>
          <w:noProof/>
          <w:sz w:val="24"/>
          <w:szCs w:val="24"/>
        </w:rPr>
      </w:pPr>
      <w:r>
        <w:rPr>
          <w:rFonts w:ascii="Times New Roman" w:hAnsi="Times New Roman"/>
          <w:b/>
          <w:noProof/>
          <w:sz w:val="24"/>
          <w:szCs w:val="24"/>
        </w:rPr>
        <w:t>Равносме</w:t>
      </w:r>
      <w:r>
        <w:rPr>
          <w:rFonts w:ascii="Times New Roman" w:hAnsi="Times New Roman"/>
          <w:b/>
          <w:noProof/>
          <w:sz w:val="24"/>
          <w:szCs w:val="24"/>
        </w:rPr>
        <w:t>тката от Европейския семестър в тази област доказва, че реформите дават резултат</w:t>
      </w:r>
      <w:r>
        <w:rPr>
          <w:rFonts w:ascii="Times New Roman" w:hAnsi="Times New Roman"/>
          <w:noProof/>
          <w:sz w:val="24"/>
          <w:szCs w:val="24"/>
        </w:rPr>
        <w:t>. Организацията за икономическо сътрудничество и развитие (ОИСР)</w:t>
      </w:r>
      <w:r>
        <w:rPr>
          <w:rFonts w:ascii="Times New Roman" w:hAnsi="Times New Roman"/>
          <w:noProof/>
          <w:sz w:val="24"/>
          <w:szCs w:val="24"/>
          <w:vertAlign w:val="superscript"/>
        </w:rPr>
        <w:footnoteReference w:id="18"/>
      </w:r>
      <w:r>
        <w:rPr>
          <w:rFonts w:ascii="Times New Roman" w:hAnsi="Times New Roman"/>
          <w:noProof/>
          <w:sz w:val="24"/>
          <w:szCs w:val="24"/>
        </w:rPr>
        <w:t xml:space="preserve"> смята, че структурните реформи, въведени в Италия през 2012 г., би трябвало да увеличат БВП с 1,5 % пет години</w:t>
      </w:r>
      <w:r>
        <w:rPr>
          <w:rFonts w:ascii="Times New Roman" w:hAnsi="Times New Roman"/>
          <w:noProof/>
          <w:sz w:val="24"/>
          <w:szCs w:val="24"/>
        </w:rPr>
        <w:t xml:space="preserve"> след тяхното въвеждане Много от тези реформи бяха приети в отговор на препоръките, отправени към Италия в контекста на Европейския семестър. Други реформи доведоха до видими резултати в по-кратък срок. В отговор на препоръка, отправена към Испания през 20</w:t>
      </w:r>
      <w:r>
        <w:rPr>
          <w:rFonts w:ascii="Times New Roman" w:hAnsi="Times New Roman"/>
          <w:noProof/>
          <w:sz w:val="24"/>
          <w:szCs w:val="24"/>
        </w:rPr>
        <w:t>12 г., въвеждането на бързи разрешителни за отваряне на търговски обекти доведе до откриването на 7000 допълнителни обекта през първата половина на 2013 г.</w:t>
      </w:r>
    </w:p>
    <w:p w:rsidR="00537046" w:rsidRDefault="00573D98">
      <w:pPr>
        <w:autoSpaceDE w:val="0"/>
        <w:autoSpaceDN w:val="0"/>
        <w:adjustRightInd w:val="0"/>
        <w:spacing w:line="240" w:lineRule="auto"/>
        <w:jc w:val="both"/>
        <w:rPr>
          <w:rFonts w:ascii="Times New Roman" w:eastAsia="Times New Roman" w:hAnsi="Times New Roman"/>
          <w:noProof/>
          <w:sz w:val="24"/>
          <w:szCs w:val="24"/>
        </w:rPr>
      </w:pPr>
      <w:r>
        <w:rPr>
          <w:rFonts w:ascii="Times New Roman" w:hAnsi="Times New Roman"/>
          <w:b/>
          <w:noProof/>
          <w:sz w:val="24"/>
          <w:szCs w:val="24"/>
        </w:rPr>
        <w:t xml:space="preserve">Докладите по държави показват положителен, но все още бавен напредък в реформирането на пазарите за </w:t>
      </w:r>
      <w:r>
        <w:rPr>
          <w:rFonts w:ascii="Times New Roman" w:hAnsi="Times New Roman"/>
          <w:b/>
          <w:noProof/>
          <w:sz w:val="24"/>
          <w:szCs w:val="24"/>
        </w:rPr>
        <w:t>услуги в много държави членки.</w:t>
      </w:r>
      <w:r>
        <w:rPr>
          <w:rFonts w:ascii="Times New Roman" w:hAnsi="Times New Roman"/>
          <w:noProof/>
          <w:sz w:val="24"/>
          <w:szCs w:val="24"/>
        </w:rPr>
        <w:t xml:space="preserve"> Приносът на сектора на бизнес услугите за производителността на производствените и другите сектори на услуги е от съществено значение за модернизирането на икономиките на ЕС. Равнището и броят на ограниченията, преобладаващи </w:t>
      </w:r>
      <w:r>
        <w:rPr>
          <w:rFonts w:ascii="Times New Roman" w:hAnsi="Times New Roman"/>
          <w:noProof/>
          <w:sz w:val="24"/>
          <w:szCs w:val="24"/>
        </w:rPr>
        <w:t xml:space="preserve">на пазарите на професионалните бизнес услуги, особено в областта на инженерните, счетоводните, архитектурните и правните услуги, заслужават специално внимание. </w:t>
      </w:r>
    </w:p>
    <w:p w:rsidR="00537046" w:rsidRDefault="00573D98">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Реформите в сектора на професионалните услуги могат да доведат до осезаеми резултати, но напред</w:t>
      </w:r>
      <w:r>
        <w:rPr>
          <w:rFonts w:ascii="Times New Roman" w:hAnsi="Times New Roman"/>
          <w:b/>
          <w:noProof/>
          <w:sz w:val="24"/>
          <w:szCs w:val="24"/>
        </w:rPr>
        <w:t xml:space="preserve">ъкът в тази област е особено бавен. </w:t>
      </w:r>
      <w:r>
        <w:rPr>
          <w:rFonts w:ascii="Times New Roman" w:hAnsi="Times New Roman"/>
          <w:noProof/>
          <w:sz w:val="24"/>
          <w:szCs w:val="24"/>
        </w:rPr>
        <w:t>След препоръка от 2011 г., Словения прие през 2012 г. програма, предназначена за дерегулиране на професии. През следващите години бяха отправени допълнителни препоръки, които понастоящем водят до пълно дерегулиране или о</w:t>
      </w:r>
      <w:r>
        <w:rPr>
          <w:rFonts w:ascii="Times New Roman" w:hAnsi="Times New Roman"/>
          <w:noProof/>
          <w:sz w:val="24"/>
          <w:szCs w:val="24"/>
        </w:rPr>
        <w:t>простяване на достъпа до професии в няколко сектора (строителство, търговия на дребно, туризъм). През 2012 г. Полша започна постепенен и обширен процес на реформи на регламентираните професии. Реформата обхвана 248 професии и, за повечето от тях, съществув</w:t>
      </w:r>
      <w:r>
        <w:rPr>
          <w:rFonts w:ascii="Times New Roman" w:hAnsi="Times New Roman"/>
          <w:noProof/>
          <w:sz w:val="24"/>
          <w:szCs w:val="24"/>
        </w:rPr>
        <w:t xml:space="preserve">ащите бариери бяха частично премахнати, а за 70 от тях ограниченията бяха напълно премахнати. Полша прие третия и последен етап от тази реформа за дерегулация през 2015 г. Вследствие на специфична за държавата препоръка от 2014 г. относно правните услуги, </w:t>
      </w:r>
      <w:r>
        <w:rPr>
          <w:rFonts w:ascii="Times New Roman" w:hAnsi="Times New Roman"/>
          <w:noProof/>
          <w:sz w:val="24"/>
          <w:szCs w:val="24"/>
        </w:rPr>
        <w:t>Ирландия постигна значителен напредък до края на 2015 г., като прие законодателство за отварянето на тези пазари.</w:t>
      </w:r>
    </w:p>
    <w:p w:rsidR="00537046" w:rsidRDefault="00573D98">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Строителният сектор мoже да осигури важен принос за консолидацията на възстановяването, но са необходими реформи</w:t>
      </w:r>
      <w:r>
        <w:rPr>
          <w:rFonts w:ascii="Times New Roman" w:hAnsi="Times New Roman"/>
          <w:noProof/>
          <w:sz w:val="24"/>
          <w:szCs w:val="24"/>
        </w:rPr>
        <w:t xml:space="preserve">. Възстановяването на сектора </w:t>
      </w:r>
      <w:r>
        <w:rPr>
          <w:rFonts w:ascii="Times New Roman" w:hAnsi="Times New Roman"/>
          <w:noProof/>
          <w:sz w:val="24"/>
          <w:szCs w:val="24"/>
        </w:rPr>
        <w:t>след кризата се оказа бавно и трудно и реформите ще допринесат за реактивирането му, въпреки че неустойчивите предкризисни нива не следва да се използват като референтна стойност. През 2015 г. Комисията извърши задълбочен преглед на бариерите в строителния</w:t>
      </w:r>
      <w:r>
        <w:rPr>
          <w:rFonts w:ascii="Times New Roman" w:hAnsi="Times New Roman"/>
          <w:noProof/>
          <w:sz w:val="24"/>
          <w:szCs w:val="24"/>
        </w:rPr>
        <w:t xml:space="preserve"> сектор, който потвърди голямото разнообразие на третирането му в отделните държави членки. </w:t>
      </w:r>
    </w:p>
    <w:p w:rsidR="00537046" w:rsidRDefault="00573D98">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През последните години бяха издадени специфични за държавите препоръки относно премахването на регулаторните ограничения в строителния сектор на Дания, Германия, Л</w:t>
      </w:r>
      <w:r>
        <w:rPr>
          <w:rFonts w:ascii="Times New Roman" w:hAnsi="Times New Roman"/>
          <w:b/>
          <w:noProof/>
          <w:sz w:val="24"/>
          <w:szCs w:val="24"/>
        </w:rPr>
        <w:t xml:space="preserve">итва, Полша, Словакия и Швеция. </w:t>
      </w:r>
      <w:r>
        <w:rPr>
          <w:rFonts w:ascii="Times New Roman" w:hAnsi="Times New Roman"/>
          <w:noProof/>
          <w:sz w:val="24"/>
          <w:szCs w:val="24"/>
        </w:rPr>
        <w:t>Досега напредъкът е ограничен. От юни 2015 г. насам нов закон за строителството опрости административните задължения във връзка със строителството в Полша. Въпреки това, с него се разрешават само ограничен брой въпроси. В Шв</w:t>
      </w:r>
      <w:r>
        <w:rPr>
          <w:rFonts w:ascii="Times New Roman" w:hAnsi="Times New Roman"/>
          <w:noProof/>
          <w:sz w:val="24"/>
          <w:szCs w:val="24"/>
        </w:rPr>
        <w:t>еция на анкетна комисия бе възложено да проучи и да излезе с предложения за това как да се подобри конкуренцията в жилищното строителство и сектора на строителните материали. През септември 2015 г. в Словакия бе прието изменение на Закона за строителството</w:t>
      </w:r>
      <w:r>
        <w:rPr>
          <w:rFonts w:ascii="Times New Roman" w:hAnsi="Times New Roman"/>
          <w:noProof/>
          <w:sz w:val="24"/>
          <w:szCs w:val="24"/>
        </w:rPr>
        <w:t xml:space="preserve">, за да се рационализират административните процедури за получаване на разрешителни за земеползване и строеж.  </w:t>
      </w:r>
    </w:p>
    <w:p w:rsidR="00537046" w:rsidRDefault="00573D98">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 xml:space="preserve">Ускоряването на реформите за намаляване на регулаторните бариери в сектора на търговията на дребно ще окаже значително положително въздействие. </w:t>
      </w:r>
      <w:r>
        <w:rPr>
          <w:rFonts w:ascii="Times New Roman" w:hAnsi="Times New Roman"/>
          <w:noProof/>
          <w:sz w:val="24"/>
          <w:szCs w:val="24"/>
        </w:rPr>
        <w:t>Засилването на конкурентния натиск вследствие намаляване на бариерите ще подобри пазарната структура и инвестиционната динамика, което ще доведе до навлизането на по-ефективни и иновативни дружества. Потребителите ще се възползват от по-ниски цени, по-голя</w:t>
      </w:r>
      <w:r>
        <w:rPr>
          <w:rFonts w:ascii="Times New Roman" w:hAnsi="Times New Roman"/>
          <w:noProof/>
          <w:sz w:val="24"/>
          <w:szCs w:val="24"/>
        </w:rPr>
        <w:t>мо разнообразие, иновации и по-високо качество, като по този начин ще се стимулира потреблението.</w:t>
      </w:r>
    </w:p>
    <w:p w:rsidR="00537046" w:rsidRDefault="00573D98">
      <w:pPr>
        <w:autoSpaceDE w:val="0"/>
        <w:autoSpaceDN w:val="0"/>
        <w:adjustRightInd w:val="0"/>
        <w:spacing w:line="240" w:lineRule="auto"/>
        <w:jc w:val="both"/>
        <w:rPr>
          <w:rFonts w:ascii="Times New Roman" w:eastAsia="Times New Roman" w:hAnsi="Times New Roman"/>
          <w:noProof/>
          <w:sz w:val="24"/>
          <w:szCs w:val="24"/>
        </w:rPr>
      </w:pPr>
      <w:r>
        <w:rPr>
          <w:rFonts w:ascii="Times New Roman" w:hAnsi="Times New Roman"/>
          <w:b/>
          <w:noProof/>
          <w:sz w:val="24"/>
          <w:szCs w:val="24"/>
        </w:rPr>
        <w:t>Като цяло, държавите членки са отбелязали известен напредък в подобряването на регулаторната среда в сектора на търговията на дребно, но все още са необходими</w:t>
      </w:r>
      <w:r>
        <w:rPr>
          <w:rFonts w:ascii="Times New Roman" w:hAnsi="Times New Roman"/>
          <w:b/>
          <w:noProof/>
          <w:sz w:val="24"/>
          <w:szCs w:val="24"/>
        </w:rPr>
        <w:t xml:space="preserve"> повече усилия.</w:t>
      </w:r>
      <w:r>
        <w:rPr>
          <w:rFonts w:ascii="Times New Roman" w:hAnsi="Times New Roman"/>
          <w:noProof/>
          <w:sz w:val="24"/>
          <w:szCs w:val="24"/>
        </w:rPr>
        <w:t xml:space="preserve"> По-специално, има възможност за подобряване на условията за установяване. Финландия премахна закона, уреждащ работното време, и бяха предприети някои стъпки за подобряване на условията за установяване в сектора на търговията на дребно, чрез</w:t>
      </w:r>
      <w:r>
        <w:rPr>
          <w:rFonts w:ascii="Times New Roman" w:hAnsi="Times New Roman"/>
          <w:noProof/>
          <w:sz w:val="24"/>
          <w:szCs w:val="24"/>
        </w:rPr>
        <w:t xml:space="preserve"> изменения на планирането на земеползването. В Испания, с реформата от 2014 г. в сектора на търговията на дребно, бяха установени основите за по-добро установяване и бизнес дейност. Въпреки това ползата от тази реформа на практика може да бъде почувствана </w:t>
      </w:r>
      <w:r>
        <w:rPr>
          <w:rFonts w:ascii="Times New Roman" w:hAnsi="Times New Roman"/>
          <w:noProof/>
          <w:sz w:val="24"/>
          <w:szCs w:val="24"/>
        </w:rPr>
        <w:t xml:space="preserve">единствено когато автономните общности приемат необходимите актове за изпълнение. </w:t>
      </w:r>
    </w:p>
    <w:p w:rsidR="00537046" w:rsidRDefault="00573D98">
      <w:pPr>
        <w:autoSpaceDE w:val="0"/>
        <w:autoSpaceDN w:val="0"/>
        <w:adjustRightInd w:val="0"/>
        <w:spacing w:line="240" w:lineRule="auto"/>
        <w:jc w:val="both"/>
        <w:rPr>
          <w:rFonts w:ascii="Times New Roman" w:eastAsia="Times New Roman" w:hAnsi="Times New Roman"/>
          <w:noProof/>
          <w:sz w:val="24"/>
          <w:szCs w:val="24"/>
        </w:rPr>
      </w:pPr>
      <w:r>
        <w:rPr>
          <w:rFonts w:ascii="Times New Roman" w:hAnsi="Times New Roman"/>
          <w:b/>
          <w:noProof/>
          <w:sz w:val="24"/>
          <w:szCs w:val="24"/>
        </w:rPr>
        <w:t>В докладите по държави също се подчертава необходимостта от по-нататъшни реформи, насочени към намаляването на пречките пред продуктовите пазари.</w:t>
      </w:r>
      <w:r>
        <w:rPr>
          <w:rFonts w:ascii="Times New Roman" w:hAnsi="Times New Roman"/>
          <w:noProof/>
          <w:sz w:val="24"/>
          <w:szCs w:val="24"/>
        </w:rPr>
        <w:t xml:space="preserve"> През последните години Итал</w:t>
      </w:r>
      <w:r>
        <w:rPr>
          <w:rFonts w:ascii="Times New Roman" w:hAnsi="Times New Roman"/>
          <w:noProof/>
          <w:sz w:val="24"/>
          <w:szCs w:val="24"/>
        </w:rPr>
        <w:t>ия предприе реформи за намаляване на ограниченията на пазара и за увеличаване на конкуренцията чрез пакета за либерализация от 2012 г. и чрез приетите по-наскоро план за приватизация и закон за конкуренцията. Очаква се засилената конкуренция в енергийния и</w:t>
      </w:r>
      <w:r>
        <w:rPr>
          <w:rFonts w:ascii="Times New Roman" w:hAnsi="Times New Roman"/>
          <w:noProof/>
          <w:sz w:val="24"/>
          <w:szCs w:val="24"/>
        </w:rPr>
        <w:t xml:space="preserve"> далекосъобщителния сектор и планът за приватизация да увеличат БВП с почти 0,2 % през 2020 г. Словакия запазва сравнително висока степен на регулаторна тежест за пазарите за продукти в сектори като производството на електроенергия, газоснабдяването, далек</w:t>
      </w:r>
      <w:r>
        <w:rPr>
          <w:rFonts w:ascii="Times New Roman" w:hAnsi="Times New Roman"/>
          <w:noProof/>
          <w:sz w:val="24"/>
          <w:szCs w:val="24"/>
        </w:rPr>
        <w:t xml:space="preserve">осъобщенията, пощите, железопътния и автомобилния транспорт.  </w:t>
      </w:r>
    </w:p>
    <w:p w:rsidR="00537046" w:rsidRDefault="00573D98">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Реформите на държавите членки за подобряване на ефективността в използването на ресурсите и за преминаване към една много по-кръгова икономика ще допринесат за стимулиране на инвестициите.</w:t>
      </w:r>
      <w:r>
        <w:rPr>
          <w:rFonts w:ascii="Times New Roman" w:hAnsi="Times New Roman"/>
          <w:noProof/>
          <w:sz w:val="24"/>
          <w:szCs w:val="24"/>
        </w:rPr>
        <w:t xml:space="preserve"> Няко</w:t>
      </w:r>
      <w:r>
        <w:rPr>
          <w:rFonts w:ascii="Times New Roman" w:hAnsi="Times New Roman"/>
          <w:noProof/>
          <w:sz w:val="24"/>
          <w:szCs w:val="24"/>
        </w:rPr>
        <w:t>лко държави членки предприемат стъпки в тази посока. Програми за кръгова икономика са въведени в Белгия и Нидерландия. Португалия прие Ангажимент за „зелен растеж“, с който определя широк набор от мерки за насърчаване на прехода към една ефективна, екологи</w:t>
      </w:r>
      <w:r>
        <w:rPr>
          <w:rFonts w:ascii="Times New Roman" w:hAnsi="Times New Roman"/>
          <w:noProof/>
          <w:sz w:val="24"/>
          <w:szCs w:val="24"/>
        </w:rPr>
        <w:t>чна икономика с ниски въглеродни емисии .</w:t>
      </w:r>
    </w:p>
    <w:p w:rsidR="00537046" w:rsidRDefault="00537046">
      <w:pPr>
        <w:autoSpaceDE w:val="0"/>
        <w:autoSpaceDN w:val="0"/>
        <w:adjustRightInd w:val="0"/>
        <w:spacing w:line="240" w:lineRule="auto"/>
        <w:jc w:val="both"/>
        <w:rPr>
          <w:rFonts w:ascii="Times New Roman" w:eastAsia="Times New Roman" w:hAnsi="Times New Roman"/>
          <w:noProof/>
          <w:sz w:val="24"/>
          <w:szCs w:val="24"/>
        </w:rPr>
      </w:pPr>
    </w:p>
    <w:p w:rsidR="00573D98" w:rsidRDefault="00573D98">
      <w:pPr>
        <w:autoSpaceDE w:val="0"/>
        <w:autoSpaceDN w:val="0"/>
        <w:adjustRightInd w:val="0"/>
        <w:spacing w:line="240" w:lineRule="auto"/>
        <w:jc w:val="both"/>
        <w:rPr>
          <w:rFonts w:ascii="Times New Roman" w:eastAsia="Times New Roman" w:hAnsi="Times New Roman"/>
          <w:noProof/>
          <w:sz w:val="24"/>
          <w:szCs w:val="24"/>
        </w:rPr>
      </w:pPr>
    </w:p>
    <w:p w:rsidR="00573D98" w:rsidRDefault="00573D98">
      <w:pPr>
        <w:autoSpaceDE w:val="0"/>
        <w:autoSpaceDN w:val="0"/>
        <w:adjustRightInd w:val="0"/>
        <w:spacing w:line="240" w:lineRule="auto"/>
        <w:jc w:val="both"/>
        <w:rPr>
          <w:rFonts w:ascii="Times New Roman" w:eastAsia="Times New Roman" w:hAnsi="Times New Roman"/>
          <w:noProof/>
          <w:sz w:val="24"/>
          <w:szCs w:val="24"/>
        </w:rPr>
      </w:pPr>
    </w:p>
    <w:p w:rsidR="00537046" w:rsidRDefault="00573D98">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Иновации</w:t>
      </w:r>
    </w:p>
    <w:p w:rsidR="00537046" w:rsidRDefault="00573D98">
      <w:pPr>
        <w:spacing w:before="120" w:after="120" w:line="240" w:lineRule="auto"/>
        <w:jc w:val="both"/>
        <w:rPr>
          <w:rFonts w:ascii="Times New Roman" w:eastAsia="Times New Roman" w:hAnsi="Times New Roman"/>
          <w:noProof/>
          <w:color w:val="000000"/>
          <w:sz w:val="24"/>
          <w:szCs w:val="24"/>
        </w:rPr>
      </w:pPr>
      <w:r>
        <w:rPr>
          <w:rFonts w:ascii="Times New Roman" w:hAnsi="Times New Roman"/>
          <w:b/>
          <w:noProof/>
          <w:sz w:val="24"/>
          <w:szCs w:val="24"/>
        </w:rPr>
        <w:t xml:space="preserve">Иновациите са двигател за модернизирането на икономиката, те привличат инвестиции и поддържат икономическия растеж. </w:t>
      </w:r>
      <w:r>
        <w:rPr>
          <w:rFonts w:ascii="Times New Roman" w:hAnsi="Times New Roman"/>
          <w:noProof/>
          <w:sz w:val="24"/>
          <w:szCs w:val="24"/>
        </w:rPr>
        <w:t xml:space="preserve">За създаването на условия за иновации е необходима комбинация от финансови </w:t>
      </w:r>
      <w:r>
        <w:rPr>
          <w:rFonts w:ascii="Times New Roman" w:hAnsi="Times New Roman"/>
          <w:noProof/>
          <w:color w:val="000000"/>
          <w:sz w:val="24"/>
          <w:szCs w:val="24"/>
        </w:rPr>
        <w:t xml:space="preserve">стимули и </w:t>
      </w:r>
      <w:r>
        <w:rPr>
          <w:rFonts w:ascii="Times New Roman" w:hAnsi="Times New Roman"/>
          <w:noProof/>
          <w:color w:val="000000"/>
          <w:sz w:val="24"/>
          <w:szCs w:val="24"/>
        </w:rPr>
        <w:t>по-силна връзка между бизнеса и академичните среди.</w:t>
      </w:r>
      <w:r>
        <w:rPr>
          <w:rFonts w:ascii="Times New Roman" w:hAnsi="Times New Roman"/>
          <w:noProof/>
          <w:sz w:val="24"/>
          <w:szCs w:val="24"/>
        </w:rPr>
        <w:t xml:space="preserve"> </w:t>
      </w:r>
      <w:r>
        <w:rPr>
          <w:rFonts w:ascii="Times New Roman" w:hAnsi="Times New Roman"/>
          <w:noProof/>
          <w:color w:val="000000"/>
          <w:sz w:val="24"/>
          <w:szCs w:val="24"/>
        </w:rPr>
        <w:t>С цел стимулиране на научните изследвания, развитието и иновациите, все по-голям брой държави членки наблягат на непреки мерки за подкрепа, като например данъчни облекчения. Така например, в началото на 2</w:t>
      </w:r>
      <w:r>
        <w:rPr>
          <w:rFonts w:ascii="Times New Roman" w:hAnsi="Times New Roman"/>
          <w:noProof/>
          <w:color w:val="000000"/>
          <w:sz w:val="24"/>
          <w:szCs w:val="24"/>
        </w:rPr>
        <w:t>016 г. Полша въведе нови данъчни стимули за научноизследователска и развойна дейност Съществуват също така нови данъчни облекчения за средства от продажбата на акциите на отговарящите на условията дружества, като се очаква това да стимулира капиталовото фи</w:t>
      </w:r>
      <w:r>
        <w:rPr>
          <w:rFonts w:ascii="Times New Roman" w:hAnsi="Times New Roman"/>
          <w:noProof/>
          <w:color w:val="000000"/>
          <w:sz w:val="24"/>
          <w:szCs w:val="24"/>
        </w:rPr>
        <w:t xml:space="preserve">нансиране за иновативни предприятия. Естония предприе инициативи за насърчаване на иновациите в сферата на обществените поръчки и предостави финансиране за няколко технологични центрове и иновационна ваучерна система, с която се дава възможност на малките </w:t>
      </w:r>
      <w:r>
        <w:rPr>
          <w:rFonts w:ascii="Times New Roman" w:hAnsi="Times New Roman"/>
          <w:noProof/>
          <w:color w:val="000000"/>
          <w:sz w:val="24"/>
          <w:szCs w:val="24"/>
        </w:rPr>
        <w:t>и средните предприятия да си сътрудничат с университети и центрове за компетентност. Връзката между академичните среди, научните изследвания и бизнес иновациите трябва обаче да бъде укрепена в много държави членки, особено в тези, в които напоследък цялост</w:t>
      </w:r>
      <w:r>
        <w:rPr>
          <w:rFonts w:ascii="Times New Roman" w:hAnsi="Times New Roman"/>
          <w:noProof/>
          <w:color w:val="000000"/>
          <w:sz w:val="24"/>
          <w:szCs w:val="24"/>
        </w:rPr>
        <w:t>ните резултати в областта на иновациите са в застой или дори се влошават, и в други държави, които изостават значително в сравнение с постигнатото от водещите държави в областта на иновациите, въпреки наскоро известния скорошен напредък.</w:t>
      </w:r>
    </w:p>
    <w:p w:rsidR="00537046" w:rsidRDefault="00537046">
      <w:pPr>
        <w:spacing w:before="120" w:after="120" w:line="240" w:lineRule="auto"/>
        <w:jc w:val="both"/>
        <w:rPr>
          <w:rFonts w:ascii="Times New Roman" w:eastAsia="Times New Roman" w:hAnsi="Times New Roman"/>
          <w:noProof/>
          <w:color w:val="000000"/>
          <w:sz w:val="24"/>
          <w:szCs w:val="24"/>
        </w:rPr>
      </w:pPr>
    </w:p>
    <w:p w:rsidR="00537046" w:rsidRDefault="00573D98">
      <w:pPr>
        <w:spacing w:before="120" w:after="120" w:line="240" w:lineRule="auto"/>
        <w:jc w:val="both"/>
        <w:rPr>
          <w:rFonts w:ascii="Times New Roman" w:hAnsi="Times New Roman"/>
          <w:b/>
          <w:i/>
          <w:noProof/>
          <w:sz w:val="24"/>
          <w:szCs w:val="24"/>
        </w:rPr>
      </w:pPr>
      <w:r>
        <w:rPr>
          <w:rFonts w:ascii="Times New Roman" w:hAnsi="Times New Roman"/>
          <w:b/>
          <w:i/>
          <w:noProof/>
          <w:sz w:val="24"/>
          <w:szCs w:val="24"/>
        </w:rPr>
        <w:t>5.3</w:t>
      </w:r>
      <w:r>
        <w:rPr>
          <w:rFonts w:ascii="Times New Roman" w:hAnsi="Times New Roman"/>
          <w:b/>
          <w:i/>
          <w:noProof/>
          <w:sz w:val="24"/>
          <w:szCs w:val="24"/>
        </w:rPr>
        <w:tab/>
        <w:t>Отговорни фис</w:t>
      </w:r>
      <w:r>
        <w:rPr>
          <w:rFonts w:ascii="Times New Roman" w:hAnsi="Times New Roman"/>
          <w:b/>
          <w:i/>
          <w:noProof/>
          <w:sz w:val="24"/>
          <w:szCs w:val="24"/>
        </w:rPr>
        <w:t>кални политики</w:t>
      </w:r>
    </w:p>
    <w:p w:rsidR="00537046" w:rsidRDefault="00537046">
      <w:pPr>
        <w:spacing w:before="120" w:after="120" w:line="240" w:lineRule="auto"/>
        <w:jc w:val="both"/>
        <w:rPr>
          <w:rFonts w:ascii="Times New Roman" w:hAnsi="Times New Roman"/>
          <w:i/>
          <w:noProof/>
          <w:sz w:val="24"/>
          <w:szCs w:val="24"/>
        </w:rPr>
      </w:pPr>
    </w:p>
    <w:p w:rsidR="00537046" w:rsidRDefault="00573D98">
      <w:pPr>
        <w:spacing w:before="120" w:after="120" w:line="240" w:lineRule="auto"/>
        <w:jc w:val="both"/>
        <w:rPr>
          <w:rFonts w:ascii="Times New Roman" w:hAnsi="Times New Roman"/>
          <w:noProof/>
          <w:color w:val="000000"/>
          <w:sz w:val="24"/>
          <w:szCs w:val="24"/>
        </w:rPr>
      </w:pPr>
      <w:r>
        <w:rPr>
          <w:rFonts w:ascii="Times New Roman" w:hAnsi="Times New Roman"/>
          <w:b/>
          <w:noProof/>
          <w:color w:val="000000"/>
          <w:sz w:val="24"/>
          <w:szCs w:val="24"/>
        </w:rPr>
        <w:t xml:space="preserve">Въпреки че номиналните бюджетни дефицити бяха значително намалени през последните години и прогнозата е те да продължат да намаляват, в няколко държави членки те не отговарят на изискванията съгласно Пакта за стабилност и растеж. </w:t>
      </w:r>
      <w:r>
        <w:rPr>
          <w:rFonts w:ascii="Times New Roman" w:hAnsi="Times New Roman"/>
          <w:noProof/>
          <w:color w:val="000000"/>
          <w:sz w:val="24"/>
          <w:szCs w:val="24"/>
        </w:rPr>
        <w:t>В резултат</w:t>
      </w:r>
      <w:r>
        <w:rPr>
          <w:rFonts w:ascii="Times New Roman" w:hAnsi="Times New Roman"/>
          <w:noProof/>
          <w:color w:val="000000"/>
          <w:sz w:val="24"/>
          <w:szCs w:val="24"/>
        </w:rPr>
        <w:t xml:space="preserve"> на това съотношението дълг/БВП се очаква да спада постепенно от върховите стойности, достигнати през 2014 г. Намаляването на дефицита за периода 2015—2017 г. се дължи главно на икономическото възстановяване и по-ниските лихвени разходи, докато другите изх</w:t>
      </w:r>
      <w:r>
        <w:rPr>
          <w:rFonts w:ascii="Times New Roman" w:hAnsi="Times New Roman"/>
          <w:noProof/>
          <w:color w:val="000000"/>
          <w:sz w:val="24"/>
          <w:szCs w:val="24"/>
        </w:rPr>
        <w:t xml:space="preserve">одни и разходни пера са като цяло експанзивни. В резултат на това се очаква структурният дефицит да се увеличи леко в еврозоната и да се стабилизира в ЕС след години на непрекъснато подобрение. Фискалните политики следва да се оценяват спрямо двойната цел </w:t>
      </w:r>
      <w:r>
        <w:rPr>
          <w:rFonts w:ascii="Times New Roman" w:hAnsi="Times New Roman"/>
          <w:noProof/>
          <w:color w:val="000000"/>
          <w:sz w:val="24"/>
          <w:szCs w:val="24"/>
        </w:rPr>
        <w:t xml:space="preserve">за постигане на дългосрочна устойчивост на публичните финанси и необходимостта да бъде подкрепяно умереното възстановяване.  </w:t>
      </w:r>
    </w:p>
    <w:p w:rsidR="00537046" w:rsidRDefault="00573D98">
      <w:pPr>
        <w:spacing w:before="120" w:after="120" w:line="240" w:lineRule="auto"/>
        <w:jc w:val="both"/>
        <w:rPr>
          <w:rFonts w:ascii="Times New Roman" w:hAnsi="Times New Roman"/>
          <w:noProof/>
          <w:color w:val="000000"/>
          <w:sz w:val="24"/>
          <w:szCs w:val="24"/>
        </w:rPr>
      </w:pPr>
      <w:r>
        <w:rPr>
          <w:rFonts w:ascii="Times New Roman" w:hAnsi="Times New Roman"/>
          <w:b/>
          <w:noProof/>
          <w:color w:val="000000"/>
          <w:sz w:val="24"/>
          <w:szCs w:val="24"/>
        </w:rPr>
        <w:t xml:space="preserve">Растежът може да бъде подкрепен като структурата на приходите и разходите стане по-благоприятна за него. </w:t>
      </w:r>
      <w:r>
        <w:rPr>
          <w:rFonts w:ascii="Times New Roman" w:hAnsi="Times New Roman"/>
          <w:noProof/>
          <w:color w:val="000000"/>
          <w:sz w:val="24"/>
          <w:szCs w:val="24"/>
        </w:rPr>
        <w:t>Необходимо е да бъде пост</w:t>
      </w:r>
      <w:r>
        <w:rPr>
          <w:rFonts w:ascii="Times New Roman" w:hAnsi="Times New Roman"/>
          <w:noProof/>
          <w:color w:val="000000"/>
          <w:sz w:val="24"/>
          <w:szCs w:val="24"/>
        </w:rPr>
        <w:t xml:space="preserve">игнат по-голям напредък по отношение на намаляването на данъчната тежест върху труда. Въз основа на постигнатия напредък в борбата с данъчните измами и подобряването на данъчната администрация са необходими по-нататъшни усилия, които да направят данъчните </w:t>
      </w:r>
      <w:r>
        <w:rPr>
          <w:rFonts w:ascii="Times New Roman" w:hAnsi="Times New Roman"/>
          <w:noProof/>
          <w:color w:val="000000"/>
          <w:sz w:val="24"/>
          <w:szCs w:val="24"/>
        </w:rPr>
        <w:t>системи по-справедливи и по-ефективни, за да бъдат отстранени факторите, възпиращи създаването на заетост, да се даде приоритет на благоприятстващите растежа разходи и да се запазят продуктивните публични инвестиции. В тази връзка, прогнозираното по-нататъ</w:t>
      </w:r>
      <w:r>
        <w:rPr>
          <w:rFonts w:ascii="Times New Roman" w:hAnsi="Times New Roman"/>
          <w:noProof/>
          <w:color w:val="000000"/>
          <w:sz w:val="24"/>
          <w:szCs w:val="24"/>
        </w:rPr>
        <w:t>шно намаляване на съотношението разходи за публични инвестиции/БВП през периода от 2015 до 2017 г. показва, че са необходими повече усилия.</w:t>
      </w:r>
    </w:p>
    <w:p w:rsidR="00573D98" w:rsidRDefault="00573D98">
      <w:pPr>
        <w:spacing w:before="120" w:after="120" w:line="240" w:lineRule="auto"/>
        <w:jc w:val="both"/>
        <w:rPr>
          <w:rFonts w:ascii="Times New Roman" w:hAnsi="Times New Roman"/>
          <w:noProof/>
          <w:color w:val="000000"/>
          <w:sz w:val="24"/>
          <w:szCs w:val="24"/>
        </w:rPr>
      </w:pPr>
    </w:p>
    <w:p w:rsidR="00573D98" w:rsidRDefault="00573D98">
      <w:pPr>
        <w:spacing w:before="120" w:after="120" w:line="240" w:lineRule="auto"/>
        <w:jc w:val="both"/>
        <w:rPr>
          <w:rFonts w:ascii="Times New Roman" w:hAnsi="Times New Roman"/>
          <w:noProof/>
          <w:color w:val="000000"/>
          <w:sz w:val="24"/>
          <w:szCs w:val="24"/>
        </w:rPr>
      </w:pPr>
    </w:p>
    <w:p w:rsidR="00537046" w:rsidRDefault="00537046">
      <w:pPr>
        <w:spacing w:after="0" w:line="240" w:lineRule="auto"/>
        <w:jc w:val="both"/>
        <w:rPr>
          <w:rFonts w:ascii="Times New Roman" w:hAnsi="Times New Roman"/>
          <w:noProof/>
          <w:color w:val="000000"/>
          <w:sz w:val="24"/>
          <w:szCs w:val="24"/>
        </w:rPr>
      </w:pPr>
    </w:p>
    <w:tbl>
      <w:tblPr>
        <w:tblW w:w="928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5"/>
      </w:tblGrid>
      <w:tr w:rsidR="00537046">
        <w:trPr>
          <w:trHeight w:val="601"/>
        </w:trPr>
        <w:tc>
          <w:tcPr>
            <w:tcW w:w="92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rsidR="00537046" w:rsidRDefault="00573D98">
            <w:pPr>
              <w:autoSpaceDE w:val="0"/>
              <w:autoSpaceDN w:val="0"/>
              <w:adjustRightInd w:val="0"/>
              <w:spacing w:before="120" w:after="120" w:line="240" w:lineRule="auto"/>
              <w:jc w:val="both"/>
              <w:rPr>
                <w:rFonts w:ascii="Times New Roman" w:eastAsia="Times New Roman" w:hAnsi="Times New Roman"/>
                <w:noProof/>
                <w:color w:val="000000"/>
                <w:sz w:val="20"/>
                <w:szCs w:val="20"/>
              </w:rPr>
            </w:pPr>
            <w:r>
              <w:rPr>
                <w:rFonts w:ascii="Times New Roman" w:eastAsia="Times New Roman" w:hAnsi="Times New Roman"/>
                <w:b/>
                <w:i/>
                <w:noProof/>
                <w:color w:val="000000"/>
                <w:sz w:val="20"/>
                <w:szCs w:val="20"/>
              </w:rPr>
              <w:t>Каре 1. Актуална информация за надзора по Пакта за стабилност и растеж</w:t>
            </w:r>
          </w:p>
          <w:p w:rsidR="00537046" w:rsidRDefault="00573D98">
            <w:pPr>
              <w:autoSpaceDE w:val="0"/>
              <w:autoSpaceDN w:val="0"/>
              <w:adjustRightInd w:val="0"/>
              <w:spacing w:before="120" w:after="120" w:line="240" w:lineRule="auto"/>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 xml:space="preserve">В оценката си на проектите на бюджетни </w:t>
            </w:r>
            <w:r>
              <w:rPr>
                <w:rFonts w:ascii="Times New Roman" w:eastAsia="Times New Roman" w:hAnsi="Times New Roman"/>
                <w:noProof/>
                <w:color w:val="000000"/>
                <w:sz w:val="20"/>
                <w:szCs w:val="20"/>
              </w:rPr>
              <w:t>планове за 2016 г. за държавите членки, които са част от еврозоната, публикувана през ноември 2015 г., Комисията посочи, че за четири държави (Испания, Италия, Литва и Австрия</w:t>
            </w:r>
            <w:r>
              <w:rPr>
                <w:rFonts w:ascii="Times New Roman" w:eastAsia="Times New Roman" w:hAnsi="Times New Roman"/>
                <w:noProof/>
                <w:color w:val="000000"/>
                <w:sz w:val="20"/>
                <w:szCs w:val="20"/>
                <w:vertAlign w:val="superscript"/>
              </w:rPr>
              <w:footnoteReference w:id="19"/>
            </w:r>
            <w:r>
              <w:rPr>
                <w:rFonts w:ascii="Times New Roman" w:eastAsia="Times New Roman" w:hAnsi="Times New Roman"/>
                <w:noProof/>
                <w:color w:val="000000"/>
                <w:sz w:val="20"/>
                <w:szCs w:val="20"/>
              </w:rPr>
              <w:t>), тези планове съдържат риск от неспазване на разпоредбите на Пакта за стабилно</w:t>
            </w:r>
            <w:r>
              <w:rPr>
                <w:rFonts w:ascii="Times New Roman" w:eastAsia="Times New Roman" w:hAnsi="Times New Roman"/>
                <w:noProof/>
                <w:color w:val="000000"/>
                <w:sz w:val="20"/>
                <w:szCs w:val="20"/>
              </w:rPr>
              <w:t xml:space="preserve">ст и растеж. За седем държави (Белгия, Ирландия, Франция, Латвия, Малта, Словения и Финландия) бе установено, че те спазват в общи линии на неговите разпоредбите, докато Германия, Естония, Люксембург, Нидерландия и Словакия са спазили изискванията за 2016 </w:t>
            </w:r>
            <w:r>
              <w:rPr>
                <w:rFonts w:ascii="Times New Roman" w:eastAsia="Times New Roman" w:hAnsi="Times New Roman"/>
                <w:noProof/>
                <w:color w:val="000000"/>
                <w:sz w:val="20"/>
                <w:szCs w:val="20"/>
              </w:rPr>
              <w:t xml:space="preserve">г. Португалия предаде своя проект на бюджетен план в определения срок, а чак на 22 януари 2016 г., поради националните избори през октомври 2015 г. и времето, необходимо за формиране на ново правителство.  </w:t>
            </w:r>
          </w:p>
          <w:p w:rsidR="00537046" w:rsidRDefault="00573D98">
            <w:pPr>
              <w:autoSpaceDE w:val="0"/>
              <w:autoSpaceDN w:val="0"/>
              <w:adjustRightInd w:val="0"/>
              <w:spacing w:before="120" w:after="120" w:line="240" w:lineRule="auto"/>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След финализирането на бюджетите за 2016 г. за по</w:t>
            </w:r>
            <w:r>
              <w:rPr>
                <w:rFonts w:ascii="Times New Roman" w:eastAsia="Times New Roman" w:hAnsi="Times New Roman"/>
                <w:noProof/>
                <w:color w:val="000000"/>
                <w:sz w:val="20"/>
                <w:szCs w:val="20"/>
              </w:rPr>
              <w:t>вечето държави членки, прогнозата на Комисията от зимата на 2016 г. осигурява основата за оценка на това как държавите членки са взели предвид становищата на Комисията относно своите проекти на бюджетни планове и какви действия са предприели относно своите</w:t>
            </w:r>
            <w:r>
              <w:rPr>
                <w:rFonts w:ascii="Times New Roman" w:eastAsia="Times New Roman" w:hAnsi="Times New Roman"/>
                <w:noProof/>
                <w:color w:val="000000"/>
                <w:sz w:val="20"/>
                <w:szCs w:val="20"/>
              </w:rPr>
              <w:t xml:space="preserve"> ангажименти, поети в рамките на еврозоната. </w:t>
            </w:r>
          </w:p>
          <w:p w:rsidR="00537046" w:rsidRDefault="00573D98">
            <w:pPr>
              <w:numPr>
                <w:ilvl w:val="0"/>
                <w:numId w:val="38"/>
              </w:numPr>
              <w:autoSpaceDE w:val="0"/>
              <w:autoSpaceDN w:val="0"/>
              <w:adjustRightInd w:val="0"/>
              <w:spacing w:before="120" w:after="120" w:line="240" w:lineRule="auto"/>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 xml:space="preserve">Прогнозата за Испания е, че тя няма да постигне целта за номиналния дефицит за 2015 г. и се очаква да пропусне навременната и устойчива корекция до 2016 г., като препоръчаната фискална корекция не се извършва. </w:t>
            </w:r>
          </w:p>
          <w:p w:rsidR="00537046" w:rsidRDefault="00573D98">
            <w:pPr>
              <w:numPr>
                <w:ilvl w:val="0"/>
                <w:numId w:val="38"/>
              </w:numPr>
              <w:autoSpaceDE w:val="0"/>
              <w:autoSpaceDN w:val="0"/>
              <w:adjustRightInd w:val="0"/>
              <w:spacing w:after="120" w:line="240" w:lineRule="auto"/>
              <w:ind w:left="714" w:hanging="357"/>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 xml:space="preserve">По отношение на Белгия, Финландия и Италия Комисията продължава да извършва внимателен мониторинг на спазването на критерия за дълга и подчертава важността на продължаващото усилено спазване на препоръчаните структурни изменения съгласно Пакта. Комисията </w:t>
            </w:r>
            <w:r>
              <w:rPr>
                <w:rFonts w:ascii="Times New Roman" w:eastAsia="Times New Roman" w:hAnsi="Times New Roman"/>
                <w:noProof/>
                <w:color w:val="000000"/>
                <w:sz w:val="20"/>
                <w:szCs w:val="20"/>
              </w:rPr>
              <w:t>ще оцени отново ситуацията през май въз снова на получената информация за 2015 г., предстоящите програми за стабилност и пролетната прогноза на Комисията за 2016 г.</w:t>
            </w:r>
          </w:p>
          <w:p w:rsidR="00537046" w:rsidRDefault="00573D98">
            <w:pPr>
              <w:numPr>
                <w:ilvl w:val="0"/>
                <w:numId w:val="38"/>
              </w:numPr>
              <w:autoSpaceDE w:val="0"/>
              <w:autoSpaceDN w:val="0"/>
              <w:adjustRightInd w:val="0"/>
              <w:spacing w:after="0" w:line="240" w:lineRule="auto"/>
              <w:jc w:val="both"/>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 xml:space="preserve">Португалия предаде своя проект на бюджетен план на 22 януари 2016 г. В своето становище за </w:t>
            </w:r>
            <w:r>
              <w:rPr>
                <w:rFonts w:ascii="Times New Roman" w:eastAsia="Times New Roman" w:hAnsi="Times New Roman"/>
                <w:noProof/>
                <w:color w:val="000000"/>
                <w:sz w:val="20"/>
                <w:szCs w:val="20"/>
              </w:rPr>
              <w:t>този план Комисията счете, че плановете на правителството са изложени на риск от неспазване на разпоредбите на Пакта за стабилност и растеж и приканиха органите да предприемат необходимите мерки в рамките на националните бюджетни процедури, за да гарантира</w:t>
            </w:r>
            <w:r>
              <w:rPr>
                <w:rFonts w:ascii="Times New Roman" w:eastAsia="Times New Roman" w:hAnsi="Times New Roman"/>
                <w:noProof/>
                <w:color w:val="000000"/>
                <w:sz w:val="20"/>
                <w:szCs w:val="20"/>
              </w:rPr>
              <w:t>т, че бюджетът за 2016 г. ще бъде в съответствие с Пакта за стабилност и растеж. Комисията ще оцени отново ситуацията през май въз основа на националната програма за реформи на Португалия.</w:t>
            </w:r>
          </w:p>
          <w:p w:rsidR="00537046" w:rsidRDefault="00573D98">
            <w:pPr>
              <w:autoSpaceDE w:val="0"/>
              <w:autoSpaceDN w:val="0"/>
              <w:adjustRightInd w:val="0"/>
              <w:spacing w:before="120" w:after="120" w:line="240" w:lineRule="auto"/>
              <w:jc w:val="both"/>
              <w:rPr>
                <w:rFonts w:ascii="Times New Roman" w:eastAsia="Times New Roman" w:hAnsi="Times New Roman"/>
                <w:b/>
                <w:bCs/>
                <w:i/>
                <w:iCs/>
                <w:noProof/>
                <w:color w:val="000000"/>
                <w:sz w:val="24"/>
                <w:szCs w:val="24"/>
              </w:rPr>
            </w:pPr>
            <w:r>
              <w:rPr>
                <w:rFonts w:ascii="Times New Roman" w:eastAsia="Times New Roman" w:hAnsi="Times New Roman"/>
                <w:noProof/>
                <w:color w:val="000000"/>
                <w:sz w:val="20"/>
                <w:szCs w:val="20"/>
              </w:rPr>
              <w:t xml:space="preserve">Комисията ще следи развитията в бюджетите на всички държави членки </w:t>
            </w:r>
            <w:r>
              <w:rPr>
                <w:rFonts w:ascii="Times New Roman" w:eastAsia="Times New Roman" w:hAnsi="Times New Roman"/>
                <w:noProof/>
                <w:color w:val="000000"/>
                <w:sz w:val="20"/>
                <w:szCs w:val="20"/>
              </w:rPr>
              <w:t>в контекста на Европейския семестър въз основа на националните програми за реформи и програмите за стабилност или конвергенция, които ще бъдат предадени до средата на април, и при необходимост ще предаде своите препоръки през май заедно с другите процедурн</w:t>
            </w:r>
            <w:r>
              <w:rPr>
                <w:rFonts w:ascii="Times New Roman" w:eastAsia="Times New Roman" w:hAnsi="Times New Roman"/>
                <w:noProof/>
                <w:color w:val="000000"/>
                <w:sz w:val="20"/>
                <w:szCs w:val="20"/>
              </w:rPr>
              <w:t>и стъпки съгласно Пакта.</w:t>
            </w:r>
          </w:p>
        </w:tc>
      </w:tr>
    </w:tbl>
    <w:p w:rsidR="00537046" w:rsidRDefault="00537046">
      <w:pPr>
        <w:autoSpaceDE w:val="0"/>
        <w:autoSpaceDN w:val="0"/>
        <w:adjustRightInd w:val="0"/>
        <w:spacing w:before="120" w:after="120" w:line="240" w:lineRule="auto"/>
        <w:jc w:val="both"/>
        <w:rPr>
          <w:rFonts w:ascii="Times New Roman" w:hAnsi="Times New Roman"/>
          <w:noProof/>
          <w:sz w:val="24"/>
          <w:szCs w:val="24"/>
        </w:rPr>
      </w:pPr>
    </w:p>
    <w:p w:rsidR="00537046" w:rsidRDefault="00573D98">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В докладите по държави е включена също оценка на реакцията на държавите членки по препоръките, призоваващи за укрепването на институционалното и по-дългосрочното измерение на тяхната фискална политика.  </w:t>
      </w:r>
    </w:p>
    <w:p w:rsidR="00537046" w:rsidRDefault="00573D98">
      <w:pPr>
        <w:spacing w:before="120" w:after="120" w:line="240" w:lineRule="auto"/>
        <w:jc w:val="both"/>
        <w:rPr>
          <w:rFonts w:ascii="Times New Roman" w:hAnsi="Times New Roman"/>
          <w:i/>
          <w:noProof/>
          <w:sz w:val="24"/>
          <w:szCs w:val="24"/>
        </w:rPr>
      </w:pPr>
      <w:r>
        <w:rPr>
          <w:rFonts w:ascii="Times New Roman" w:hAnsi="Times New Roman"/>
          <w:i/>
          <w:noProof/>
          <w:sz w:val="24"/>
          <w:szCs w:val="24"/>
        </w:rPr>
        <w:t xml:space="preserve">Фискални институции и </w:t>
      </w:r>
      <w:r>
        <w:rPr>
          <w:rFonts w:ascii="Times New Roman" w:hAnsi="Times New Roman"/>
          <w:i/>
          <w:noProof/>
          <w:sz w:val="24"/>
          <w:szCs w:val="24"/>
        </w:rPr>
        <w:t>управление и дългосрочна устойчивост на публичните финанси</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Много държави членки предприеха стъпки за укрепване на различни аспекти на своите фискални рамки. </w:t>
      </w:r>
      <w:r>
        <w:rPr>
          <w:rFonts w:ascii="Times New Roman" w:hAnsi="Times New Roman"/>
          <w:noProof/>
          <w:sz w:val="24"/>
          <w:szCs w:val="24"/>
        </w:rPr>
        <w:t>Отбелязва се напредък към укрепването на националните фискални рамки, което е от ключово значение з</w:t>
      </w:r>
      <w:r>
        <w:rPr>
          <w:rFonts w:ascii="Times New Roman" w:hAnsi="Times New Roman"/>
          <w:noProof/>
          <w:sz w:val="24"/>
          <w:szCs w:val="24"/>
        </w:rPr>
        <w:t>а постигането и поддържането на подходящи фискални политики. България прие законодателство, уточняващо условията за коригиране на евентуални отклонения от планираната насока, Хърватия е положила усилия да подобри точността на бюджетното планиране и да заси</w:t>
      </w:r>
      <w:r>
        <w:rPr>
          <w:rFonts w:ascii="Times New Roman" w:hAnsi="Times New Roman"/>
          <w:noProof/>
          <w:sz w:val="24"/>
          <w:szCs w:val="24"/>
        </w:rPr>
        <w:t>ли контрола на разходите, Португалия допълнително реформира Закона за бюджетната рамка, а Словения прие законодателство за прилагане на конституционното правило за бюджетното салдо. Освен това са установени независими фискални институции, които извършват м</w:t>
      </w:r>
      <w:r>
        <w:rPr>
          <w:rFonts w:ascii="Times New Roman" w:hAnsi="Times New Roman"/>
          <w:noProof/>
          <w:sz w:val="24"/>
          <w:szCs w:val="24"/>
        </w:rPr>
        <w:t xml:space="preserve">ониторинг на националните фискални правила и в повечето държави членки бяха създадени или подсилени фискалните планове. Към днешна дата, Чешката република и Полша са единствените държави членки, в които не е прието законодателно за създаването на фискални </w:t>
      </w:r>
      <w:r>
        <w:rPr>
          <w:rFonts w:ascii="Times New Roman" w:hAnsi="Times New Roman"/>
          <w:noProof/>
          <w:sz w:val="24"/>
          <w:szCs w:val="24"/>
        </w:rPr>
        <w:t>съвети.</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b/>
          <w:noProof/>
          <w:sz w:val="24"/>
          <w:szCs w:val="24"/>
        </w:rPr>
        <w:t>Комисията разглежда транспонирането на правилата, установени в така наречения фискален пакт</w:t>
      </w:r>
      <w:r>
        <w:rPr>
          <w:rFonts w:ascii="Times New Roman" w:hAnsi="Times New Roman"/>
          <w:b/>
          <w:noProof/>
          <w:color w:val="000000"/>
          <w:sz w:val="24"/>
          <w:szCs w:val="24"/>
          <w:vertAlign w:val="superscript"/>
        </w:rPr>
        <w:footnoteReference w:id="20"/>
      </w:r>
      <w:r>
        <w:rPr>
          <w:rFonts w:ascii="Times New Roman" w:hAnsi="Times New Roman"/>
          <w:noProof/>
          <w:sz w:val="24"/>
          <w:szCs w:val="24"/>
        </w:rPr>
        <w:t>, чиято цел е да се засили съгласуваността между националните и европейските фискални рамки и да се повиши ангажирането на държавите членки с тях. Комисията</w:t>
      </w:r>
      <w:r>
        <w:rPr>
          <w:rFonts w:ascii="Times New Roman" w:hAnsi="Times New Roman"/>
          <w:noProof/>
          <w:sz w:val="24"/>
          <w:szCs w:val="24"/>
        </w:rPr>
        <w:t xml:space="preserve"> провежда консултации с договарящите се страни, за да им даде възможност да представят своите забележки по заключенията на Комисията, както е предвидено в член 8, параграф 1 от Договора за стабилност, координация и управление в Икономическия и паричен съюз</w:t>
      </w:r>
      <w:r>
        <w:rPr>
          <w:rFonts w:ascii="Times New Roman" w:hAnsi="Times New Roman"/>
          <w:noProof/>
          <w:sz w:val="24"/>
          <w:szCs w:val="24"/>
        </w:rPr>
        <w:t>, преди публикуването на нейния доклад през 2016 г.</w:t>
      </w:r>
    </w:p>
    <w:p w:rsidR="00537046" w:rsidRDefault="00573D98">
      <w:pPr>
        <w:spacing w:before="120" w:after="120" w:line="240" w:lineRule="auto"/>
        <w:jc w:val="both"/>
        <w:rPr>
          <w:rFonts w:ascii="Times New Roman" w:hAnsi="Times New Roman"/>
          <w:noProof/>
          <w:color w:val="000000"/>
          <w:sz w:val="24"/>
          <w:szCs w:val="24"/>
        </w:rPr>
      </w:pPr>
      <w:r>
        <w:rPr>
          <w:rFonts w:ascii="Times New Roman" w:hAnsi="Times New Roman"/>
          <w:b/>
          <w:noProof/>
          <w:sz w:val="24"/>
          <w:szCs w:val="24"/>
        </w:rPr>
        <w:t>Прогнозираното увеличение на разходите, свързани със застаряването на населението, би могло да представлява риск за устойчивостта на публичните финанси в средносрочен до дългосрочен план.</w:t>
      </w:r>
      <w:r>
        <w:rPr>
          <w:rFonts w:ascii="Times New Roman" w:hAnsi="Times New Roman"/>
          <w:noProof/>
          <w:sz w:val="24"/>
          <w:szCs w:val="24"/>
        </w:rPr>
        <w:t xml:space="preserve"> </w:t>
      </w:r>
      <w:r>
        <w:rPr>
          <w:rFonts w:ascii="Times New Roman" w:hAnsi="Times New Roman"/>
          <w:noProof/>
          <w:color w:val="000000"/>
          <w:sz w:val="24"/>
          <w:szCs w:val="24"/>
        </w:rPr>
        <w:t>Населението заст</w:t>
      </w:r>
      <w:r>
        <w:rPr>
          <w:rFonts w:ascii="Times New Roman" w:hAnsi="Times New Roman"/>
          <w:noProof/>
          <w:color w:val="000000"/>
          <w:sz w:val="24"/>
          <w:szCs w:val="24"/>
        </w:rPr>
        <w:t>арява бързо в ЕС, и по-специално в еврозоната. Населението в трудоспособна възраст се очаква да намалее със средногодишен темп от 0,4 % през следващите четири десетилетия. Застаряването на населението оказва директно влияние върху публичните финанси чрез р</w:t>
      </w:r>
      <w:r>
        <w:rPr>
          <w:rFonts w:ascii="Times New Roman" w:hAnsi="Times New Roman"/>
          <w:noProof/>
          <w:color w:val="000000"/>
          <w:sz w:val="24"/>
          <w:szCs w:val="24"/>
        </w:rPr>
        <w:t>азходи за пенсии, здравеопазване и дългосрочни грижи. Ако не бъдат взети коригиращи мерки, повече от половината държави членки са изправени пред средносрочни или дългосрочни предизвикателства, свързани с устойчивостта.</w:t>
      </w:r>
      <w:r>
        <w:rPr>
          <w:rFonts w:ascii="Times New Roman" w:hAnsi="Times New Roman"/>
          <w:noProof/>
          <w:color w:val="000000"/>
          <w:sz w:val="24"/>
          <w:szCs w:val="24"/>
          <w:vertAlign w:val="superscript"/>
        </w:rPr>
        <w:footnoteReference w:id="21"/>
      </w:r>
      <w:r>
        <w:rPr>
          <w:rFonts w:ascii="Times New Roman" w:hAnsi="Times New Roman"/>
          <w:noProof/>
          <w:color w:val="000000"/>
          <w:sz w:val="24"/>
          <w:szCs w:val="24"/>
        </w:rPr>
        <w:t xml:space="preserve"> Постигнат е значителен напредък в мн</w:t>
      </w:r>
      <w:r>
        <w:rPr>
          <w:rFonts w:ascii="Times New Roman" w:hAnsi="Times New Roman"/>
          <w:noProof/>
          <w:color w:val="000000"/>
          <w:sz w:val="24"/>
          <w:szCs w:val="24"/>
        </w:rPr>
        <w:t>ого страни и дългосрочните предизвикателства пред устойчивостта са намалели от началото на кризата, особено в резултат на прилаганите реформи в пенсионната система и наскоро извършената фискална консолидация. Въпреки това, остават значителни предизвикателс</w:t>
      </w:r>
      <w:r>
        <w:rPr>
          <w:rFonts w:ascii="Times New Roman" w:hAnsi="Times New Roman"/>
          <w:noProof/>
          <w:color w:val="000000"/>
          <w:sz w:val="24"/>
          <w:szCs w:val="24"/>
        </w:rPr>
        <w:t>тва, които трябва да бъдат преодолени от гледна точка на очакваното развитие на разходите, свързани със застаряването на населението.</w:t>
      </w:r>
    </w:p>
    <w:p w:rsidR="00537046" w:rsidRDefault="00573D98">
      <w:pPr>
        <w:spacing w:before="120" w:after="120" w:line="240" w:lineRule="auto"/>
        <w:jc w:val="both"/>
        <w:rPr>
          <w:rFonts w:ascii="Times New Roman" w:hAnsi="Times New Roman"/>
          <w:noProof/>
          <w:color w:val="000000"/>
          <w:sz w:val="24"/>
          <w:szCs w:val="24"/>
        </w:rPr>
      </w:pPr>
      <w:r>
        <w:rPr>
          <w:rFonts w:ascii="Times New Roman" w:hAnsi="Times New Roman"/>
          <w:b/>
          <w:noProof/>
          <w:color w:val="000000"/>
          <w:sz w:val="24"/>
          <w:szCs w:val="24"/>
        </w:rPr>
        <w:t xml:space="preserve">Напредъкът в реформирането на пенсионните системи се различава между държавите членки. </w:t>
      </w:r>
      <w:r>
        <w:rPr>
          <w:rFonts w:ascii="Times New Roman" w:hAnsi="Times New Roman"/>
          <w:noProof/>
          <w:color w:val="000000"/>
          <w:sz w:val="24"/>
          <w:szCs w:val="24"/>
        </w:rPr>
        <w:t>Пенсионната система беше посочена к</w:t>
      </w:r>
      <w:r>
        <w:rPr>
          <w:rFonts w:ascii="Times New Roman" w:hAnsi="Times New Roman"/>
          <w:noProof/>
          <w:color w:val="000000"/>
          <w:sz w:val="24"/>
          <w:szCs w:val="24"/>
        </w:rPr>
        <w:t>ато дългосрочно предизвикателство в редица държави членки (Белгия, България, Хърватия, Литва, Люксембург, Малта, Австрия, Полша, Португалия, Словения и Румъния) в специфичните за всяка държава препоръки от миналата година. Белгия прие последната част на пе</w:t>
      </w:r>
      <w:r>
        <w:rPr>
          <w:rFonts w:ascii="Times New Roman" w:hAnsi="Times New Roman"/>
          <w:noProof/>
          <w:color w:val="000000"/>
          <w:sz w:val="24"/>
          <w:szCs w:val="24"/>
        </w:rPr>
        <w:t>нсионната реформа, която беше приета през 2014 г., а именно увеличаване на законоустановената възраст за пенсиониране на 66 години през 2025 г. и на 67 години през 2030 г. Във Финландия Парламентът прие законодателство за пенсионната реформа през ноември 2</w:t>
      </w:r>
      <w:r>
        <w:rPr>
          <w:rFonts w:ascii="Times New Roman" w:hAnsi="Times New Roman"/>
          <w:noProof/>
          <w:color w:val="000000"/>
          <w:sz w:val="24"/>
          <w:szCs w:val="24"/>
        </w:rPr>
        <w:t xml:space="preserve">015 г. По-специално, най-ранната възраст за пенсия за старост постепенно ще бъде увеличена на 65 до 2025. Считано от 2027 г., най-ранната допустима възраст за отпускане на пенсия за старост ще бъде обвързана с очакваната продължителност на живота, така че </w:t>
      </w:r>
      <w:r>
        <w:rPr>
          <w:rFonts w:ascii="Times New Roman" w:hAnsi="Times New Roman"/>
          <w:noProof/>
          <w:color w:val="000000"/>
          <w:sz w:val="24"/>
          <w:szCs w:val="24"/>
        </w:rPr>
        <w:t>прослуженото време спрямо времето, прекарано в пенсия, да остане на равнището от 2025 г. Във Франция постигнатото през октомври 2015 г. споразумение между социалните партньори се очаква да подобри финансовото положение на схемата за допълнителни пенсии.</w:t>
      </w:r>
    </w:p>
    <w:p w:rsidR="00573D98" w:rsidRDefault="00573D98">
      <w:pPr>
        <w:spacing w:before="120" w:after="120" w:line="240" w:lineRule="auto"/>
        <w:jc w:val="both"/>
        <w:rPr>
          <w:rFonts w:ascii="Times New Roman" w:hAnsi="Times New Roman"/>
          <w:noProof/>
          <w:color w:val="000000"/>
          <w:sz w:val="24"/>
          <w:szCs w:val="24"/>
        </w:rPr>
      </w:pPr>
    </w:p>
    <w:p w:rsidR="00573D98" w:rsidRDefault="00573D98">
      <w:pPr>
        <w:spacing w:before="120" w:after="120" w:line="240" w:lineRule="auto"/>
        <w:jc w:val="both"/>
        <w:rPr>
          <w:rFonts w:ascii="Times New Roman" w:eastAsia="Times New Roman" w:hAnsi="Times New Roman"/>
          <w:noProof/>
          <w:color w:val="000000"/>
          <w:sz w:val="24"/>
          <w:szCs w:val="24"/>
        </w:rPr>
      </w:pPr>
      <w:bookmarkStart w:id="1" w:name="_GoBack"/>
      <w:bookmarkEnd w:id="1"/>
    </w:p>
    <w:p w:rsidR="00537046" w:rsidRDefault="00573D98">
      <w:pPr>
        <w:spacing w:before="120" w:after="120" w:line="240" w:lineRule="auto"/>
        <w:jc w:val="both"/>
        <w:rPr>
          <w:rFonts w:ascii="Times New Roman" w:hAnsi="Times New Roman"/>
          <w:noProof/>
          <w:color w:val="000000"/>
          <w:sz w:val="24"/>
          <w:szCs w:val="24"/>
        </w:rPr>
      </w:pPr>
      <w:r>
        <w:rPr>
          <w:rFonts w:ascii="Times New Roman" w:hAnsi="Times New Roman"/>
          <w:b/>
          <w:noProof/>
          <w:color w:val="000000"/>
          <w:sz w:val="24"/>
          <w:szCs w:val="24"/>
        </w:rPr>
        <w:t xml:space="preserve">В </w:t>
      </w:r>
      <w:r>
        <w:rPr>
          <w:rFonts w:ascii="Times New Roman" w:hAnsi="Times New Roman"/>
          <w:b/>
          <w:noProof/>
          <w:color w:val="000000"/>
          <w:sz w:val="24"/>
          <w:szCs w:val="24"/>
        </w:rPr>
        <w:t xml:space="preserve">специфичните за всяка държава препоръки бяха посочени редица държави членки, чиито системи за здравеопазване изискват специално внимание. </w:t>
      </w:r>
      <w:r>
        <w:rPr>
          <w:rFonts w:ascii="Times New Roman" w:hAnsi="Times New Roman"/>
          <w:noProof/>
          <w:color w:val="000000"/>
          <w:sz w:val="24"/>
          <w:szCs w:val="24"/>
        </w:rPr>
        <w:t>Напредъкът в реформирането на здравеопазването с цел гарантиране на ефективност и приемлив достъп до медицинските услу</w:t>
      </w:r>
      <w:r>
        <w:rPr>
          <w:rFonts w:ascii="Times New Roman" w:hAnsi="Times New Roman"/>
          <w:noProof/>
          <w:color w:val="000000"/>
          <w:sz w:val="24"/>
          <w:szCs w:val="24"/>
        </w:rPr>
        <w:t>ги е различен в отделните държави членки. Ирландия, Испания и Румъния са предприели действия за контрол на разходите за лекарства. Румъния е постигнала напредък в справянето с неефективното използване на ресурси, а Ирландия постигна напредък по отношение п</w:t>
      </w:r>
      <w:r>
        <w:rPr>
          <w:rFonts w:ascii="Times New Roman" w:hAnsi="Times New Roman"/>
          <w:noProof/>
          <w:color w:val="000000"/>
          <w:sz w:val="24"/>
          <w:szCs w:val="24"/>
        </w:rPr>
        <w:t xml:space="preserve">рилагането на основано на действия финансиране. Словакия е засилила ролята на общопрактикуващите лекари при издаването на направления, както и своите финансови одити и информационната си система. Чешката република подобрява ефикасността на своята болнична </w:t>
      </w:r>
      <w:r>
        <w:rPr>
          <w:rFonts w:ascii="Times New Roman" w:hAnsi="Times New Roman"/>
          <w:noProof/>
          <w:color w:val="000000"/>
          <w:sz w:val="24"/>
          <w:szCs w:val="24"/>
        </w:rPr>
        <w:t xml:space="preserve">система, прозрачността на договорите между здравноосигурителните дружества и доставчиците, както и централизацията на процедурите за възлагане на обществени поръчки. Реформите, стартирани в някои държави членки, трябва да продължат и да бъдат задълбочени, </w:t>
      </w:r>
      <w:r>
        <w:rPr>
          <w:rFonts w:ascii="Times New Roman" w:hAnsi="Times New Roman"/>
          <w:noProof/>
          <w:color w:val="000000"/>
          <w:sz w:val="24"/>
          <w:szCs w:val="24"/>
        </w:rPr>
        <w:t>така че да се гарантира устойчива финансова основа за здравните системи, както и адекватен достъп за всички до ефективно здравеопазване.</w:t>
      </w:r>
    </w:p>
    <w:p w:rsidR="00537046" w:rsidRDefault="00537046">
      <w:pPr>
        <w:spacing w:before="120" w:after="120" w:line="240" w:lineRule="auto"/>
        <w:jc w:val="both"/>
        <w:rPr>
          <w:rFonts w:ascii="Times New Roman" w:hAnsi="Times New Roman"/>
          <w:b/>
          <w:noProof/>
          <w:sz w:val="24"/>
          <w:szCs w:val="24"/>
        </w:rPr>
      </w:pPr>
    </w:p>
    <w:p w:rsidR="00537046" w:rsidRDefault="00573D98">
      <w:pPr>
        <w:spacing w:before="120" w:after="120" w:line="240" w:lineRule="auto"/>
        <w:jc w:val="both"/>
        <w:rPr>
          <w:rFonts w:ascii="Times New Roman" w:hAnsi="Times New Roman"/>
          <w:b/>
          <w:smallCaps/>
          <w:noProof/>
          <w:sz w:val="24"/>
          <w:szCs w:val="24"/>
        </w:rPr>
      </w:pPr>
      <w:r>
        <w:rPr>
          <w:rFonts w:ascii="Times New Roman" w:hAnsi="Times New Roman"/>
          <w:b/>
          <w:smallCaps/>
          <w:noProof/>
          <w:sz w:val="24"/>
          <w:szCs w:val="24"/>
        </w:rPr>
        <w:t>6.</w:t>
      </w:r>
      <w:r>
        <w:rPr>
          <w:rFonts w:ascii="Times New Roman" w:hAnsi="Times New Roman"/>
          <w:b/>
          <w:smallCaps/>
          <w:noProof/>
          <w:sz w:val="24"/>
          <w:szCs w:val="24"/>
        </w:rPr>
        <w:tab/>
        <w:t>Следващи стъпки</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noProof/>
          <w:sz w:val="24"/>
          <w:szCs w:val="24"/>
        </w:rPr>
        <w:br/>
        <w:t>След обсъжданията в Съвета и по-широкия диалог с Европейския парламент, социалните партньори и заи</w:t>
      </w:r>
      <w:r>
        <w:rPr>
          <w:rFonts w:ascii="Times New Roman" w:hAnsi="Times New Roman"/>
          <w:noProof/>
          <w:sz w:val="24"/>
          <w:szCs w:val="24"/>
        </w:rPr>
        <w:t>нтересованите страни, препоръките за икономическата политика на еврозоната бяха одобрени от Европейския съвет на заседанието му от 18—19 февруари 2016 г.</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noProof/>
          <w:sz w:val="24"/>
          <w:szCs w:val="24"/>
        </w:rPr>
        <w:t>Анализът, представен в докладите по държави, ще бъде обсъден с държавите членки в рамките на двустранните срещи. Заместник-председателите и членовете на Комисията ще посетят държавите членки, за да се срещнат с правителствата, националните парламенти, соци</w:t>
      </w:r>
      <w:r>
        <w:rPr>
          <w:rFonts w:ascii="Times New Roman" w:hAnsi="Times New Roman"/>
          <w:noProof/>
          <w:sz w:val="24"/>
          <w:szCs w:val="24"/>
        </w:rPr>
        <w:t xml:space="preserve">алните партньори и други заинтересовани страни.  </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noProof/>
          <w:sz w:val="24"/>
          <w:szCs w:val="24"/>
        </w:rPr>
        <w:t>Относно установените предизвикателства се очаква да бъдат взети решения от държавите членки в техните национални програми за реформи, както и в програмите за стабилност или конвергенция, които следва да бъд</w:t>
      </w:r>
      <w:r>
        <w:rPr>
          <w:rFonts w:ascii="Times New Roman" w:hAnsi="Times New Roman"/>
          <w:noProof/>
          <w:sz w:val="24"/>
          <w:szCs w:val="24"/>
        </w:rPr>
        <w:t xml:space="preserve">ат публикувани и представени на Комисията до средата на април. Комисията призова държавите членки да провеждат тесни консултации с националните парламенти и социалните партньори, когато изготвят своите национални програми. </w:t>
      </w:r>
    </w:p>
    <w:p w:rsidR="00537046" w:rsidRDefault="00573D98">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 </w:t>
      </w:r>
    </w:p>
    <w:p w:rsidR="00537046" w:rsidRDefault="00573D98">
      <w:pPr>
        <w:keepNext/>
        <w:pageBreakBefore/>
        <w:tabs>
          <w:tab w:val="left" w:pos="0"/>
        </w:tabs>
        <w:spacing w:before="120" w:after="120" w:line="240" w:lineRule="auto"/>
        <w:outlineLvl w:val="0"/>
        <w:rPr>
          <w:rFonts w:ascii="Times New Roman" w:eastAsia="Times New Roman" w:hAnsi="Times New Roman"/>
          <w:b/>
          <w:smallCaps/>
          <w:noProof/>
          <w:sz w:val="24"/>
          <w:szCs w:val="24"/>
        </w:rPr>
      </w:pPr>
      <w:r>
        <w:rPr>
          <w:rFonts w:ascii="Times New Roman" w:hAnsi="Times New Roman"/>
          <w:b/>
          <w:smallCaps/>
          <w:noProof/>
          <w:sz w:val="24"/>
          <w:szCs w:val="24"/>
        </w:rPr>
        <w:t>Приложение 1 - Интегрирано наб</w:t>
      </w:r>
      <w:r>
        <w:rPr>
          <w:rFonts w:ascii="Times New Roman" w:hAnsi="Times New Roman"/>
          <w:b/>
          <w:smallCaps/>
          <w:noProof/>
          <w:sz w:val="24"/>
          <w:szCs w:val="24"/>
        </w:rPr>
        <w:t xml:space="preserve">людение на макроикономическите и фискалните дисбаланси </w:t>
      </w:r>
      <w:r>
        <w:rPr>
          <w:rFonts w:ascii="Times New Roman" w:hAnsi="Times New Roman"/>
          <w:b/>
          <w:smallCaps/>
          <w:noProof/>
          <w:sz w:val="24"/>
          <w:szCs w:val="24"/>
        </w:rPr>
        <w:tab/>
      </w:r>
      <w:r>
        <w:rPr>
          <w:rFonts w:ascii="Times New Roman" w:hAnsi="Times New Roman"/>
          <w:noProof/>
          <w:sz w:val="24"/>
          <w:szCs w:val="24"/>
        </w:rPr>
        <w:br/>
      </w:r>
    </w:p>
    <w:tbl>
      <w:tblPr>
        <w:tblW w:w="886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60"/>
        <w:gridCol w:w="2056"/>
        <w:gridCol w:w="2483"/>
        <w:gridCol w:w="2669"/>
      </w:tblGrid>
      <w:tr w:rsidR="00537046">
        <w:trPr>
          <w:trHeight w:val="263"/>
          <w:jc w:val="center"/>
        </w:trPr>
        <w:tc>
          <w:tcPr>
            <w:tcW w:w="607" w:type="dxa"/>
            <w:tcBorders>
              <w:top w:val="single" w:sz="12" w:space="0" w:color="auto"/>
              <w:left w:val="nil"/>
              <w:bottom w:val="single" w:sz="4" w:space="0" w:color="auto"/>
              <w:right w:val="single" w:sz="4" w:space="0" w:color="auto"/>
            </w:tcBorders>
            <w:vAlign w:val="center"/>
          </w:tcPr>
          <w:p w:rsidR="00537046" w:rsidRDefault="00537046">
            <w:pPr>
              <w:spacing w:before="120" w:after="120" w:line="240" w:lineRule="auto"/>
              <w:jc w:val="center"/>
              <w:rPr>
                <w:rFonts w:ascii="Times New Roman" w:eastAsia="Times New Roman" w:hAnsi="Times New Roman"/>
                <w:b/>
                <w:noProof/>
                <w:sz w:val="18"/>
                <w:szCs w:val="18"/>
              </w:rPr>
            </w:pPr>
          </w:p>
        </w:tc>
        <w:tc>
          <w:tcPr>
            <w:tcW w:w="2116" w:type="dxa"/>
            <w:tcBorders>
              <w:top w:val="single" w:sz="12" w:space="0" w:color="auto"/>
              <w:left w:val="single" w:sz="4" w:space="0" w:color="auto"/>
              <w:bottom w:val="single" w:sz="4" w:space="0" w:color="auto"/>
              <w:right w:val="single" w:sz="4" w:space="0" w:color="auto"/>
            </w:tcBorders>
            <w:vAlign w:val="center"/>
            <w:hideMark/>
          </w:tcPr>
          <w:p w:rsidR="00537046" w:rsidRDefault="00573D98">
            <w:pPr>
              <w:spacing w:before="120" w:after="120" w:line="240" w:lineRule="auto"/>
              <w:jc w:val="center"/>
              <w:rPr>
                <w:rFonts w:ascii="Times New Roman" w:eastAsia="Times New Roman" w:hAnsi="Times New Roman"/>
                <w:b/>
                <w:noProof/>
                <w:sz w:val="18"/>
                <w:szCs w:val="18"/>
              </w:rPr>
            </w:pPr>
            <w:r>
              <w:rPr>
                <w:rFonts w:ascii="Times New Roman" w:hAnsi="Times New Roman"/>
                <w:b/>
                <w:noProof/>
                <w:sz w:val="18"/>
                <w:szCs w:val="18"/>
              </w:rPr>
              <w:t>Резултати от задълбочените прегледи за 2016 г. по процедурата при макроикономически дисбаланси (ПМД)</w:t>
            </w:r>
            <w:r>
              <w:rPr>
                <w:rFonts w:ascii="Times New Roman" w:hAnsi="Times New Roman"/>
                <w:b/>
                <w:noProof/>
                <w:sz w:val="18"/>
                <w:szCs w:val="18"/>
                <w:vertAlign w:val="superscript"/>
              </w:rPr>
              <w:footnoteReference w:id="22"/>
            </w:r>
          </w:p>
        </w:tc>
        <w:tc>
          <w:tcPr>
            <w:tcW w:w="2923" w:type="dxa"/>
            <w:tcBorders>
              <w:top w:val="single" w:sz="12" w:space="0" w:color="auto"/>
              <w:left w:val="single" w:sz="4" w:space="0" w:color="auto"/>
              <w:bottom w:val="single" w:sz="4" w:space="0" w:color="auto"/>
              <w:right w:val="nil"/>
            </w:tcBorders>
            <w:vAlign w:val="center"/>
            <w:hideMark/>
          </w:tcPr>
          <w:p w:rsidR="00537046" w:rsidRDefault="00573D98">
            <w:pPr>
              <w:spacing w:before="120" w:after="120" w:line="240" w:lineRule="auto"/>
              <w:jc w:val="center"/>
              <w:rPr>
                <w:rFonts w:ascii="Times New Roman" w:eastAsia="Times New Roman" w:hAnsi="Times New Roman"/>
                <w:b/>
                <w:noProof/>
                <w:sz w:val="18"/>
                <w:szCs w:val="18"/>
              </w:rPr>
            </w:pPr>
            <w:r>
              <w:rPr>
                <w:rFonts w:ascii="Times New Roman" w:hAnsi="Times New Roman"/>
                <w:b/>
                <w:noProof/>
                <w:sz w:val="18"/>
                <w:szCs w:val="18"/>
              </w:rPr>
              <w:t>Пакт за стабилност и растеж</w:t>
            </w:r>
          </w:p>
          <w:p w:rsidR="00537046" w:rsidRDefault="00573D98">
            <w:pPr>
              <w:spacing w:before="120" w:after="120" w:line="240" w:lineRule="auto"/>
              <w:jc w:val="center"/>
              <w:rPr>
                <w:rFonts w:ascii="Times New Roman" w:eastAsia="Times New Roman" w:hAnsi="Times New Roman"/>
                <w:b/>
                <w:noProof/>
                <w:sz w:val="18"/>
                <w:szCs w:val="18"/>
              </w:rPr>
            </w:pPr>
            <w:r>
              <w:rPr>
                <w:rFonts w:ascii="Times New Roman" w:hAnsi="Times New Roman"/>
                <w:b/>
                <w:noProof/>
                <w:sz w:val="18"/>
                <w:szCs w:val="18"/>
              </w:rPr>
              <w:t>(СБЦ: средносрочна бюджетна цел/ППД: Процедура при прекомерен дефиц</w:t>
            </w:r>
            <w:r>
              <w:rPr>
                <w:rFonts w:ascii="Times New Roman" w:hAnsi="Times New Roman"/>
                <w:b/>
                <w:noProof/>
                <w:sz w:val="18"/>
                <w:szCs w:val="18"/>
              </w:rPr>
              <w:t>ит)</w:t>
            </w:r>
            <w:r>
              <w:rPr>
                <w:rFonts w:ascii="Times New Roman" w:hAnsi="Times New Roman"/>
                <w:b/>
                <w:noProof/>
                <w:sz w:val="18"/>
                <w:szCs w:val="18"/>
                <w:vertAlign w:val="superscript"/>
              </w:rPr>
              <w:footnoteReference w:id="23"/>
            </w:r>
          </w:p>
        </w:tc>
        <w:tc>
          <w:tcPr>
            <w:tcW w:w="3222" w:type="dxa"/>
            <w:tcBorders>
              <w:top w:val="single" w:sz="12" w:space="0" w:color="auto"/>
              <w:left w:val="single" w:sz="4" w:space="0" w:color="auto"/>
              <w:bottom w:val="single" w:sz="4" w:space="0" w:color="auto"/>
              <w:right w:val="nil"/>
            </w:tcBorders>
            <w:vAlign w:val="center"/>
            <w:hideMark/>
          </w:tcPr>
          <w:p w:rsidR="00537046" w:rsidRDefault="00573D98">
            <w:pPr>
              <w:spacing w:before="120" w:after="120" w:line="240" w:lineRule="auto"/>
              <w:jc w:val="center"/>
              <w:rPr>
                <w:rFonts w:ascii="Times New Roman" w:eastAsia="Times New Roman" w:hAnsi="Times New Roman"/>
                <w:b/>
                <w:noProof/>
                <w:sz w:val="18"/>
                <w:szCs w:val="18"/>
              </w:rPr>
            </w:pPr>
            <w:r>
              <w:rPr>
                <w:rFonts w:ascii="Times New Roman" w:hAnsi="Times New Roman"/>
                <w:b/>
                <w:noProof/>
                <w:sz w:val="18"/>
                <w:szCs w:val="18"/>
              </w:rPr>
              <w:t>Коментари, включително промените</w:t>
            </w:r>
            <w:r>
              <w:rPr>
                <w:rFonts w:ascii="Times New Roman" w:hAnsi="Times New Roman"/>
                <w:noProof/>
                <w:sz w:val="18"/>
                <w:szCs w:val="18"/>
              </w:rPr>
              <w:br/>
            </w:r>
            <w:r>
              <w:rPr>
                <w:rFonts w:ascii="Times New Roman" w:hAnsi="Times New Roman"/>
                <w:b/>
                <w:noProof/>
                <w:sz w:val="18"/>
                <w:szCs w:val="18"/>
              </w:rPr>
              <w:t>8март 2016 г.</w:t>
            </w:r>
          </w:p>
        </w:tc>
      </w:tr>
      <w:tr w:rsidR="00537046">
        <w:trPr>
          <w:trHeight w:val="454"/>
          <w:jc w:val="center"/>
        </w:trPr>
        <w:tc>
          <w:tcPr>
            <w:tcW w:w="607" w:type="dxa"/>
            <w:tcBorders>
              <w:top w:val="single" w:sz="12"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БЕЛГИЯ</w:t>
            </w:r>
          </w:p>
        </w:tc>
        <w:tc>
          <w:tcPr>
            <w:tcW w:w="2116"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Няма дисбаланси</w:t>
            </w:r>
          </w:p>
        </w:tc>
        <w:tc>
          <w:tcPr>
            <w:tcW w:w="2923" w:type="dxa"/>
            <w:tcBorders>
              <w:top w:val="single" w:sz="12"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 xml:space="preserve">Все още не е постигната СБЦ; прилага се преходното правило за дълга </w:t>
            </w:r>
            <w:r>
              <w:rPr>
                <w:rFonts w:ascii="Times New Roman" w:hAnsi="Times New Roman"/>
                <w:noProof/>
                <w:sz w:val="18"/>
                <w:szCs w:val="18"/>
              </w:rPr>
              <w:tab/>
            </w:r>
            <w:r>
              <w:rPr>
                <w:rFonts w:ascii="Times New Roman" w:hAnsi="Times New Roman"/>
                <w:noProof/>
                <w:sz w:val="18"/>
                <w:szCs w:val="18"/>
                <w:vertAlign w:val="superscript"/>
              </w:rPr>
              <w:footnoteReference w:id="24"/>
            </w:r>
          </w:p>
        </w:tc>
        <w:tc>
          <w:tcPr>
            <w:tcW w:w="3222" w:type="dxa"/>
            <w:tcBorders>
              <w:top w:val="single" w:sz="12"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color w:val="000000"/>
                <w:sz w:val="18"/>
                <w:szCs w:val="18"/>
              </w:rPr>
              <w:t>Излиза от ПМД</w:t>
            </w: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b/>
                <w:noProof/>
                <w:sz w:val="18"/>
                <w:szCs w:val="18"/>
              </w:rPr>
              <w:t>БЪЛГАРИЯ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Прекомерни 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 xml:space="preserve">Все още не е </w:t>
            </w:r>
            <w:r>
              <w:rPr>
                <w:rFonts w:ascii="Times New Roman" w:hAnsi="Times New Roman"/>
                <w:noProof/>
                <w:sz w:val="18"/>
                <w:szCs w:val="18"/>
              </w:rPr>
              <w:t>постигната СБЦ</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ЧЕШКАТА РЕПУБЛИКА</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Постигната СБЦ</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ДАНИЯ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 xml:space="preserve">Все още не е постигната СБЦ </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ГЕРМАНИЯ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Преизпълнение на СБЦ; прилага се правилото за дълга</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ЕСТОНИЯ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 xml:space="preserve">Няма </w:t>
            </w:r>
            <w:r>
              <w:rPr>
                <w:rFonts w:ascii="Times New Roman" w:hAnsi="Times New Roman"/>
                <w:noProof/>
                <w:sz w:val="18"/>
                <w:szCs w:val="18"/>
              </w:rPr>
              <w:t>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Преизпълнение на СБЦ</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ИРЛАНДИЯ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Корективна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 xml:space="preserve">Прекомерен дефицит, срок за корекция: 2015 г. </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 прилага се преходното правило за дълга</w:t>
            </w:r>
            <w:r>
              <w:rPr>
                <w:rFonts w:ascii="Times New Roman" w:hAnsi="Times New Roman"/>
                <w:b/>
                <w:noProof/>
                <w:sz w:val="18"/>
                <w:szCs w:val="18"/>
                <w:vertAlign w:val="superscript"/>
              </w:rPr>
              <w:footnoteReference w:id="25"/>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ГЪРЦИЯ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Корективна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Прекомерен дефицит, срок за корекция: 2016 г.</w:t>
            </w:r>
          </w:p>
        </w:tc>
        <w:tc>
          <w:tcPr>
            <w:tcW w:w="3222"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Изпълнява се специална програма за финансова помощ</w:t>
            </w: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ИСПАНИЯ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Корективна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Прекомерен дефицит, срок за корекция: 2016 г.</w:t>
            </w:r>
          </w:p>
        </w:tc>
        <w:tc>
          <w:tcPr>
            <w:tcW w:w="3222"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 xml:space="preserve">Независима фискална препоръка с оглед на рисковете, свързани с </w:t>
            </w:r>
            <w:r>
              <w:rPr>
                <w:rFonts w:ascii="Times New Roman" w:hAnsi="Times New Roman"/>
                <w:noProof/>
                <w:sz w:val="18"/>
                <w:szCs w:val="18"/>
              </w:rPr>
              <w:t>навременното коригиране</w:t>
            </w: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ФРАНЦИЯ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Прекомерни 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Корективна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Прекомерен дефицит, срок за корекция: 2017 г.</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ХЪРВАТИЯ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 xml:space="preserve">Прекомерни дисбаланси </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Корективна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Прекомерен дефицит, срок за корекция: 2016 г.</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ИТАЛИЯ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 xml:space="preserve">Прекомерни </w:t>
            </w:r>
            <w:r>
              <w:rPr>
                <w:rFonts w:ascii="Times New Roman" w:hAnsi="Times New Roman"/>
                <w:noProof/>
                <w:sz w:val="18"/>
                <w:szCs w:val="18"/>
              </w:rPr>
              <w:t>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 прилага се правилото за дълга</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КИПЪР</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Корективна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Прекомерен дефицит, срок за корекция: 2016 г.</w:t>
            </w:r>
          </w:p>
        </w:tc>
        <w:tc>
          <w:tcPr>
            <w:tcW w:w="3222"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Изпълнява се специална програма за финансова помощ</w:t>
            </w: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ЛАТВИЯ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 xml:space="preserve">Предпазна част на </w:t>
            </w:r>
            <w:r>
              <w:rPr>
                <w:rFonts w:ascii="Times New Roman" w:hAnsi="Times New Roman"/>
                <w:noProof/>
                <w:sz w:val="18"/>
                <w:szCs w:val="18"/>
              </w:rPr>
              <w:t>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ЛИТВА</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ЛЮКСЕМБУРГ</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Преизпълнение на СБЦ</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УНГАРИЯ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Няма 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 прилага се правилото за</w:t>
            </w:r>
            <w:r>
              <w:rPr>
                <w:rFonts w:ascii="Times New Roman" w:hAnsi="Times New Roman"/>
                <w:noProof/>
                <w:sz w:val="18"/>
                <w:szCs w:val="18"/>
              </w:rPr>
              <w:t xml:space="preserve"> дълга</w:t>
            </w:r>
          </w:p>
        </w:tc>
        <w:tc>
          <w:tcPr>
            <w:tcW w:w="3222"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color w:val="000000"/>
                <w:sz w:val="18"/>
                <w:szCs w:val="18"/>
              </w:rPr>
              <w:t>Излизане от ПМД</w:t>
            </w: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МАЛТА</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 Предмет на правилото за дълга</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НИДЕРЛАНДИЯ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 прилага се преходното правило за дълга</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АВСТРИЯ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Няма 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 прилага се преходното правило за дълга</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ПОЛША</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ПОРТУГАЛИЯ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Прекомерни 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Корективна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 xml:space="preserve">Прекомерен дефицит, срок за корекция: 2015 г. </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 прилага се преходното правило за дълга</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РУМЪНИЯ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Няма 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w:t>
            </w:r>
          </w:p>
        </w:tc>
        <w:tc>
          <w:tcPr>
            <w:tcW w:w="3222"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color w:val="000000"/>
                <w:sz w:val="18"/>
                <w:szCs w:val="18"/>
              </w:rPr>
              <w:t>Излизане от ПМД</w:t>
            </w: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СЛОВЕНИЯ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Корективна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Прекомерен дефицит, срок за корекция: 2015 г.</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 прилага се преходното правило за дълга</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СЛОВАКИЯ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Все още не е постигната СБЦ</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ФИНЛАНДИЯ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 xml:space="preserve">Все още не е постигната СБЦ; </w:t>
            </w:r>
            <w:r>
              <w:rPr>
                <w:rFonts w:ascii="Times New Roman" w:hAnsi="Times New Roman"/>
                <w:noProof/>
                <w:sz w:val="18"/>
                <w:szCs w:val="18"/>
              </w:rPr>
              <w:t>равнището на дълга е над референтната стойност от 60 % от БВП</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ШВЕЦИЯ</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Предпазна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Постигната СБЦ</w:t>
            </w:r>
          </w:p>
        </w:tc>
        <w:tc>
          <w:tcPr>
            <w:tcW w:w="3222" w:type="dxa"/>
            <w:tcBorders>
              <w:top w:val="single" w:sz="4" w:space="0" w:color="auto"/>
              <w:left w:val="single" w:sz="4" w:space="0" w:color="auto"/>
              <w:bottom w:val="single" w:sz="4" w:space="0" w:color="auto"/>
              <w:right w:val="nil"/>
            </w:tcBorders>
            <w:shd w:val="clear" w:color="auto" w:fill="FFFFFF"/>
            <w:vAlign w:val="center"/>
          </w:tcPr>
          <w:p w:rsidR="00537046" w:rsidRDefault="00537046">
            <w:pPr>
              <w:spacing w:before="60" w:after="60" w:line="240" w:lineRule="auto"/>
              <w:jc w:val="center"/>
              <w:rPr>
                <w:rFonts w:ascii="Times New Roman" w:eastAsia="Times New Roman" w:hAnsi="Times New Roman"/>
                <w:noProof/>
                <w:sz w:val="18"/>
                <w:szCs w:val="18"/>
              </w:rPr>
            </w:pPr>
          </w:p>
        </w:tc>
      </w:tr>
      <w:tr w:rsidR="00537046">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b/>
                <w:noProof/>
                <w:sz w:val="18"/>
                <w:szCs w:val="18"/>
              </w:rPr>
            </w:pPr>
            <w:r>
              <w:rPr>
                <w:rFonts w:ascii="Times New Roman" w:hAnsi="Times New Roman"/>
                <w:b/>
                <w:noProof/>
                <w:sz w:val="18"/>
                <w:szCs w:val="18"/>
              </w:rPr>
              <w:t>ОБЕДИНЕНОТО КРАЛСТВО</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Няма дисбаланси</w:t>
            </w:r>
          </w:p>
        </w:tc>
        <w:tc>
          <w:tcPr>
            <w:tcW w:w="2923"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Корективна част на пакта</w:t>
            </w:r>
          </w:p>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sz w:val="18"/>
                <w:szCs w:val="18"/>
              </w:rPr>
              <w:t>Прекомерен дефицит, срок за корекция: 2016—17 г.</w:t>
            </w:r>
          </w:p>
        </w:tc>
        <w:tc>
          <w:tcPr>
            <w:tcW w:w="3222" w:type="dxa"/>
            <w:tcBorders>
              <w:top w:val="single" w:sz="4" w:space="0" w:color="auto"/>
              <w:left w:val="single" w:sz="4" w:space="0" w:color="auto"/>
              <w:bottom w:val="single" w:sz="4" w:space="0" w:color="auto"/>
              <w:right w:val="nil"/>
            </w:tcBorders>
            <w:shd w:val="clear" w:color="auto" w:fill="FFFFFF"/>
            <w:vAlign w:val="center"/>
            <w:hideMark/>
          </w:tcPr>
          <w:p w:rsidR="00537046" w:rsidRDefault="00573D98">
            <w:pPr>
              <w:spacing w:before="60" w:after="60" w:line="240" w:lineRule="auto"/>
              <w:jc w:val="center"/>
              <w:rPr>
                <w:rFonts w:ascii="Times New Roman" w:eastAsia="Times New Roman" w:hAnsi="Times New Roman"/>
                <w:noProof/>
                <w:sz w:val="18"/>
                <w:szCs w:val="18"/>
              </w:rPr>
            </w:pPr>
            <w:r>
              <w:rPr>
                <w:rFonts w:ascii="Times New Roman" w:hAnsi="Times New Roman"/>
                <w:noProof/>
                <w:color w:val="000000"/>
                <w:sz w:val="18"/>
                <w:szCs w:val="18"/>
              </w:rPr>
              <w:t>Излизане от ПМД</w:t>
            </w:r>
          </w:p>
        </w:tc>
      </w:tr>
    </w:tbl>
    <w:p w:rsidR="00537046" w:rsidRDefault="00573D98">
      <w:pPr>
        <w:spacing w:before="120" w:after="120" w:line="240" w:lineRule="auto"/>
        <w:rPr>
          <w:rFonts w:ascii="Times New Roman" w:hAnsi="Times New Roman"/>
          <w:noProof/>
          <w:sz w:val="18"/>
          <w:szCs w:val="18"/>
        </w:rPr>
      </w:pPr>
      <w:r>
        <w:rPr>
          <w:rFonts w:ascii="Times New Roman" w:hAnsi="Times New Roman"/>
          <w:noProof/>
          <w:sz w:val="18"/>
          <w:szCs w:val="18"/>
        </w:rPr>
        <w:t>(Състояние към 8 март 2016 г.)</w:t>
      </w:r>
    </w:p>
    <w:p w:rsidR="00537046" w:rsidRDefault="00573D98">
      <w:pPr>
        <w:spacing w:before="120" w:after="120" w:line="240" w:lineRule="auto"/>
        <w:rPr>
          <w:rFonts w:ascii="Times New Roman" w:eastAsia="Times New Roman" w:hAnsi="Times New Roman"/>
          <w:b/>
          <w:smallCaps/>
          <w:noProof/>
          <w:sz w:val="24"/>
          <w:szCs w:val="24"/>
        </w:rPr>
      </w:pPr>
      <w:r>
        <w:rPr>
          <w:rFonts w:ascii="Times New Roman" w:hAnsi="Times New Roman"/>
          <w:noProof/>
          <w:sz w:val="24"/>
          <w:szCs w:val="24"/>
        </w:rPr>
        <w:br w:type="page"/>
      </w:r>
      <w:r>
        <w:rPr>
          <w:rFonts w:ascii="Times New Roman" w:hAnsi="Times New Roman"/>
          <w:b/>
          <w:smallCaps/>
          <w:noProof/>
          <w:sz w:val="24"/>
          <w:szCs w:val="24"/>
        </w:rPr>
        <w:t>Приложение 2 — Напредък по отношение на целите на стратегията „Европа 2020“</w:t>
      </w:r>
    </w:p>
    <w:p w:rsidR="00537046" w:rsidRDefault="00537046">
      <w:pPr>
        <w:spacing w:before="120" w:after="120" w:line="240" w:lineRule="auto"/>
        <w:rPr>
          <w:rFonts w:ascii="Times New Roman" w:eastAsia="Times New Roman" w:hAnsi="Times New Roman"/>
          <w:b/>
          <w:smallCaps/>
          <w:noProof/>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84"/>
        <w:gridCol w:w="1755"/>
        <w:gridCol w:w="2252"/>
        <w:gridCol w:w="2498"/>
      </w:tblGrid>
      <w:tr w:rsidR="00537046">
        <w:tc>
          <w:tcPr>
            <w:tcW w:w="2802" w:type="dxa"/>
            <w:tcBorders>
              <w:top w:val="single" w:sz="4" w:space="0" w:color="auto"/>
              <w:left w:val="nil"/>
              <w:bottom w:val="single" w:sz="4" w:space="0" w:color="auto"/>
              <w:right w:val="single" w:sz="4" w:space="0" w:color="auto"/>
            </w:tcBorders>
            <w:hideMark/>
          </w:tcPr>
          <w:p w:rsidR="00537046" w:rsidRDefault="00573D98">
            <w:pPr>
              <w:jc w:val="center"/>
              <w:rPr>
                <w:rFonts w:ascii="Times New Roman" w:eastAsia="Times New Roman" w:hAnsi="Times New Roman"/>
                <w:b/>
                <w:noProof/>
                <w:sz w:val="18"/>
                <w:szCs w:val="18"/>
              </w:rPr>
            </w:pPr>
            <w:r>
              <w:rPr>
                <w:rFonts w:ascii="Times New Roman" w:hAnsi="Times New Roman"/>
                <w:b/>
                <w:noProof/>
                <w:sz w:val="18"/>
                <w:szCs w:val="18"/>
              </w:rPr>
              <w:t>Цели на стратегията „Европа 2020“ за ЕС</w:t>
            </w:r>
          </w:p>
        </w:tc>
        <w:tc>
          <w:tcPr>
            <w:tcW w:w="1701"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b/>
                <w:noProof/>
                <w:sz w:val="18"/>
                <w:szCs w:val="18"/>
              </w:rPr>
            </w:pPr>
            <w:r>
              <w:rPr>
                <w:rFonts w:ascii="Times New Roman" w:hAnsi="Times New Roman"/>
                <w:b/>
                <w:noProof/>
                <w:sz w:val="18"/>
                <w:szCs w:val="18"/>
              </w:rPr>
              <w:t>Данни от 2010 г.</w:t>
            </w:r>
          </w:p>
        </w:tc>
        <w:tc>
          <w:tcPr>
            <w:tcW w:w="2268"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b/>
                <w:noProof/>
                <w:sz w:val="18"/>
                <w:szCs w:val="18"/>
              </w:rPr>
            </w:pPr>
            <w:r>
              <w:rPr>
                <w:rFonts w:ascii="Times New Roman" w:hAnsi="Times New Roman"/>
                <w:b/>
                <w:noProof/>
                <w:sz w:val="18"/>
                <w:szCs w:val="18"/>
              </w:rPr>
              <w:t>Последни налични данни</w:t>
            </w:r>
          </w:p>
        </w:tc>
        <w:tc>
          <w:tcPr>
            <w:tcW w:w="2517" w:type="dxa"/>
            <w:tcBorders>
              <w:top w:val="single" w:sz="4" w:space="0" w:color="auto"/>
              <w:left w:val="single" w:sz="4" w:space="0" w:color="auto"/>
              <w:bottom w:val="single" w:sz="4" w:space="0" w:color="auto"/>
              <w:right w:val="nil"/>
            </w:tcBorders>
            <w:hideMark/>
          </w:tcPr>
          <w:p w:rsidR="00537046" w:rsidRDefault="00573D98">
            <w:pPr>
              <w:jc w:val="center"/>
              <w:rPr>
                <w:rFonts w:ascii="Times New Roman" w:eastAsia="Times New Roman" w:hAnsi="Times New Roman"/>
                <w:b/>
                <w:noProof/>
                <w:sz w:val="18"/>
                <w:szCs w:val="18"/>
              </w:rPr>
            </w:pPr>
            <w:r>
              <w:rPr>
                <w:rFonts w:ascii="Times New Roman" w:hAnsi="Times New Roman"/>
                <w:b/>
                <w:noProof/>
                <w:sz w:val="18"/>
                <w:szCs w:val="18"/>
              </w:rPr>
              <w:t>През 2020 г., въз основа на последните тенденции</w:t>
            </w:r>
          </w:p>
        </w:tc>
      </w:tr>
      <w:tr w:rsidR="00537046">
        <w:tc>
          <w:tcPr>
            <w:tcW w:w="2802" w:type="dxa"/>
            <w:tcBorders>
              <w:top w:val="single" w:sz="4" w:space="0" w:color="auto"/>
              <w:left w:val="nil"/>
              <w:bottom w:val="single" w:sz="4" w:space="0" w:color="auto"/>
              <w:right w:val="single" w:sz="4" w:space="0" w:color="auto"/>
            </w:tcBorders>
            <w:hideMark/>
          </w:tcPr>
          <w:p w:rsidR="00537046" w:rsidRDefault="00573D98">
            <w:pPr>
              <w:jc w:val="center"/>
              <w:rPr>
                <w:rFonts w:ascii="Times New Roman" w:eastAsia="Times New Roman" w:hAnsi="Times New Roman"/>
                <w:b/>
                <w:noProof/>
                <w:sz w:val="18"/>
                <w:szCs w:val="18"/>
              </w:rPr>
            </w:pPr>
            <w:r>
              <w:rPr>
                <w:rFonts w:ascii="Times New Roman" w:hAnsi="Times New Roman"/>
                <w:noProof/>
                <w:sz w:val="18"/>
                <w:szCs w:val="18"/>
              </w:rPr>
              <w:t>1. Увеличаване на</w:t>
            </w:r>
            <w:r>
              <w:rPr>
                <w:rFonts w:ascii="Times New Roman" w:hAnsi="Times New Roman"/>
                <w:noProof/>
                <w:sz w:val="18"/>
                <w:szCs w:val="18"/>
              </w:rPr>
              <w:t xml:space="preserve"> дела на заетостта на населението на възраст 20—64 години до най-малко 75 %</w:t>
            </w:r>
          </w:p>
        </w:tc>
        <w:tc>
          <w:tcPr>
            <w:tcW w:w="1701"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68,6 %</w:t>
            </w:r>
          </w:p>
        </w:tc>
        <w:tc>
          <w:tcPr>
            <w:tcW w:w="2268"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69,2% (2014 г.)70,5% (3-то тримесечие на 2015 г.)</w:t>
            </w:r>
          </w:p>
        </w:tc>
        <w:tc>
          <w:tcPr>
            <w:tcW w:w="2517" w:type="dxa"/>
            <w:tcBorders>
              <w:top w:val="single" w:sz="4" w:space="0" w:color="auto"/>
              <w:left w:val="single" w:sz="4" w:space="0" w:color="auto"/>
              <w:bottom w:val="single" w:sz="4" w:space="0" w:color="auto"/>
              <w:right w:val="nil"/>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Целта вероятно няма да бъде постигната</w:t>
            </w:r>
          </w:p>
        </w:tc>
      </w:tr>
      <w:tr w:rsidR="00537046">
        <w:tc>
          <w:tcPr>
            <w:tcW w:w="2802" w:type="dxa"/>
            <w:tcBorders>
              <w:top w:val="single" w:sz="4" w:space="0" w:color="auto"/>
              <w:left w:val="nil"/>
              <w:bottom w:val="single" w:sz="4" w:space="0" w:color="auto"/>
              <w:right w:val="single" w:sz="4" w:space="0" w:color="auto"/>
            </w:tcBorders>
            <w:hideMark/>
          </w:tcPr>
          <w:p w:rsidR="00537046" w:rsidRDefault="00573D98">
            <w:pPr>
              <w:jc w:val="center"/>
              <w:rPr>
                <w:rFonts w:ascii="Times New Roman" w:eastAsia="Times New Roman" w:hAnsi="Times New Roman"/>
                <w:b/>
                <w:noProof/>
                <w:sz w:val="18"/>
                <w:szCs w:val="18"/>
              </w:rPr>
            </w:pPr>
            <w:r>
              <w:rPr>
                <w:rFonts w:ascii="Times New Roman" w:hAnsi="Times New Roman"/>
                <w:noProof/>
                <w:sz w:val="18"/>
                <w:szCs w:val="18"/>
              </w:rPr>
              <w:t>2. Увеличаване на съвместните публични и частни инвестиции в НИРДИ до 3 % от БВП</w:t>
            </w:r>
          </w:p>
        </w:tc>
        <w:tc>
          <w:tcPr>
            <w:tcW w:w="1701"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1,93 %</w:t>
            </w:r>
          </w:p>
        </w:tc>
        <w:tc>
          <w:tcPr>
            <w:tcW w:w="2268"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2,03% (2014 г.)</w:t>
            </w:r>
          </w:p>
        </w:tc>
        <w:tc>
          <w:tcPr>
            <w:tcW w:w="2517" w:type="dxa"/>
            <w:tcBorders>
              <w:top w:val="single" w:sz="4" w:space="0" w:color="auto"/>
              <w:left w:val="single" w:sz="4" w:space="0" w:color="auto"/>
              <w:bottom w:val="single" w:sz="4" w:space="0" w:color="auto"/>
              <w:right w:val="nil"/>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Целта вероятно няма да бъде постигната</w:t>
            </w:r>
          </w:p>
        </w:tc>
      </w:tr>
      <w:tr w:rsidR="00537046">
        <w:tc>
          <w:tcPr>
            <w:tcW w:w="2802" w:type="dxa"/>
            <w:tcBorders>
              <w:top w:val="single" w:sz="4" w:space="0" w:color="auto"/>
              <w:left w:val="nil"/>
              <w:bottom w:val="single" w:sz="4" w:space="0" w:color="auto"/>
              <w:right w:val="single" w:sz="4" w:space="0" w:color="auto"/>
            </w:tcBorders>
            <w:hideMark/>
          </w:tcPr>
          <w:p w:rsidR="00537046" w:rsidRDefault="00573D98">
            <w:pPr>
              <w:jc w:val="center"/>
              <w:rPr>
                <w:rFonts w:ascii="Times New Roman" w:eastAsia="Times New Roman" w:hAnsi="Times New Roman"/>
                <w:b/>
                <w:noProof/>
                <w:sz w:val="18"/>
                <w:szCs w:val="18"/>
              </w:rPr>
            </w:pPr>
            <w:r>
              <w:rPr>
                <w:rFonts w:ascii="Times New Roman" w:hAnsi="Times New Roman"/>
                <w:noProof/>
                <w:sz w:val="18"/>
                <w:szCs w:val="18"/>
              </w:rPr>
              <w:t>3а. Намаляване на емисиите на парникови газове с най-малко 20 % в сравнение с равнищата от 1990 г.</w:t>
            </w:r>
          </w:p>
        </w:tc>
        <w:tc>
          <w:tcPr>
            <w:tcW w:w="1701"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 xml:space="preserve"> 14,3 % намаление</w:t>
            </w:r>
          </w:p>
        </w:tc>
        <w:tc>
          <w:tcPr>
            <w:tcW w:w="2268"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23 % намаление (2014 г.)</w:t>
            </w:r>
          </w:p>
        </w:tc>
        <w:tc>
          <w:tcPr>
            <w:tcW w:w="2517" w:type="dxa"/>
            <w:tcBorders>
              <w:top w:val="single" w:sz="4" w:space="0" w:color="auto"/>
              <w:left w:val="single" w:sz="4" w:space="0" w:color="auto"/>
              <w:bottom w:val="single" w:sz="4" w:space="0" w:color="auto"/>
              <w:right w:val="nil"/>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Целта вероятно ще бъде постигната</w:t>
            </w:r>
          </w:p>
        </w:tc>
      </w:tr>
      <w:tr w:rsidR="00537046">
        <w:tc>
          <w:tcPr>
            <w:tcW w:w="2802" w:type="dxa"/>
            <w:tcBorders>
              <w:top w:val="single" w:sz="4" w:space="0" w:color="auto"/>
              <w:left w:val="nil"/>
              <w:bottom w:val="single" w:sz="4" w:space="0" w:color="auto"/>
              <w:right w:val="single" w:sz="4" w:space="0" w:color="auto"/>
            </w:tcBorders>
            <w:hideMark/>
          </w:tcPr>
          <w:p w:rsidR="00537046" w:rsidRDefault="00573D98">
            <w:pPr>
              <w:jc w:val="center"/>
              <w:rPr>
                <w:rFonts w:ascii="Times New Roman" w:eastAsia="Times New Roman" w:hAnsi="Times New Roman"/>
                <w:b/>
                <w:noProof/>
                <w:sz w:val="18"/>
                <w:szCs w:val="18"/>
              </w:rPr>
            </w:pPr>
            <w:r>
              <w:rPr>
                <w:rFonts w:ascii="Times New Roman" w:hAnsi="Times New Roman"/>
                <w:noProof/>
                <w:sz w:val="18"/>
                <w:szCs w:val="18"/>
              </w:rPr>
              <w:t xml:space="preserve">3б. Увеличаване </w:t>
            </w:r>
            <w:r>
              <w:rPr>
                <w:rFonts w:ascii="Times New Roman" w:hAnsi="Times New Roman"/>
                <w:noProof/>
                <w:sz w:val="18"/>
                <w:szCs w:val="18"/>
              </w:rPr>
              <w:t>на дела на възобновяемите енергийни източници в крайното потребление на енергия на 20 %</w:t>
            </w:r>
          </w:p>
        </w:tc>
        <w:tc>
          <w:tcPr>
            <w:tcW w:w="1701"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12,8 %</w:t>
            </w:r>
          </w:p>
        </w:tc>
        <w:tc>
          <w:tcPr>
            <w:tcW w:w="2268"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16 % (2014 г.)</w:t>
            </w:r>
          </w:p>
        </w:tc>
        <w:tc>
          <w:tcPr>
            <w:tcW w:w="2517" w:type="dxa"/>
            <w:tcBorders>
              <w:top w:val="single" w:sz="4" w:space="0" w:color="auto"/>
              <w:left w:val="single" w:sz="4" w:space="0" w:color="auto"/>
              <w:bottom w:val="single" w:sz="4" w:space="0" w:color="auto"/>
              <w:right w:val="nil"/>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Целта вероятно ще бъде постигната</w:t>
            </w:r>
          </w:p>
        </w:tc>
      </w:tr>
      <w:tr w:rsidR="00537046">
        <w:tc>
          <w:tcPr>
            <w:tcW w:w="2802" w:type="dxa"/>
            <w:tcBorders>
              <w:top w:val="single" w:sz="4" w:space="0" w:color="auto"/>
              <w:left w:val="nil"/>
              <w:bottom w:val="single" w:sz="4" w:space="0" w:color="auto"/>
              <w:right w:val="single" w:sz="4" w:space="0" w:color="auto"/>
            </w:tcBorders>
            <w:hideMark/>
          </w:tcPr>
          <w:p w:rsidR="00537046" w:rsidRDefault="00573D98">
            <w:pPr>
              <w:jc w:val="center"/>
              <w:rPr>
                <w:rFonts w:ascii="Times New Roman" w:eastAsia="Times New Roman" w:hAnsi="Times New Roman"/>
                <w:b/>
                <w:noProof/>
                <w:sz w:val="18"/>
                <w:szCs w:val="18"/>
              </w:rPr>
            </w:pPr>
            <w:r>
              <w:rPr>
                <w:rFonts w:ascii="Times New Roman" w:hAnsi="Times New Roman"/>
                <w:noProof/>
                <w:sz w:val="18"/>
                <w:szCs w:val="18"/>
              </w:rPr>
              <w:t>3в. Напредък към 20 % увеличение на енергийната ефективност</w:t>
            </w:r>
          </w:p>
        </w:tc>
        <w:tc>
          <w:tcPr>
            <w:tcW w:w="1701"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5,6% увеличение (за първичното енергопотребление)</w:t>
            </w:r>
          </w:p>
        </w:tc>
        <w:tc>
          <w:tcPr>
            <w:tcW w:w="2268"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pacing w:val="-2"/>
                <w:sz w:val="18"/>
                <w:szCs w:val="18"/>
              </w:rPr>
            </w:pPr>
            <w:r>
              <w:rPr>
                <w:rFonts w:ascii="Times New Roman" w:hAnsi="Times New Roman"/>
                <w:noProof/>
                <w:spacing w:val="-2"/>
                <w:sz w:val="18"/>
                <w:szCs w:val="18"/>
              </w:rPr>
              <w:t>15,7% увеличение (2014 г.)</w:t>
            </w:r>
          </w:p>
        </w:tc>
        <w:tc>
          <w:tcPr>
            <w:tcW w:w="2517" w:type="dxa"/>
            <w:tcBorders>
              <w:top w:val="single" w:sz="4" w:space="0" w:color="auto"/>
              <w:left w:val="single" w:sz="4" w:space="0" w:color="auto"/>
              <w:bottom w:val="single" w:sz="4" w:space="0" w:color="auto"/>
              <w:right w:val="nil"/>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Целта вероятно ще бъде постигната</w:t>
            </w:r>
          </w:p>
        </w:tc>
      </w:tr>
      <w:tr w:rsidR="00537046">
        <w:tc>
          <w:tcPr>
            <w:tcW w:w="2802" w:type="dxa"/>
            <w:tcBorders>
              <w:top w:val="single" w:sz="4" w:space="0" w:color="auto"/>
              <w:left w:val="nil"/>
              <w:bottom w:val="single" w:sz="4" w:space="0" w:color="auto"/>
              <w:right w:val="single" w:sz="4" w:space="0" w:color="auto"/>
            </w:tcBorders>
            <w:hideMark/>
          </w:tcPr>
          <w:p w:rsidR="00537046" w:rsidRDefault="00573D98">
            <w:pPr>
              <w:jc w:val="center"/>
              <w:rPr>
                <w:rFonts w:ascii="Times New Roman" w:eastAsia="Times New Roman" w:hAnsi="Times New Roman"/>
                <w:b/>
                <w:noProof/>
                <w:sz w:val="18"/>
                <w:szCs w:val="18"/>
              </w:rPr>
            </w:pPr>
            <w:r>
              <w:rPr>
                <w:rFonts w:ascii="Times New Roman" w:hAnsi="Times New Roman"/>
                <w:noProof/>
                <w:sz w:val="18"/>
                <w:szCs w:val="18"/>
              </w:rPr>
              <w:t>4а. Намаляване на дела на преждевременно напускащите училище под 10 %</w:t>
            </w:r>
          </w:p>
        </w:tc>
        <w:tc>
          <w:tcPr>
            <w:tcW w:w="1701"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13,9 %</w:t>
            </w:r>
          </w:p>
        </w:tc>
        <w:tc>
          <w:tcPr>
            <w:tcW w:w="2268"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11,2 % (2014 г.)</w:t>
            </w:r>
          </w:p>
        </w:tc>
        <w:tc>
          <w:tcPr>
            <w:tcW w:w="2517" w:type="dxa"/>
            <w:tcBorders>
              <w:top w:val="single" w:sz="4" w:space="0" w:color="auto"/>
              <w:left w:val="single" w:sz="4" w:space="0" w:color="auto"/>
              <w:bottom w:val="single" w:sz="4" w:space="0" w:color="auto"/>
              <w:right w:val="nil"/>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Целта вероятно ще бъде постигната</w:t>
            </w:r>
          </w:p>
        </w:tc>
      </w:tr>
      <w:tr w:rsidR="00537046">
        <w:tc>
          <w:tcPr>
            <w:tcW w:w="2802" w:type="dxa"/>
            <w:tcBorders>
              <w:top w:val="single" w:sz="4" w:space="0" w:color="auto"/>
              <w:left w:val="nil"/>
              <w:bottom w:val="single" w:sz="4" w:space="0" w:color="auto"/>
              <w:right w:val="single" w:sz="4" w:space="0" w:color="auto"/>
            </w:tcBorders>
            <w:hideMark/>
          </w:tcPr>
          <w:p w:rsidR="00537046" w:rsidRDefault="00573D98">
            <w:pPr>
              <w:jc w:val="center"/>
              <w:rPr>
                <w:rFonts w:ascii="Times New Roman" w:eastAsia="Times New Roman" w:hAnsi="Times New Roman"/>
                <w:b/>
                <w:noProof/>
                <w:sz w:val="18"/>
                <w:szCs w:val="18"/>
              </w:rPr>
            </w:pPr>
            <w:r>
              <w:rPr>
                <w:rFonts w:ascii="Times New Roman" w:hAnsi="Times New Roman"/>
                <w:noProof/>
                <w:sz w:val="18"/>
                <w:szCs w:val="18"/>
              </w:rPr>
              <w:t xml:space="preserve">4б. Увеличаване на дела на населението на възраст 30—34 години </w:t>
            </w:r>
            <w:r>
              <w:rPr>
                <w:rFonts w:ascii="Times New Roman" w:hAnsi="Times New Roman"/>
                <w:noProof/>
                <w:sz w:val="18"/>
                <w:szCs w:val="18"/>
              </w:rPr>
              <w:t>със завършено висше образование до най-малко 40 %</w:t>
            </w:r>
          </w:p>
        </w:tc>
        <w:tc>
          <w:tcPr>
            <w:tcW w:w="1701"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33,8%</w:t>
            </w:r>
            <w:r>
              <w:rPr>
                <w:rFonts w:ascii="Times New Roman" w:hAnsi="Times New Roman"/>
                <w:noProof/>
                <w:sz w:val="18"/>
                <w:szCs w:val="18"/>
              </w:rPr>
              <w:tab/>
            </w:r>
          </w:p>
        </w:tc>
        <w:tc>
          <w:tcPr>
            <w:tcW w:w="2268"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37,9% (2014 г.)</w:t>
            </w:r>
          </w:p>
        </w:tc>
        <w:tc>
          <w:tcPr>
            <w:tcW w:w="2517" w:type="dxa"/>
            <w:tcBorders>
              <w:top w:val="single" w:sz="4" w:space="0" w:color="auto"/>
              <w:left w:val="single" w:sz="4" w:space="0" w:color="auto"/>
              <w:bottom w:val="single" w:sz="4" w:space="0" w:color="auto"/>
              <w:right w:val="nil"/>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Целта вероятно ще да бъде постигната</w:t>
            </w:r>
          </w:p>
        </w:tc>
      </w:tr>
      <w:tr w:rsidR="00537046">
        <w:tc>
          <w:tcPr>
            <w:tcW w:w="2802" w:type="dxa"/>
            <w:tcBorders>
              <w:top w:val="single" w:sz="4" w:space="0" w:color="auto"/>
              <w:left w:val="nil"/>
              <w:bottom w:val="single" w:sz="4" w:space="0" w:color="auto"/>
              <w:right w:val="single" w:sz="4" w:space="0" w:color="auto"/>
            </w:tcBorders>
            <w:hideMark/>
          </w:tcPr>
          <w:p w:rsidR="00537046" w:rsidRDefault="00573D98">
            <w:pPr>
              <w:jc w:val="center"/>
              <w:rPr>
                <w:rFonts w:ascii="Times New Roman" w:eastAsia="Times New Roman" w:hAnsi="Times New Roman"/>
                <w:b/>
                <w:noProof/>
                <w:sz w:val="18"/>
                <w:szCs w:val="18"/>
              </w:rPr>
            </w:pPr>
            <w:r>
              <w:rPr>
                <w:rFonts w:ascii="Times New Roman" w:hAnsi="Times New Roman"/>
                <w:noProof/>
                <w:sz w:val="18"/>
                <w:szCs w:val="18"/>
              </w:rPr>
              <w:t>5. Преодоляване на риска от бедност и социално изключване за най-малко 20 милиона души</w:t>
            </w:r>
          </w:p>
        </w:tc>
        <w:tc>
          <w:tcPr>
            <w:tcW w:w="1701"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Увеличение с 1,4 милиона (в сравнение с базовата година 20</w:t>
            </w:r>
            <w:r>
              <w:rPr>
                <w:rFonts w:ascii="Times New Roman" w:hAnsi="Times New Roman"/>
                <w:noProof/>
                <w:sz w:val="18"/>
                <w:szCs w:val="18"/>
              </w:rPr>
              <w:t>08)</w:t>
            </w:r>
          </w:p>
        </w:tc>
        <w:tc>
          <w:tcPr>
            <w:tcW w:w="2268" w:type="dxa"/>
            <w:tcBorders>
              <w:top w:val="single" w:sz="4" w:space="0" w:color="auto"/>
              <w:left w:val="single" w:sz="4" w:space="0" w:color="auto"/>
              <w:bottom w:val="single" w:sz="4" w:space="0" w:color="auto"/>
              <w:right w:val="single" w:sz="4" w:space="0" w:color="auto"/>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Увеличение с 4,5 милиона (2014 г.)</w:t>
            </w:r>
          </w:p>
        </w:tc>
        <w:tc>
          <w:tcPr>
            <w:tcW w:w="2517" w:type="dxa"/>
            <w:tcBorders>
              <w:top w:val="single" w:sz="4" w:space="0" w:color="auto"/>
              <w:left w:val="single" w:sz="4" w:space="0" w:color="auto"/>
              <w:bottom w:val="single" w:sz="4" w:space="0" w:color="auto"/>
              <w:right w:val="nil"/>
            </w:tcBorders>
            <w:hideMark/>
          </w:tcPr>
          <w:p w:rsidR="00537046" w:rsidRDefault="00573D98">
            <w:pPr>
              <w:jc w:val="center"/>
              <w:rPr>
                <w:rFonts w:ascii="Times New Roman" w:eastAsia="Times New Roman" w:hAnsi="Times New Roman"/>
                <w:noProof/>
                <w:sz w:val="18"/>
                <w:szCs w:val="18"/>
              </w:rPr>
            </w:pPr>
            <w:r>
              <w:rPr>
                <w:rFonts w:ascii="Times New Roman" w:hAnsi="Times New Roman"/>
                <w:noProof/>
                <w:sz w:val="18"/>
                <w:szCs w:val="18"/>
              </w:rPr>
              <w:t>Целта вероятно няма да бъде постигната</w:t>
            </w:r>
          </w:p>
        </w:tc>
      </w:tr>
    </w:tbl>
    <w:p w:rsidR="00537046" w:rsidRDefault="00537046">
      <w:pPr>
        <w:rPr>
          <w:rFonts w:ascii="Times New Roman" w:hAnsi="Times New Roman"/>
          <w:b/>
          <w:noProof/>
          <w:sz w:val="18"/>
          <w:szCs w:val="18"/>
        </w:rPr>
      </w:pPr>
    </w:p>
    <w:p w:rsidR="00537046" w:rsidRDefault="00537046">
      <w:pPr>
        <w:spacing w:before="120" w:after="120" w:line="240" w:lineRule="auto"/>
        <w:jc w:val="both"/>
        <w:rPr>
          <w:rFonts w:ascii="Times New Roman" w:hAnsi="Times New Roman"/>
          <w:noProof/>
          <w:sz w:val="18"/>
          <w:szCs w:val="18"/>
        </w:rPr>
      </w:pPr>
    </w:p>
    <w:p w:rsidR="00537046" w:rsidRDefault="00537046">
      <w:pPr>
        <w:spacing w:before="120" w:after="120" w:line="240" w:lineRule="auto"/>
        <w:jc w:val="center"/>
        <w:rPr>
          <w:rFonts w:ascii="Times New Roman" w:hAnsi="Times New Roman"/>
          <w:noProof/>
          <w:sz w:val="18"/>
          <w:szCs w:val="18"/>
        </w:rPr>
      </w:pPr>
    </w:p>
    <w:p w:rsidR="00537046" w:rsidRDefault="00537046">
      <w:pPr>
        <w:spacing w:before="120" w:after="120" w:line="240" w:lineRule="auto"/>
        <w:ind w:left="3600"/>
        <w:rPr>
          <w:rFonts w:ascii="Times New Roman" w:hAnsi="Times New Roman"/>
          <w:noProof/>
          <w:sz w:val="18"/>
          <w:szCs w:val="18"/>
        </w:rPr>
      </w:pPr>
    </w:p>
    <w:p w:rsidR="00537046" w:rsidRDefault="00537046">
      <w:pPr>
        <w:spacing w:before="120" w:after="120" w:line="240" w:lineRule="auto"/>
        <w:ind w:left="3600"/>
        <w:rPr>
          <w:rFonts w:ascii="Times New Roman" w:hAnsi="Times New Roman"/>
          <w:noProof/>
          <w:sz w:val="18"/>
          <w:szCs w:val="18"/>
        </w:rPr>
      </w:pPr>
    </w:p>
    <w:p w:rsidR="00537046" w:rsidRDefault="00573D98">
      <w:pPr>
        <w:spacing w:before="120" w:after="120" w:line="240" w:lineRule="auto"/>
        <w:rPr>
          <w:rFonts w:ascii="Times New Roman" w:eastAsia="Times New Roman" w:hAnsi="Times New Roman"/>
          <w:b/>
          <w:smallCaps/>
          <w:noProof/>
          <w:sz w:val="24"/>
          <w:szCs w:val="24"/>
        </w:rPr>
      </w:pPr>
      <w:r>
        <w:rPr>
          <w:rFonts w:ascii="Times New Roman" w:hAnsi="Times New Roman"/>
          <w:noProof/>
          <w:sz w:val="18"/>
          <w:szCs w:val="18"/>
        </w:rPr>
        <w:br w:type="page"/>
      </w:r>
      <w:r>
        <w:rPr>
          <w:rFonts w:ascii="Times New Roman" w:hAnsi="Times New Roman"/>
          <w:b/>
          <w:smallCaps/>
          <w:noProof/>
          <w:sz w:val="24"/>
          <w:szCs w:val="24"/>
        </w:rPr>
        <w:t>Приложение 3 — Констатации от задълбочените прегледи по държави членки</w:t>
      </w:r>
    </w:p>
    <w:p w:rsidR="00537046" w:rsidRDefault="00537046">
      <w:pPr>
        <w:spacing w:after="0" w:line="240" w:lineRule="auto"/>
        <w:jc w:val="both"/>
        <w:rPr>
          <w:rFonts w:ascii="Times New Roman" w:hAnsi="Times New Roman"/>
          <w:b/>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Белгия</w:t>
      </w:r>
      <w:r>
        <w:rPr>
          <w:rFonts w:ascii="Times New Roman" w:hAnsi="Times New Roman"/>
          <w:noProof/>
          <w:sz w:val="24"/>
          <w:szCs w:val="24"/>
        </w:rPr>
        <w:t xml:space="preserve"> не изпитва макроикономически дисбаланси. Слабите износ и конкурентоспособност са съчетани с голяма публична задлъжнялост, което би могло да доведе до рискове в бъдеще. Последните развития сочат обаче стабилизиране на пазарните дялове на износа и намаляван</w:t>
      </w:r>
      <w:r>
        <w:rPr>
          <w:rFonts w:ascii="Times New Roman" w:hAnsi="Times New Roman"/>
          <w:noProof/>
          <w:sz w:val="24"/>
          <w:szCs w:val="24"/>
        </w:rPr>
        <w:t xml:space="preserve">е на увеличението на заплатите. Въпреки че публичната задлъжнялост е голяма без стабилна низходяща тенденция, което предполага уязвимост, краткосрочните рискове изглеждат овладени. Неотдавнашните мерки на политиката включват ограничаване на заплатите и на </w:t>
      </w:r>
      <w:r>
        <w:rPr>
          <w:rFonts w:ascii="Times New Roman" w:hAnsi="Times New Roman"/>
          <w:noProof/>
          <w:sz w:val="24"/>
          <w:szCs w:val="24"/>
        </w:rPr>
        <w:t>вноските за социално осигуряване. За да се гарантира устойчивостта на корекцията, ще са необходими структурни реформи на уредбата за определяне на заплатите. Фискалната корекция, необходима за гарантирането на дългосрочната устойчивост на публичните финанс</w:t>
      </w:r>
      <w:r>
        <w:rPr>
          <w:rFonts w:ascii="Times New Roman" w:hAnsi="Times New Roman"/>
          <w:noProof/>
          <w:sz w:val="24"/>
          <w:szCs w:val="24"/>
        </w:rPr>
        <w:t xml:space="preserve">и, е по-трудна в условията на по-слаб номинален растеж. </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България</w:t>
      </w:r>
      <w:r>
        <w:rPr>
          <w:rFonts w:ascii="Times New Roman" w:hAnsi="Times New Roman"/>
          <w:noProof/>
          <w:sz w:val="24"/>
          <w:szCs w:val="24"/>
        </w:rPr>
        <w:t xml:space="preserve"> изпитва прекомерни макроикономически дисбаланси. Икономиката се характеризира с оставащи слабости във финансовия сектор и значителната корпоративна задлъжнялост в контекста на висока безраб</w:t>
      </w:r>
      <w:r>
        <w:rPr>
          <w:rFonts w:ascii="Times New Roman" w:hAnsi="Times New Roman"/>
          <w:noProof/>
          <w:sz w:val="24"/>
          <w:szCs w:val="24"/>
        </w:rPr>
        <w:t>отица. Въпреки че ликвидността и рентабилността на банковия сектор се подобриха, една по-обстойна оценка на сектора може да се основава само на предстоящия анализ на качеството на активите и стрес тестовете. Дългосрочната безработица се е увеличила още пов</w:t>
      </w:r>
      <w:r>
        <w:rPr>
          <w:rFonts w:ascii="Times New Roman" w:hAnsi="Times New Roman"/>
          <w:noProof/>
          <w:sz w:val="24"/>
          <w:szCs w:val="24"/>
        </w:rPr>
        <w:t>ече в контекста на проблемите с корекцията, свързани с напрежението на пазара на труда, като несъответствията между търсените и предлаганите умения възпрепятстват създаването на работни места. В бъдеще планът за реформа и развитие на банковия надзор все ощ</w:t>
      </w:r>
      <w:r>
        <w:rPr>
          <w:rFonts w:ascii="Times New Roman" w:hAnsi="Times New Roman"/>
          <w:noProof/>
          <w:sz w:val="24"/>
          <w:szCs w:val="24"/>
        </w:rPr>
        <w:t>е трябва да бъде приложен изцяло и подобряването на ефективността на производствата по несъстоятелност продължава да бъде предизвикателство, а законодателните предложения са в процес на подготовка. Освен това все още не са отстранени слабостите в небанкови</w:t>
      </w:r>
      <w:r>
        <w:rPr>
          <w:rFonts w:ascii="Times New Roman" w:hAnsi="Times New Roman"/>
          <w:noProof/>
          <w:sz w:val="24"/>
          <w:szCs w:val="24"/>
        </w:rPr>
        <w:t>я сектор .</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Германия</w:t>
      </w:r>
      <w:r>
        <w:rPr>
          <w:rFonts w:ascii="Times New Roman" w:hAnsi="Times New Roman"/>
          <w:noProof/>
          <w:sz w:val="24"/>
          <w:szCs w:val="24"/>
        </w:rPr>
        <w:t xml:space="preserve"> изпитва макроикономически дисбаланси. Големите и продължителните излишъци по текущата сметка имат трансгранично значение и отразяват прекомерните спестявания и недостатъчните инвестиции в частния и публичния сектор. Слабите вътрешни ин</w:t>
      </w:r>
      <w:r>
        <w:rPr>
          <w:rFonts w:ascii="Times New Roman" w:hAnsi="Times New Roman"/>
          <w:noProof/>
          <w:sz w:val="24"/>
          <w:szCs w:val="24"/>
        </w:rPr>
        <w:t>вестиции затрудняват потенциалния растеж и голямата зависимост от външно търсене води до макроикономически рискове в контекста на слабото външно търсене. Докато частното потребление се е подобрило донякъде, слабостта на инвестициите изглежда дълбоко вкорен</w:t>
      </w:r>
      <w:r>
        <w:rPr>
          <w:rFonts w:ascii="Times New Roman" w:hAnsi="Times New Roman"/>
          <w:noProof/>
          <w:sz w:val="24"/>
          <w:szCs w:val="24"/>
        </w:rPr>
        <w:t>ена. Публичните инвестиции намаляха, въпреки наличните бюджетни възможности и благоприятните условия на финансиране, а стъпките, предприети за увеличаване на публичните инвестиции, са недостатъчни, за да се справят с недостига на инвестиции в инфраструктур</w:t>
      </w:r>
      <w:r>
        <w:rPr>
          <w:rFonts w:ascii="Times New Roman" w:hAnsi="Times New Roman"/>
          <w:noProof/>
          <w:sz w:val="24"/>
          <w:szCs w:val="24"/>
        </w:rPr>
        <w:t>ата. Необходими са по-нататъшни действия за улесняване на условията за частните инвестиции, включително чрез реформа на сектора на услугите и подобряване на ефективността на данъчната система.</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Естония</w:t>
      </w:r>
      <w:r>
        <w:rPr>
          <w:rFonts w:ascii="Times New Roman" w:hAnsi="Times New Roman"/>
          <w:noProof/>
          <w:sz w:val="24"/>
          <w:szCs w:val="24"/>
        </w:rPr>
        <w:t xml:space="preserve"> изпитва макроикономически дисбаланси. Повишаването на </w:t>
      </w:r>
      <w:r>
        <w:rPr>
          <w:rFonts w:ascii="Times New Roman" w:hAnsi="Times New Roman"/>
          <w:noProof/>
          <w:sz w:val="24"/>
          <w:szCs w:val="24"/>
        </w:rPr>
        <w:t>разходите за труд за единица продукция може да изложи държавата на загуба на конкурентоспособност, но се предвижда тя да е лека с оглед на нарасналата производителност и спада на реалния прираст на заплатите. Цените на жилищата се повишиха значително, мака</w:t>
      </w:r>
      <w:r>
        <w:rPr>
          <w:rFonts w:ascii="Times New Roman" w:hAnsi="Times New Roman"/>
          <w:noProof/>
          <w:sz w:val="24"/>
          <w:szCs w:val="24"/>
        </w:rPr>
        <w:t>р и в съответствие с развитието на доходите, а предлагането на пазара на недвижими имоти се очаква да се адаптира към възстановяващото се търсене. Независимо от това, по-нататъшно увеличение на цените може да създаде рискове за реалната икономика, поради к</w:t>
      </w:r>
      <w:r>
        <w:rPr>
          <w:rFonts w:ascii="Times New Roman" w:hAnsi="Times New Roman"/>
          <w:noProof/>
          <w:sz w:val="24"/>
          <w:szCs w:val="24"/>
        </w:rPr>
        <w:t>оето е необходимо повишено внимание. Трябва да се увеличат политическите усилия за стимулиране на производителността и на износа с по-висока добавена стойност, а усилията за увеличаване на предлагането на работна ръка и за намаляване на натиска за повишава</w:t>
      </w:r>
      <w:r>
        <w:rPr>
          <w:rFonts w:ascii="Times New Roman" w:hAnsi="Times New Roman"/>
          <w:noProof/>
          <w:sz w:val="24"/>
          <w:szCs w:val="24"/>
        </w:rPr>
        <w:t>не на заплатите все още са на ранен етап. Бяха въведени няколко макропруденциални политики с въздействие върху цените на жилищата, които предстои да бъдат оценени.</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Ирландия</w:t>
      </w:r>
      <w:r>
        <w:rPr>
          <w:rFonts w:ascii="Times New Roman" w:hAnsi="Times New Roman"/>
          <w:noProof/>
          <w:sz w:val="24"/>
          <w:szCs w:val="24"/>
        </w:rPr>
        <w:t xml:space="preserve"> изпитва макроикономически дисбаланси. Големите обеми нетни външни задължения, какт</w:t>
      </w:r>
      <w:r>
        <w:rPr>
          <w:rFonts w:ascii="Times New Roman" w:hAnsi="Times New Roman"/>
          <w:noProof/>
          <w:sz w:val="24"/>
          <w:szCs w:val="24"/>
        </w:rPr>
        <w:t>о и на държавния и частния дълг представляват слабости, въпреки подобренията. Нетните външни пасиви показват рязко низходяща тенденция с оглед на големия излишък по текущата сметка и повишаването на конкурентоспособността. Публичният и частният дълг следва</w:t>
      </w:r>
      <w:r>
        <w:rPr>
          <w:rFonts w:ascii="Times New Roman" w:hAnsi="Times New Roman"/>
          <w:noProof/>
          <w:sz w:val="24"/>
          <w:szCs w:val="24"/>
        </w:rPr>
        <w:t>т низходяща тенденция благодарение на благоприятните условия за растеж. Банките са добре рекапитализирани и печалбите им се подобряват. Необслужваните заеми спадат от предишните си високи равнища. Въпреки значителния скок в цените на недвижимите имоти през</w:t>
      </w:r>
      <w:r>
        <w:rPr>
          <w:rFonts w:ascii="Times New Roman" w:hAnsi="Times New Roman"/>
          <w:noProof/>
          <w:sz w:val="24"/>
          <w:szCs w:val="24"/>
        </w:rPr>
        <w:t xml:space="preserve"> 2014 г., няма ясни признаци за надценяване. Въпреки това икономиката продължава да е изложена на потенциално значими циклични колебания и външни сътресения. Предприет е широк набор от политически мерки, по-специално по време на програмата за финансова пом</w:t>
      </w:r>
      <w:r>
        <w:rPr>
          <w:rFonts w:ascii="Times New Roman" w:hAnsi="Times New Roman"/>
          <w:noProof/>
          <w:sz w:val="24"/>
          <w:szCs w:val="24"/>
        </w:rPr>
        <w:t>ощ, за да се посрещнат основните предизвикателства по отношение на оздравяването на банковия сектор, уредбата за несъстоятелност, пазара на жилища и фискалната устойчивост.</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Испания</w:t>
      </w:r>
      <w:r>
        <w:rPr>
          <w:rFonts w:ascii="Times New Roman" w:hAnsi="Times New Roman"/>
          <w:noProof/>
          <w:sz w:val="24"/>
          <w:szCs w:val="24"/>
        </w:rPr>
        <w:t xml:space="preserve"> изпитва макроикономически дисбаланси. Значителните финансови дисбаланси по</w:t>
      </w:r>
      <w:r>
        <w:rPr>
          <w:rFonts w:ascii="Times New Roman" w:hAnsi="Times New Roman"/>
          <w:noProof/>
          <w:sz w:val="24"/>
          <w:szCs w:val="24"/>
        </w:rPr>
        <w:t>д формата на вътрешен и външен дълг както публичен, така и частен, продължават да представляват слабости в контекста на висока безработица и имат трансгранично значение. Салдото по текущата сметка и разходната конкурентоспособност се подобряват, но не се о</w:t>
      </w:r>
      <w:r>
        <w:rPr>
          <w:rFonts w:ascii="Times New Roman" w:hAnsi="Times New Roman"/>
          <w:noProof/>
          <w:sz w:val="24"/>
          <w:szCs w:val="24"/>
        </w:rPr>
        <w:t xml:space="preserve">чаква нетните външни задължения да достигнат бързо разумни равнища. В ход е намаляване на задлъжнялостта на частния сектор и това се подкрепя от благоприятните условия на растеж, като същевременно държавният дълг продължава да расте. Предприети са мерки в </w:t>
      </w:r>
      <w:r>
        <w:rPr>
          <w:rFonts w:ascii="Times New Roman" w:hAnsi="Times New Roman"/>
          <w:noProof/>
          <w:sz w:val="24"/>
          <w:szCs w:val="24"/>
        </w:rPr>
        <w:t>областта на финансовия сектор, уредбата за обявяване в несъстоятелност на дружества и физически лица, както и в законодателството за защита на заетостта. Необходими са обаче допълнителни действия, по-специално по отношение на процеса за определяне на запла</w:t>
      </w:r>
      <w:r>
        <w:rPr>
          <w:rFonts w:ascii="Times New Roman" w:hAnsi="Times New Roman"/>
          <w:noProof/>
          <w:sz w:val="24"/>
          <w:szCs w:val="24"/>
        </w:rPr>
        <w:t xml:space="preserve">тите, на иновациите и уменията и спазването на Пакта за стабилност и растеж. </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Франция</w:t>
      </w:r>
      <w:r>
        <w:rPr>
          <w:rFonts w:ascii="Times New Roman" w:hAnsi="Times New Roman"/>
          <w:noProof/>
          <w:sz w:val="24"/>
          <w:szCs w:val="24"/>
        </w:rPr>
        <w:t xml:space="preserve"> изпитва прекомерни макроикономически дисбаланси. Значителният държавен дълг в съчетание с влошеното увеличение на производителността и конкурентоспособността може да пор</w:t>
      </w:r>
      <w:r>
        <w:rPr>
          <w:rFonts w:ascii="Times New Roman" w:hAnsi="Times New Roman"/>
          <w:noProof/>
          <w:sz w:val="24"/>
          <w:szCs w:val="24"/>
        </w:rPr>
        <w:t>оди в бъдеще рискове с трансгранично значение. Държавният дълг продължава да нараства и последните развития не показват ясно нарастване на конкурентоспособността и производителността. Въпреки че маржовете на печалбата са се увеличили, не се очаква възстано</w:t>
      </w:r>
      <w:r>
        <w:rPr>
          <w:rFonts w:ascii="Times New Roman" w:hAnsi="Times New Roman"/>
          <w:noProof/>
          <w:sz w:val="24"/>
          <w:szCs w:val="24"/>
        </w:rPr>
        <w:t xml:space="preserve">вяване на инвестициите преди 2017 г. Бяха предприети мерки на политиката за намаляване на разликата в данъчното облагане на труда, а политическите ангажименти бяха засилени в последно време. Въпреки това ефективното провеждане на структурни реформи остава </w:t>
      </w:r>
      <w:r>
        <w:rPr>
          <w:rFonts w:ascii="Times New Roman" w:hAnsi="Times New Roman"/>
          <w:noProof/>
          <w:sz w:val="24"/>
          <w:szCs w:val="24"/>
        </w:rPr>
        <w:t>от първостепенно значение, включително по отношение на системата за определяне на заплатите, регулаторните пречки пред растежа на фирмите, докато амбицията за преразглеждане на разходите трябва да се засили.</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Хърватия</w:t>
      </w:r>
      <w:r>
        <w:rPr>
          <w:rFonts w:ascii="Times New Roman" w:hAnsi="Times New Roman"/>
          <w:noProof/>
          <w:sz w:val="24"/>
          <w:szCs w:val="24"/>
        </w:rPr>
        <w:t xml:space="preserve"> изпитва прекомерни макроикономически д</w:t>
      </w:r>
      <w:r>
        <w:rPr>
          <w:rFonts w:ascii="Times New Roman" w:hAnsi="Times New Roman"/>
          <w:noProof/>
          <w:sz w:val="24"/>
          <w:szCs w:val="24"/>
        </w:rPr>
        <w:t>исбаланси. Слабостите са свързани с високи равнища на държавния, корпоративния и външния дълг в контекста на високата безработица. Скромното икономическо възстановяване се очаква да улесни намаляването на корпоративната задлъжнялост, а подобрението на бала</w:t>
      </w:r>
      <w:r>
        <w:rPr>
          <w:rFonts w:ascii="Times New Roman" w:hAnsi="Times New Roman"/>
          <w:noProof/>
          <w:sz w:val="24"/>
          <w:szCs w:val="24"/>
        </w:rPr>
        <w:t>нса по текущата сметка следва да допринесе за намаляването на външните задължения, но се очаква публичният дълг да продължи да нараства. В банковия сектор необслужваните кредити остават многобройни, а рентабилността е слаба. Необходими са допълнителни конс</w:t>
      </w:r>
      <w:r>
        <w:rPr>
          <w:rFonts w:ascii="Times New Roman" w:hAnsi="Times New Roman"/>
          <w:noProof/>
          <w:sz w:val="24"/>
          <w:szCs w:val="24"/>
        </w:rPr>
        <w:t xml:space="preserve">олидационни усилия и подобрения на фискалното управление. Въпреки че бяха предприети мерки за подобряване на уредбата на несъстоятелността и за увеличаване на гъвкавостта на пазара на труда, остават значителни пропуски в политиката, за които са необходими </w:t>
      </w:r>
      <w:r>
        <w:rPr>
          <w:rFonts w:ascii="Times New Roman" w:hAnsi="Times New Roman"/>
          <w:noProof/>
          <w:sz w:val="24"/>
          <w:szCs w:val="24"/>
        </w:rPr>
        <w:t>специфични действия на политиката, по-специално по отношение на управлението на държавните предприятия, ефективността на публичната администрация и преструктурирането на необслужваните заеми.</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Италия</w:t>
      </w:r>
      <w:r>
        <w:rPr>
          <w:rFonts w:ascii="Times New Roman" w:hAnsi="Times New Roman"/>
          <w:noProof/>
          <w:sz w:val="24"/>
          <w:szCs w:val="24"/>
        </w:rPr>
        <w:t xml:space="preserve"> изпитва прекомерни макроикономически дисбаланси. Големия</w:t>
      </w:r>
      <w:r>
        <w:rPr>
          <w:rFonts w:ascii="Times New Roman" w:hAnsi="Times New Roman"/>
          <w:noProof/>
          <w:sz w:val="24"/>
          <w:szCs w:val="24"/>
        </w:rPr>
        <w:t xml:space="preserve">т държавен дълг и продължителната слаба динамика на производителността носят бъдещи рискове с трансгранично значение. Въпреки умерения прираст на заплатите, конкурентоспособността остава слаба, тъй като динамиката на производителността се е влошила, което </w:t>
      </w:r>
      <w:r>
        <w:rPr>
          <w:rFonts w:ascii="Times New Roman" w:hAnsi="Times New Roman"/>
          <w:noProof/>
          <w:sz w:val="24"/>
          <w:szCs w:val="24"/>
        </w:rPr>
        <w:t>ограничава адаптирането на разходите за труд за единица продукция. Бавното преструктуриране на необслужваните заеми тежи върху счетоводните баланси на банките. Високата дългосрочна безработица тежи върху перспективите за растеж. За намаляването на публични</w:t>
      </w:r>
      <w:r>
        <w:rPr>
          <w:rFonts w:ascii="Times New Roman" w:hAnsi="Times New Roman"/>
          <w:noProof/>
          <w:sz w:val="24"/>
          <w:szCs w:val="24"/>
        </w:rPr>
        <w:t>я дълг ще са необходими по-високи първични излишъци и устойчив номинален растеж в бъдеще. Бяха предприети действия на политиката за реформиране на институциите на пазара на труда, за преструктуриране необслужваните заеми, публичната администрация, правосъд</w:t>
      </w:r>
      <w:r>
        <w:rPr>
          <w:rFonts w:ascii="Times New Roman" w:hAnsi="Times New Roman"/>
          <w:noProof/>
          <w:sz w:val="24"/>
          <w:szCs w:val="24"/>
        </w:rPr>
        <w:t>ието и образованието. Все още съществуват пропуски в политиката, особено по отношение на приватизацията, рамката за колективно договаряне, прегледа на разходите, мерките за отваряне на пазара, данъчното облагане и борбата срещу корупцията.</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Унгария</w:t>
      </w:r>
      <w:r>
        <w:rPr>
          <w:rFonts w:ascii="Times New Roman" w:hAnsi="Times New Roman"/>
          <w:noProof/>
          <w:sz w:val="24"/>
          <w:szCs w:val="24"/>
        </w:rPr>
        <w:t xml:space="preserve"> изпитва макроикономически дисбаланси. Въпреки че нуждата от разсрочване на големия външен дълг и делът на необслужваните заеми продължават да будят безпокойство, рисковете, свързани с външните и вътрешните задължения, бяха намалени. Значителното намаляван</w:t>
      </w:r>
      <w:r>
        <w:rPr>
          <w:rFonts w:ascii="Times New Roman" w:hAnsi="Times New Roman"/>
          <w:noProof/>
          <w:sz w:val="24"/>
          <w:szCs w:val="24"/>
        </w:rPr>
        <w:t>е на нетните външни задължения се дължи на високите излишъци по текущата и капиталовата сметка. Кредитните потоци към частния сектор остават умерени в контекста на слабата рентабилност на банките. Бяха предприети мерки на политиката, за да се повиши предви</w:t>
      </w:r>
      <w:r>
        <w:rPr>
          <w:rFonts w:ascii="Times New Roman" w:hAnsi="Times New Roman"/>
          <w:noProof/>
          <w:sz w:val="24"/>
          <w:szCs w:val="24"/>
        </w:rPr>
        <w:t>димостта на регулаторната среда във финансовия сектор, да се намали данъчната тежест върху банките, да се намали дела на дълга в чуждестранна валута и да се въведат субсидирани схеми за отпускане на заеми. Въздействието на тези неотдавнашни мерки върху бан</w:t>
      </w:r>
      <w:r>
        <w:rPr>
          <w:rFonts w:ascii="Times New Roman" w:hAnsi="Times New Roman"/>
          <w:noProof/>
          <w:sz w:val="24"/>
          <w:szCs w:val="24"/>
        </w:rPr>
        <w:t>ковите заеми все още предстои да се осъществи. Освен това продължават да съществуват пропуски в политиката по отношение на неразходната конкурентоспособност, производителността и общата икономическа среда.</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Нидерландия</w:t>
      </w:r>
      <w:r>
        <w:rPr>
          <w:rFonts w:ascii="Times New Roman" w:hAnsi="Times New Roman"/>
          <w:noProof/>
          <w:sz w:val="24"/>
          <w:szCs w:val="24"/>
        </w:rPr>
        <w:t xml:space="preserve"> изпитва макроикономически дисбаланси.</w:t>
      </w:r>
      <w:r>
        <w:rPr>
          <w:rFonts w:ascii="Times New Roman" w:hAnsi="Times New Roman"/>
          <w:noProof/>
          <w:sz w:val="24"/>
          <w:szCs w:val="24"/>
        </w:rPr>
        <w:t xml:space="preserve"> Големите и продължителни излишъци по текущата сметка имат трансгранично значение. Излишъкът отразява най-вече структурните характеристики на икономиката и параметрите на политиките по отношение на нефинансовите предприятия. Секторът на домакинствата се ха</w:t>
      </w:r>
      <w:r>
        <w:rPr>
          <w:rFonts w:ascii="Times New Roman" w:hAnsi="Times New Roman"/>
          <w:noProof/>
          <w:sz w:val="24"/>
          <w:szCs w:val="24"/>
        </w:rPr>
        <w:t>рактеризира с много големи дългове и необходимост от намаляване на задлъжнялостта. Излишъкът по текущата сметка е намалял незначително от 2013 г. насам, благодарение на по-добрите циклични условия, но намаляването на задлъжнялостта на домакинствата доприна</w:t>
      </w:r>
      <w:r>
        <w:rPr>
          <w:rFonts w:ascii="Times New Roman" w:hAnsi="Times New Roman"/>
          <w:noProof/>
          <w:sz w:val="24"/>
          <w:szCs w:val="24"/>
        </w:rPr>
        <w:t>ся за поддържането на излишъка по текущата сметка на неговото високо равнище. Бяха предприети мерки в подкрепа на намаляването на задлъжнялостта на домакинствата, но процесът на въвеждане е бавен. Очаква се пакетът от фискални мерки да засили потреблението</w:t>
      </w:r>
      <w:r>
        <w:rPr>
          <w:rFonts w:ascii="Times New Roman" w:hAnsi="Times New Roman"/>
          <w:noProof/>
          <w:sz w:val="24"/>
          <w:szCs w:val="24"/>
        </w:rPr>
        <w:t xml:space="preserve"> и по този начин да допринесе за намаляване на излишъка през 2016 г.</w:t>
      </w:r>
    </w:p>
    <w:p w:rsidR="00537046" w:rsidRDefault="00537046">
      <w:pPr>
        <w:spacing w:after="0" w:line="240" w:lineRule="auto"/>
        <w:jc w:val="both"/>
        <w:rPr>
          <w:rFonts w:ascii="Times New Roman" w:hAnsi="Times New Roman"/>
          <w:b/>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Австрия</w:t>
      </w:r>
      <w:r>
        <w:rPr>
          <w:rFonts w:ascii="Times New Roman" w:hAnsi="Times New Roman"/>
          <w:noProof/>
          <w:sz w:val="24"/>
          <w:szCs w:val="24"/>
        </w:rPr>
        <w:t xml:space="preserve"> не изпитва макроикономически дисбаланси. Експозицията на австрийските банки в чужбина и заемите в чужда валута крият потенциал за вредни последици, също с оглед на капиталовите п</w:t>
      </w:r>
      <w:r>
        <w:rPr>
          <w:rFonts w:ascii="Times New Roman" w:hAnsi="Times New Roman"/>
          <w:noProof/>
          <w:sz w:val="24"/>
          <w:szCs w:val="24"/>
        </w:rPr>
        <w:t>озиции на банките и перспективите за рентабилност. Чуждестранните експозиции на банките обаче са намалени, като се очаква подобрената капитализацията и мерките за намаляване на риска постепенно да подкрепят капацитета на банковия сектор да отпуска заеми. П</w:t>
      </w:r>
      <w:r>
        <w:rPr>
          <w:rFonts w:ascii="Times New Roman" w:hAnsi="Times New Roman"/>
          <w:noProof/>
          <w:sz w:val="24"/>
          <w:szCs w:val="24"/>
        </w:rPr>
        <w:t>реструктурирането на финансовите институции е оказало въздействие върху публичните финанси, но сега то напредва без необходимост от допълнителни публична подкрепа. Мерките за надзор заздравиха капацитета за поемане на риск и устойчивостта на местния банков</w:t>
      </w:r>
      <w:r>
        <w:rPr>
          <w:rFonts w:ascii="Times New Roman" w:hAnsi="Times New Roman"/>
          <w:noProof/>
          <w:sz w:val="24"/>
          <w:szCs w:val="24"/>
        </w:rPr>
        <w:t xml:space="preserve"> сектор и подобриха местната база за финансиране и качеството на активите на операциите в чужбина. Експортните пазарни дялове са се влошили, но се стабилизират след години на понесени загуби.</w:t>
      </w:r>
    </w:p>
    <w:p w:rsidR="00537046" w:rsidRDefault="00537046">
      <w:pPr>
        <w:spacing w:after="0" w:line="240" w:lineRule="auto"/>
        <w:jc w:val="both"/>
        <w:rPr>
          <w:rFonts w:ascii="Times New Roman" w:hAnsi="Times New Roman"/>
          <w:b/>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Португалия</w:t>
      </w:r>
      <w:r>
        <w:rPr>
          <w:rFonts w:ascii="Times New Roman" w:hAnsi="Times New Roman"/>
          <w:noProof/>
          <w:sz w:val="24"/>
          <w:szCs w:val="24"/>
        </w:rPr>
        <w:t xml:space="preserve"> изпитва прекомерни макроикономически дисбаланси. Зна</w:t>
      </w:r>
      <w:r>
        <w:rPr>
          <w:rFonts w:ascii="Times New Roman" w:hAnsi="Times New Roman"/>
          <w:noProof/>
          <w:sz w:val="24"/>
          <w:szCs w:val="24"/>
        </w:rPr>
        <w:t>чителните нетни външни задължения, частният и публичният дълг и високият дял на необслужваните кредити представляват слабости в контекста на висока безработица. Балансът по текущата сметка се коригира до малък излишък. Въпреки че задлъжнялостта на домакинс</w:t>
      </w:r>
      <w:r>
        <w:rPr>
          <w:rFonts w:ascii="Times New Roman" w:hAnsi="Times New Roman"/>
          <w:noProof/>
          <w:sz w:val="24"/>
          <w:szCs w:val="24"/>
        </w:rPr>
        <w:t>твата е намаляла, корпоративният дълг все още тежи върху резултатите от дейността на дружествата. Публичният дълг се очаква постепенно да намалее от изключително високото си равнище. Бяха предприети действия на политика относно финансовия сектор, достъпа д</w:t>
      </w:r>
      <w:r>
        <w:rPr>
          <w:rFonts w:ascii="Times New Roman" w:hAnsi="Times New Roman"/>
          <w:noProof/>
          <w:sz w:val="24"/>
          <w:szCs w:val="24"/>
        </w:rPr>
        <w:t xml:space="preserve">о финансиране, процедурите по несъстоятелност, функционирането на трудовия пазар, образованието и дългосрочната фискална устойчивост. Въпреки това, продължават да съществуват пропуски на политиката по отношение на продуктовите пазари и пазарите на услуги, </w:t>
      </w:r>
      <w:r>
        <w:rPr>
          <w:rFonts w:ascii="Times New Roman" w:hAnsi="Times New Roman"/>
          <w:noProof/>
          <w:sz w:val="24"/>
          <w:szCs w:val="24"/>
        </w:rPr>
        <w:t xml:space="preserve">преструктурирането на корпоративния дълг, фискалните въпроси и някои сектори на пазара на труда. </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Румъния</w:t>
      </w:r>
      <w:r>
        <w:rPr>
          <w:rFonts w:ascii="Times New Roman" w:hAnsi="Times New Roman"/>
          <w:noProof/>
          <w:sz w:val="24"/>
          <w:szCs w:val="24"/>
        </w:rPr>
        <w:t xml:space="preserve"> не изпитва макроикономически дисбаланси. Рисковете са свързани с големите обеми нетни външни задължения, уязвимостта на банковия сектор и проциклична</w:t>
      </w:r>
      <w:r>
        <w:rPr>
          <w:rFonts w:ascii="Times New Roman" w:hAnsi="Times New Roman"/>
          <w:noProof/>
          <w:sz w:val="24"/>
          <w:szCs w:val="24"/>
        </w:rPr>
        <w:t xml:space="preserve">та фискална политика заедно с силния растеж на заплатите. В контекста на подсилено възстановяване нетните външни задължения са спаднали от високо си равнище. С подкрепата на Комисията бяха предприети действия за укрепване на финансовия сектор. Понастоящем </w:t>
      </w:r>
      <w:r>
        <w:rPr>
          <w:rFonts w:ascii="Times New Roman" w:hAnsi="Times New Roman"/>
          <w:noProof/>
          <w:sz w:val="24"/>
          <w:szCs w:val="24"/>
        </w:rPr>
        <w:t>банковият сектор има добра капитализация и ликвидност, но няколко обсъждани в момента законодателни инициативи представляват риск за неговата стабилност. Заплатите в публичния сектор и минималната работна заплата бяха повишени и бяха приложени данъчни нама</w:t>
      </w:r>
      <w:r>
        <w:rPr>
          <w:rFonts w:ascii="Times New Roman" w:hAnsi="Times New Roman"/>
          <w:noProof/>
          <w:sz w:val="24"/>
          <w:szCs w:val="24"/>
        </w:rPr>
        <w:t xml:space="preserve">ления. Така се рискува фискалната политика да стане проциклична. </w:t>
      </w:r>
    </w:p>
    <w:p w:rsidR="00537046" w:rsidRDefault="00573D98">
      <w:pPr>
        <w:spacing w:after="0" w:line="240" w:lineRule="auto"/>
        <w:jc w:val="both"/>
        <w:rPr>
          <w:rFonts w:ascii="Times New Roman" w:hAnsi="Times New Roman"/>
          <w:noProof/>
          <w:sz w:val="24"/>
          <w:szCs w:val="24"/>
          <w:highlight w:val="yellow"/>
        </w:rPr>
      </w:pPr>
      <w:r>
        <w:rPr>
          <w:rFonts w:ascii="Times New Roman" w:hAnsi="Times New Roman"/>
          <w:noProof/>
          <w:sz w:val="24"/>
          <w:szCs w:val="24"/>
          <w:highlight w:val="yellow"/>
        </w:rPr>
        <w:t xml:space="preserve"> </w:t>
      </w: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Словения</w:t>
      </w:r>
      <w:r>
        <w:rPr>
          <w:rFonts w:ascii="Times New Roman" w:hAnsi="Times New Roman"/>
          <w:noProof/>
          <w:sz w:val="24"/>
          <w:szCs w:val="24"/>
        </w:rPr>
        <w:t xml:space="preserve"> изпитва макроикономически дисбаланси. Слабостите в банковия сектор, корпоративната задлъжнялост и фискалните рискове водят до уязвимост. Намаляването на външните задължения напред</w:t>
      </w:r>
      <w:r>
        <w:rPr>
          <w:rFonts w:ascii="Times New Roman" w:hAnsi="Times New Roman"/>
          <w:noProof/>
          <w:sz w:val="24"/>
          <w:szCs w:val="24"/>
        </w:rPr>
        <w:t>ва, банковият сектор се стабилизира и слабостите в корпоративния сектор се коригират чрез оперативно и финансово преструктуриране. Натискът за намаляване на задлъжнялостта намалява, но все още затруднява корпоративните инвестиции и перспективите за възстан</w:t>
      </w:r>
      <w:r>
        <w:rPr>
          <w:rFonts w:ascii="Times New Roman" w:hAnsi="Times New Roman"/>
          <w:noProof/>
          <w:sz w:val="24"/>
          <w:szCs w:val="24"/>
        </w:rPr>
        <w:t>овяване. Бизнес средата продължава да бъде възпрепятствана от административната тежест. Бяха предприети мерки на политиката по отношение на корпоративното управление на „лошите банки“ и бе постигнат значителен напредък по отношение на управлението на държа</w:t>
      </w:r>
      <w:r>
        <w:rPr>
          <w:rFonts w:ascii="Times New Roman" w:hAnsi="Times New Roman"/>
          <w:noProof/>
          <w:sz w:val="24"/>
          <w:szCs w:val="24"/>
        </w:rPr>
        <w:t>вните предприятия. Напредъкът в намаляването на административната тежест за сметка на това е бил ограничен, и стратегията за преките чуждестранни инвестиции все още не се прилага изцяло. Необходимо е допълнително действие, за да може дългът да поеме по уст</w:t>
      </w:r>
      <w:r>
        <w:rPr>
          <w:rFonts w:ascii="Times New Roman" w:hAnsi="Times New Roman"/>
          <w:noProof/>
          <w:sz w:val="24"/>
          <w:szCs w:val="24"/>
        </w:rPr>
        <w:t>ойчива низходяща тенденция.</w:t>
      </w:r>
    </w:p>
    <w:p w:rsidR="00537046" w:rsidRDefault="00537046">
      <w:pPr>
        <w:spacing w:after="0" w:line="240" w:lineRule="auto"/>
        <w:jc w:val="both"/>
        <w:rPr>
          <w:rFonts w:ascii="Times New Roman" w:hAnsi="Times New Roman"/>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Финландия</w:t>
      </w:r>
      <w:r>
        <w:rPr>
          <w:rFonts w:ascii="Times New Roman" w:hAnsi="Times New Roman"/>
          <w:noProof/>
          <w:sz w:val="24"/>
          <w:szCs w:val="24"/>
        </w:rPr>
        <w:t xml:space="preserve"> изпитва макроикономически дисбаланси. Финландия отчете загуби на конкурентоспособност, свързани със упадъка на ключови сектори и дружества и нарастването на заплатите над производителността, което доведе до рязък спад</w:t>
      </w:r>
      <w:r>
        <w:rPr>
          <w:rFonts w:ascii="Times New Roman" w:hAnsi="Times New Roman"/>
          <w:noProof/>
          <w:sz w:val="24"/>
          <w:szCs w:val="24"/>
        </w:rPr>
        <w:t xml:space="preserve"> в баланса по текущата сметка. Частният дълг е голям, което може да се окаже уязвимо място, въпреки че финансовият сектор е солиден. Разходната конкурентоспособност постепенно започна да се подобрява и спадът в експортните пазарни дялове намаля, докато тек</w:t>
      </w:r>
      <w:r>
        <w:rPr>
          <w:rFonts w:ascii="Times New Roman" w:hAnsi="Times New Roman"/>
          <w:noProof/>
          <w:sz w:val="24"/>
          <w:szCs w:val="24"/>
        </w:rPr>
        <w:t>уща сметка преминава в излишък. Натискът за намаляване на задлъжнялостта се очаква да остане ограничен. Умереното нарастване на заплатите бе договорено от социалните партньори и бяха подети инициативи, за да се съживи растежът във високотехнологичните сект</w:t>
      </w:r>
      <w:r>
        <w:rPr>
          <w:rFonts w:ascii="Times New Roman" w:hAnsi="Times New Roman"/>
          <w:noProof/>
          <w:sz w:val="24"/>
          <w:szCs w:val="24"/>
        </w:rPr>
        <w:t xml:space="preserve">ори и за улесняване на износа. Наскоро приетите мерки за жилищни ипотеки могат да ограничат разрастването на задлъжнялостта на домакинствата. </w:t>
      </w:r>
    </w:p>
    <w:p w:rsidR="00537046" w:rsidRDefault="00537046">
      <w:pPr>
        <w:spacing w:after="0" w:line="240" w:lineRule="auto"/>
        <w:jc w:val="both"/>
        <w:rPr>
          <w:rFonts w:ascii="Times New Roman" w:hAnsi="Times New Roman"/>
          <w:b/>
          <w:noProof/>
          <w:sz w:val="24"/>
          <w:szCs w:val="24"/>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Швеция</w:t>
      </w:r>
      <w:r>
        <w:rPr>
          <w:rFonts w:ascii="Times New Roman" w:hAnsi="Times New Roman"/>
          <w:noProof/>
          <w:sz w:val="24"/>
          <w:szCs w:val="24"/>
        </w:rPr>
        <w:t xml:space="preserve"> изпитва макроикономически дисбаланси. Високият и нарастващ дълг на домакинствата, свързан с високите и ра</w:t>
      </w:r>
      <w:r>
        <w:rPr>
          <w:rFonts w:ascii="Times New Roman" w:hAnsi="Times New Roman"/>
          <w:noProof/>
          <w:sz w:val="24"/>
          <w:szCs w:val="24"/>
        </w:rPr>
        <w:t xml:space="preserve">стящи цени на жилищата в контекста на положителните кредитни потоци, представлява риск от хаотично коригиране с последици за реалната икономика и банковия сектор. Не е извършена корекция на цените на жилищата и настоящите движещи сили на растежа на цените </w:t>
      </w:r>
      <w:r>
        <w:rPr>
          <w:rFonts w:ascii="Times New Roman" w:hAnsi="Times New Roman"/>
          <w:noProof/>
          <w:sz w:val="24"/>
          <w:szCs w:val="24"/>
        </w:rPr>
        <w:t>на жилищата вероятно ще останат в сила в близко бъдеще. Предприети са мерки на политиката в макропруденциалната област, които обаче може да останат недостатъчни. Като цяло остават пропуски в политиката в областта на данъчното облагане на жилищата, погасява</w:t>
      </w:r>
      <w:r>
        <w:rPr>
          <w:rFonts w:ascii="Times New Roman" w:hAnsi="Times New Roman"/>
          <w:noProof/>
          <w:sz w:val="24"/>
          <w:szCs w:val="24"/>
        </w:rPr>
        <w:t>нето на ипотеките, функционирането на предлагането на жилища и на пазара на отдаване на жилища под наем.</w:t>
      </w:r>
    </w:p>
    <w:p w:rsidR="00537046" w:rsidRDefault="00537046">
      <w:pPr>
        <w:spacing w:after="0" w:line="240" w:lineRule="auto"/>
        <w:jc w:val="both"/>
        <w:rPr>
          <w:rFonts w:ascii="Times New Roman" w:hAnsi="Times New Roman"/>
          <w:noProof/>
          <w:sz w:val="24"/>
          <w:szCs w:val="24"/>
          <w:highlight w:val="yellow"/>
        </w:rPr>
      </w:pPr>
    </w:p>
    <w:p w:rsidR="00537046" w:rsidRDefault="00573D98">
      <w:pPr>
        <w:spacing w:after="0" w:line="240" w:lineRule="auto"/>
        <w:jc w:val="both"/>
        <w:rPr>
          <w:rFonts w:ascii="Times New Roman" w:hAnsi="Times New Roman"/>
          <w:noProof/>
          <w:sz w:val="24"/>
          <w:szCs w:val="24"/>
        </w:rPr>
      </w:pPr>
      <w:r>
        <w:rPr>
          <w:rFonts w:ascii="Times New Roman" w:hAnsi="Times New Roman"/>
          <w:b/>
          <w:noProof/>
          <w:sz w:val="24"/>
          <w:szCs w:val="24"/>
        </w:rPr>
        <w:t>Обединеното кралство</w:t>
      </w:r>
      <w:r>
        <w:rPr>
          <w:rFonts w:ascii="Times New Roman" w:hAnsi="Times New Roman"/>
          <w:noProof/>
          <w:sz w:val="24"/>
          <w:szCs w:val="24"/>
        </w:rPr>
        <w:t xml:space="preserve"> не изпитва макроикономически дисбаланси. Високото равнище на дълга в сектора на домакинствата и високите цени на жилищата, както </w:t>
      </w:r>
      <w:r>
        <w:rPr>
          <w:rFonts w:ascii="Times New Roman" w:hAnsi="Times New Roman"/>
          <w:noProof/>
          <w:sz w:val="24"/>
          <w:szCs w:val="24"/>
        </w:rPr>
        <w:t>и значителният дефицит по текущата сметка може да представляват слабости. Въпреки това счетоводните баланси на сектора на домакинствата са като цяло стабилни, а дълговете на домакинствата и увеличението на цените на жилищата намаляват от 2014 г. насам. Осв</w:t>
      </w:r>
      <w:r>
        <w:rPr>
          <w:rFonts w:ascii="Times New Roman" w:hAnsi="Times New Roman"/>
          <w:noProof/>
          <w:sz w:val="24"/>
          <w:szCs w:val="24"/>
        </w:rPr>
        <w:t>ен това рисковете, свързани с големия дефицит по текущата сметка, са смекчени от благоприятната институционална рамка и малките задължения в чуждестранна валута, а дефицитът се очаква да спадне, тъй като неблагоприятните циклични условия намаляват. Няколко</w:t>
      </w:r>
      <w:r>
        <w:rPr>
          <w:rFonts w:ascii="Times New Roman" w:hAnsi="Times New Roman"/>
          <w:noProof/>
          <w:sz w:val="24"/>
          <w:szCs w:val="24"/>
        </w:rPr>
        <w:t>то правителствени инициативи все още не оказват съществено въздействие върху дисбаланса между търсенето и предлагането на жилища.</w:t>
      </w:r>
    </w:p>
    <w:p w:rsidR="00537046" w:rsidRDefault="00537046">
      <w:pPr>
        <w:spacing w:before="120" w:after="120" w:line="240" w:lineRule="auto"/>
        <w:jc w:val="both"/>
        <w:rPr>
          <w:rFonts w:ascii="Times New Roman" w:hAnsi="Times New Roman"/>
          <w:noProof/>
          <w:sz w:val="24"/>
          <w:szCs w:val="24"/>
        </w:rPr>
      </w:pPr>
    </w:p>
    <w:p w:rsidR="00537046" w:rsidRDefault="00573D98">
      <w:pPr>
        <w:spacing w:before="120" w:after="120" w:line="240" w:lineRule="auto"/>
        <w:ind w:left="284"/>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____________________________</w:t>
      </w:r>
    </w:p>
    <w:p w:rsidR="00537046" w:rsidRDefault="00537046">
      <w:pPr>
        <w:spacing w:before="120" w:after="120" w:line="240" w:lineRule="auto"/>
        <w:rPr>
          <w:rFonts w:ascii="Times New Roman" w:eastAsia="Times New Roman" w:hAnsi="Times New Roman"/>
          <w:noProof/>
          <w:sz w:val="24"/>
          <w:szCs w:val="24"/>
          <w:lang w:eastAsia="en-GB"/>
        </w:rPr>
      </w:pPr>
    </w:p>
    <w:p w:rsidR="00537046" w:rsidRDefault="00537046">
      <w:pPr>
        <w:spacing w:before="120" w:after="120" w:line="240" w:lineRule="auto"/>
        <w:ind w:left="284"/>
        <w:jc w:val="center"/>
        <w:rPr>
          <w:rFonts w:ascii="Times New Roman" w:eastAsia="Times New Roman" w:hAnsi="Times New Roman"/>
          <w:noProof/>
          <w:sz w:val="24"/>
          <w:szCs w:val="24"/>
          <w:lang w:eastAsia="en-GB"/>
        </w:rPr>
      </w:pPr>
    </w:p>
    <w:sectPr w:rsidR="00537046">
      <w:headerReference w:type="even" r:id="rId16"/>
      <w:headerReference w:type="default" r:id="rId17"/>
      <w:footerReference w:type="even" r:id="rId18"/>
      <w:footerReference w:type="default" r:id="rId19"/>
      <w:headerReference w:type="first" r:id="rId20"/>
      <w:footerReference w:type="first" r:id="rId21"/>
      <w:pgSz w:w="11907" w:h="16839"/>
      <w:pgMar w:top="1300" w:right="1417" w:bottom="1300"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46" w:rsidRDefault="00573D98">
      <w:pPr>
        <w:spacing w:after="0" w:line="240" w:lineRule="auto"/>
      </w:pPr>
      <w:r>
        <w:separator/>
      </w:r>
    </w:p>
  </w:endnote>
  <w:endnote w:type="continuationSeparator" w:id="0">
    <w:p w:rsidR="00537046" w:rsidRDefault="00573D98">
      <w:pPr>
        <w:spacing w:after="0" w:line="240" w:lineRule="auto"/>
      </w:pPr>
      <w:r>
        <w:continuationSeparator/>
      </w:r>
    </w:p>
  </w:endnote>
  <w:endnote w:type="continuationNotice" w:id="1">
    <w:p w:rsidR="00537046" w:rsidRDefault="00537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6" w:rsidRDefault="00537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6" w:rsidRDefault="00573D98">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6" w:rsidRDefault="0053704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6" w:rsidRDefault="005370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713"/>
      <w:docPartObj>
        <w:docPartGallery w:val="Page Numbers (Bottom of Page)"/>
        <w:docPartUnique/>
      </w:docPartObj>
    </w:sdtPr>
    <w:sdtEndPr>
      <w:rPr>
        <w:noProof/>
      </w:rPr>
    </w:sdtEndPr>
    <w:sdtContent>
      <w:p w:rsidR="00537046" w:rsidRDefault="00573D98">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6" w:rsidRDefault="00537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46" w:rsidRDefault="00573D98">
      <w:pPr>
        <w:spacing w:after="0" w:line="240" w:lineRule="auto"/>
      </w:pPr>
      <w:r>
        <w:separator/>
      </w:r>
    </w:p>
  </w:footnote>
  <w:footnote w:type="continuationSeparator" w:id="0">
    <w:p w:rsidR="00537046" w:rsidRDefault="00573D98">
      <w:pPr>
        <w:spacing w:after="0" w:line="240" w:lineRule="auto"/>
      </w:pPr>
      <w:r>
        <w:continuationSeparator/>
      </w:r>
    </w:p>
  </w:footnote>
  <w:footnote w:type="continuationNotice" w:id="1">
    <w:p w:rsidR="00537046" w:rsidRDefault="00537046">
      <w:pPr>
        <w:spacing w:after="0" w:line="240" w:lineRule="auto"/>
      </w:pPr>
    </w:p>
  </w:footnote>
  <w:footnote w:id="2">
    <w:p w:rsidR="00537046" w:rsidRDefault="00573D98">
      <w:pPr>
        <w:pStyle w:val="FootnoteText"/>
        <w:rPr>
          <w:lang w:val="ru-RU"/>
        </w:rPr>
      </w:pPr>
      <w:r>
        <w:rPr>
          <w:rStyle w:val="FootnoteReference"/>
        </w:rPr>
        <w:footnoteRef/>
      </w:r>
      <w:r>
        <w:t xml:space="preserve"> COM (2015) 600. </w:t>
      </w:r>
    </w:p>
  </w:footnote>
  <w:footnote w:id="3">
    <w:p w:rsidR="00537046" w:rsidRDefault="00573D98">
      <w:pPr>
        <w:pStyle w:val="FootnoteText"/>
      </w:pPr>
      <w:r>
        <w:rPr>
          <w:rStyle w:val="FootnoteReference"/>
        </w:rPr>
        <w:footnoteRef/>
      </w:r>
      <w:r>
        <w:t xml:space="preserve"> COM (2015) 690.</w:t>
      </w:r>
    </w:p>
  </w:footnote>
  <w:footnote w:id="4">
    <w:p w:rsidR="00537046" w:rsidRDefault="00573D98">
      <w:pPr>
        <w:pStyle w:val="Default"/>
      </w:pPr>
      <w:r>
        <w:rPr>
          <w:rStyle w:val="FootnoteReference"/>
          <w:color w:val="auto"/>
          <w:sz w:val="20"/>
        </w:rPr>
        <w:footnoteRef/>
      </w:r>
      <w:r>
        <w:rPr>
          <w:rStyle w:val="FootnoteReference"/>
          <w:color w:val="auto"/>
          <w:sz w:val="20"/>
        </w:rPr>
        <w:t xml:space="preserve"> </w:t>
      </w:r>
      <w:r>
        <w:rPr>
          <w:color w:val="auto"/>
          <w:sz w:val="20"/>
        </w:rPr>
        <w:t xml:space="preserve">Документ </w:t>
      </w:r>
      <w:r>
        <w:rPr>
          <w:color w:val="auto"/>
          <w:sz w:val="20"/>
        </w:rPr>
        <w:t>14860/1/15 REV 1 на Съвета, одобрен от Европейския съвет на 18—19 февруари 2016 г.</w:t>
      </w:r>
    </w:p>
  </w:footnote>
  <w:footnote w:id="5">
    <w:p w:rsidR="00537046" w:rsidRDefault="00573D98">
      <w:pPr>
        <w:pStyle w:val="FootnoteText"/>
      </w:pPr>
      <w:r>
        <w:rPr>
          <w:rStyle w:val="FootnoteReference"/>
        </w:rPr>
        <w:footnoteRef/>
      </w:r>
      <w:r>
        <w:t xml:space="preserve"> С изключение на Гърция и Кипър, в които се изпълняват програми за макроикономическа помощ.</w:t>
      </w:r>
    </w:p>
  </w:footnote>
  <w:footnote w:id="6">
    <w:p w:rsidR="00537046" w:rsidRDefault="00573D98">
      <w:pPr>
        <w:pStyle w:val="FootnoteText"/>
        <w:ind w:left="130" w:hanging="130"/>
      </w:pPr>
      <w:r>
        <w:rPr>
          <w:rStyle w:val="FootnoteReference"/>
        </w:rPr>
        <w:footnoteRef/>
      </w:r>
      <w:r>
        <w:t xml:space="preserve"> COM (2015) 572, Доклад за състоянието на енергийния съюз 2015 година; COM (201</w:t>
      </w:r>
      <w:r>
        <w:t>5) 576, Доклад за напредъка на действията по климата.</w:t>
      </w:r>
    </w:p>
  </w:footnote>
  <w:footnote w:id="7">
    <w:p w:rsidR="00537046" w:rsidRDefault="00573D98">
      <w:pPr>
        <w:pStyle w:val="FootnoteText"/>
      </w:pPr>
      <w:r>
        <w:rPr>
          <w:rStyle w:val="FootnoteReference"/>
        </w:rPr>
        <w:footnoteRef/>
      </w:r>
      <w:r>
        <w:t xml:space="preserve"> Европейска комисия, Европейска икономическа прогноза (зима 2016 г.)</w:t>
      </w:r>
    </w:p>
  </w:footnote>
  <w:footnote w:id="8">
    <w:p w:rsidR="00537046" w:rsidRDefault="00573D98">
      <w:pPr>
        <w:pStyle w:val="FootnoteText"/>
      </w:pPr>
      <w:r>
        <w:rPr>
          <w:rStyle w:val="FootnoteReference"/>
        </w:rPr>
        <w:footnoteRef/>
      </w:r>
      <w:r>
        <w:t xml:space="preserve"> COM (2015) 12.</w:t>
      </w:r>
    </w:p>
  </w:footnote>
  <w:footnote w:id="9">
    <w:p w:rsidR="00537046" w:rsidRDefault="00573D98">
      <w:pPr>
        <w:pStyle w:val="FootnoteText"/>
      </w:pPr>
      <w:r>
        <w:rPr>
          <w:rStyle w:val="FootnoteReference"/>
        </w:rPr>
        <w:footnoteRef/>
      </w:r>
      <w:r>
        <w:t xml:space="preserve"> COM (2014) 903.</w:t>
      </w:r>
    </w:p>
  </w:footnote>
  <w:footnote w:id="10">
    <w:p w:rsidR="00537046" w:rsidRDefault="00573D98">
      <w:pPr>
        <w:pStyle w:val="FootnoteText"/>
      </w:pPr>
      <w:r>
        <w:rPr>
          <w:rStyle w:val="FootnoteReference"/>
        </w:rPr>
        <w:footnoteRef/>
      </w:r>
      <w:r>
        <w:t xml:space="preserve"> Европейска комисия, Европейска икономическа прогноза (зима 2016 г.)</w:t>
      </w:r>
    </w:p>
  </w:footnote>
  <w:footnote w:id="11">
    <w:p w:rsidR="00537046" w:rsidRDefault="00573D98">
      <w:pPr>
        <w:pStyle w:val="FootnoteText"/>
      </w:pPr>
      <w:r>
        <w:rPr>
          <w:rStyle w:val="FootnoteReference"/>
        </w:rPr>
        <w:footnoteRef/>
      </w:r>
      <w:r>
        <w:t xml:space="preserve"> COM (2015) 600.</w:t>
      </w:r>
    </w:p>
  </w:footnote>
  <w:footnote w:id="12">
    <w:p w:rsidR="00537046" w:rsidRDefault="00573D98">
      <w:pPr>
        <w:pStyle w:val="FootnoteText"/>
      </w:pPr>
      <w:r>
        <w:rPr>
          <w:rStyle w:val="FootnoteReference"/>
        </w:rPr>
        <w:footnoteRef/>
      </w:r>
      <w:r>
        <w:t xml:space="preserve"> COM (20</w:t>
      </w:r>
      <w:r>
        <w:t>15) 691.</w:t>
      </w:r>
    </w:p>
  </w:footnote>
  <w:footnote w:id="13">
    <w:p w:rsidR="00537046" w:rsidRDefault="00573D98">
      <w:pPr>
        <w:pStyle w:val="FootnoteText"/>
      </w:pPr>
      <w:r>
        <w:rPr>
          <w:rStyle w:val="FootnoteReference"/>
        </w:rPr>
        <w:footnoteRef/>
      </w:r>
      <w:r>
        <w:t xml:space="preserve"> SWD (2015) 400.</w:t>
      </w:r>
    </w:p>
  </w:footnote>
  <w:footnote w:id="14">
    <w:p w:rsidR="00537046" w:rsidRDefault="00573D98">
      <w:pPr>
        <w:pStyle w:val="FootnoteText"/>
      </w:pPr>
      <w:r>
        <w:rPr>
          <w:rStyle w:val="FootnoteReference"/>
        </w:rPr>
        <w:footnoteRef/>
      </w:r>
      <w:r>
        <w:t xml:space="preserve"> Европейска комисия, Европейска икономическа прогноза (зима 2016 г.)</w:t>
      </w:r>
    </w:p>
  </w:footnote>
  <w:footnote w:id="15">
    <w:p w:rsidR="00537046" w:rsidRDefault="00573D98">
      <w:pPr>
        <w:pStyle w:val="FootnoteText"/>
      </w:pPr>
      <w:r>
        <w:rPr>
          <w:rStyle w:val="FootnoteReference"/>
        </w:rPr>
        <w:footnoteRef/>
      </w:r>
      <w:r>
        <w:t xml:space="preserve"> Европейската централна банка, The euro area bank lending survey, Fourth quarter of 2015, януари 2016 г.</w:t>
      </w:r>
    </w:p>
  </w:footnote>
  <w:footnote w:id="16">
    <w:p w:rsidR="00537046" w:rsidRDefault="00573D98">
      <w:pPr>
        <w:pStyle w:val="Default"/>
      </w:pPr>
      <w:r>
        <w:rPr>
          <w:rStyle w:val="FootnoteReference"/>
          <w:color w:val="auto"/>
          <w:sz w:val="20"/>
        </w:rPr>
        <w:footnoteRef/>
      </w:r>
      <w:r>
        <w:rPr>
          <w:rStyle w:val="FootnoteReference"/>
          <w:color w:val="auto"/>
          <w:sz w:val="20"/>
        </w:rPr>
        <w:t xml:space="preserve"> </w:t>
      </w:r>
      <w:r>
        <w:rPr>
          <w:color w:val="auto"/>
          <w:sz w:val="20"/>
        </w:rPr>
        <w:t>Документ 14361/15 на Съвета.</w:t>
      </w:r>
    </w:p>
  </w:footnote>
  <w:footnote w:id="17">
    <w:p w:rsidR="00537046" w:rsidRDefault="00573D98">
      <w:pPr>
        <w:pStyle w:val="Default"/>
        <w:rPr>
          <w:rStyle w:val="FootnoteReference"/>
          <w:sz w:val="20"/>
          <w:szCs w:val="20"/>
        </w:rPr>
      </w:pPr>
      <w:r>
        <w:rPr>
          <w:rStyle w:val="FootnoteReference"/>
          <w:sz w:val="20"/>
        </w:rPr>
        <w:footnoteRef/>
      </w:r>
      <w:r>
        <w:rPr>
          <w:rStyle w:val="FootnoteReference"/>
          <w:sz w:val="20"/>
        </w:rPr>
        <w:t xml:space="preserve"> </w:t>
      </w:r>
      <w:r>
        <w:rPr>
          <w:rStyle w:val="FootnoteReference"/>
          <w:sz w:val="20"/>
          <w:vertAlign w:val="baseline"/>
        </w:rPr>
        <w:t>COM (2015) 550.</w:t>
      </w:r>
    </w:p>
  </w:footnote>
  <w:footnote w:id="18">
    <w:p w:rsidR="00537046" w:rsidRDefault="00573D98">
      <w:pPr>
        <w:pStyle w:val="Default"/>
      </w:pPr>
      <w:r>
        <w:rPr>
          <w:rStyle w:val="FootnoteReference"/>
          <w:sz w:val="20"/>
        </w:rPr>
        <w:footnoteRef/>
      </w:r>
      <w:r>
        <w:rPr>
          <w:rStyle w:val="FootnoteReference"/>
        </w:rPr>
        <w:t xml:space="preserve"> </w:t>
      </w:r>
      <w:r>
        <w:rPr>
          <w:rStyle w:val="FootnoteReference"/>
          <w:sz w:val="20"/>
          <w:vertAlign w:val="baseline"/>
        </w:rPr>
        <w:t>ОИСР, Италия. Структурни реформи: Въздействие върху растежа и заетостта. Февруари 2015 г.</w:t>
      </w:r>
    </w:p>
  </w:footnote>
  <w:footnote w:id="19">
    <w:p w:rsidR="00537046" w:rsidRDefault="00573D98">
      <w:pPr>
        <w:pStyle w:val="FootnoteText"/>
        <w:ind w:left="142" w:hanging="142"/>
        <w:jc w:val="left"/>
      </w:pPr>
      <w:r>
        <w:rPr>
          <w:rStyle w:val="FootnoteReference"/>
        </w:rPr>
        <w:footnoteRef/>
      </w:r>
      <w:r>
        <w:t xml:space="preserve"> В случая с Австрия, проектът на бюджетен план бе оценен като отговарящ на условията в широк смисъл след като бяха приети коригирането на планираните допълнителни разходи, свързани с извънредния приток на бежанци и мигранти.</w:t>
      </w:r>
    </w:p>
  </w:footnote>
  <w:footnote w:id="20">
    <w:p w:rsidR="00537046" w:rsidRDefault="00573D98">
      <w:pPr>
        <w:pStyle w:val="FootnoteText"/>
        <w:ind w:left="153" w:hanging="153"/>
      </w:pPr>
      <w:r>
        <w:rPr>
          <w:rStyle w:val="FootnoteReference"/>
        </w:rPr>
        <w:footnoteRef/>
      </w:r>
      <w:r>
        <w:t xml:space="preserve"> Т.е. фискалната част на Догов</w:t>
      </w:r>
      <w:r>
        <w:t>ора за стабилност, координация и управление в Икономическия и паричен съюз (ИПС).</w:t>
      </w:r>
    </w:p>
  </w:footnote>
  <w:footnote w:id="21">
    <w:p w:rsidR="00537046" w:rsidRDefault="00573D98">
      <w:pPr>
        <w:autoSpaceDE w:val="0"/>
        <w:autoSpaceDN w:val="0"/>
        <w:adjustRightInd w:val="0"/>
        <w:spacing w:after="120" w:line="240" w:lineRule="auto"/>
        <w:ind w:left="153" w:hanging="153"/>
      </w:pPr>
      <w:r>
        <w:rPr>
          <w:rStyle w:val="FootnoteReference"/>
          <w:rFonts w:ascii="Times New Roman" w:hAnsi="Times New Roman"/>
          <w:sz w:val="20"/>
        </w:rPr>
        <w:footnoteRef/>
      </w:r>
      <w:r>
        <w:rPr>
          <w:rFonts w:ascii="Times New Roman" w:hAnsi="Times New Roman"/>
          <w:sz w:val="20"/>
        </w:rPr>
        <w:t xml:space="preserve"> За оценка на предизвикателствата пред фискалната устойчивост, вж. Европейска комисия (2016), „Доклад за 2012 г. относно бюджетната устойчивост“, Европейска икономика № 18, </w:t>
      </w:r>
      <w:r>
        <w:rPr>
          <w:rFonts w:ascii="Times New Roman" w:hAnsi="Times New Roman"/>
          <w:sz w:val="20"/>
        </w:rPr>
        <w:t xml:space="preserve">институционални документи. </w:t>
      </w:r>
    </w:p>
  </w:footnote>
  <w:footnote w:id="22">
    <w:p w:rsidR="00537046" w:rsidRDefault="00573D98">
      <w:pPr>
        <w:pStyle w:val="FootnoteText"/>
        <w:ind w:left="142" w:hanging="142"/>
      </w:pPr>
      <w:r>
        <w:rPr>
          <w:rStyle w:val="FootnoteReference"/>
        </w:rPr>
        <w:footnoteRef/>
      </w:r>
      <w:r>
        <w:t xml:space="preserve"> </w:t>
      </w:r>
      <w:r>
        <w:rPr>
          <w:sz w:val="18"/>
        </w:rPr>
        <w:t xml:space="preserve">Както категорията „дисбаланси“, така и категорията „прекомерни дисбаланси“ води до специфичен мониторинг, който следва да бъде модулиран съобразно това, доколко сериозни са предизвикателствата. </w:t>
      </w:r>
    </w:p>
  </w:footnote>
  <w:footnote w:id="23">
    <w:p w:rsidR="00537046" w:rsidRDefault="00573D98">
      <w:pPr>
        <w:pStyle w:val="FootnoteText"/>
        <w:ind w:left="153" w:hanging="153"/>
      </w:pPr>
      <w:r>
        <w:rPr>
          <w:rStyle w:val="FootnoteReference"/>
        </w:rPr>
        <w:footnoteRef/>
      </w:r>
      <w:r>
        <w:t xml:space="preserve"> </w:t>
      </w:r>
      <w:r>
        <w:rPr>
          <w:sz w:val="18"/>
        </w:rPr>
        <w:t>Категоризацията се основава н</w:t>
      </w:r>
      <w:r>
        <w:rPr>
          <w:sz w:val="18"/>
        </w:rPr>
        <w:t>а очакваните резултати за 2016 г., както е отразено в прогнозата на Комисията от зимата на 2016 г.</w:t>
      </w:r>
    </w:p>
  </w:footnote>
  <w:footnote w:id="24">
    <w:p w:rsidR="00537046" w:rsidRDefault="00573D98">
      <w:pPr>
        <w:pStyle w:val="FootnoteText"/>
        <w:ind w:left="142" w:hanging="142"/>
      </w:pPr>
      <w:r>
        <w:rPr>
          <w:rStyle w:val="FootnoteReference"/>
        </w:rPr>
        <w:footnoteRef/>
      </w:r>
      <w:r>
        <w:t xml:space="preserve"> </w:t>
      </w:r>
      <w:r>
        <w:rPr>
          <w:sz w:val="18"/>
        </w:rPr>
        <w:t xml:space="preserve">Правило за дълга: </w:t>
      </w:r>
      <w:r>
        <w:rPr>
          <w:sz w:val="18"/>
          <w:szCs w:val="18"/>
        </w:rPr>
        <w:t>Ако референтната стойност от 60 % за съотношението публичен дълг/БВП не е спазена, въпросната държава членка ще бъде поставена в процедур</w:t>
      </w:r>
      <w:r>
        <w:rPr>
          <w:sz w:val="18"/>
          <w:szCs w:val="18"/>
        </w:rPr>
        <w:t>а при прекомерен дефицит, след като се вземат предвид всички фактори от значение, както и въздействието на икономическия цикъл, ако разликата между нивото на публичния дълг на тази държава и референтната стойност от 60 % не намалява с 1/20</w:t>
      </w:r>
      <w:r>
        <w:rPr>
          <w:rStyle w:val="at1"/>
          <w:sz w:val="18"/>
          <w:szCs w:val="18"/>
        </w:rPr>
        <w:t xml:space="preserve"> </w:t>
      </w:r>
      <w:r>
        <w:rPr>
          <w:sz w:val="18"/>
          <w:szCs w:val="18"/>
        </w:rPr>
        <w:t>годишно</w:t>
      </w:r>
      <w:r>
        <w:rPr>
          <w:sz w:val="18"/>
        </w:rPr>
        <w:t xml:space="preserve"> (средно </w:t>
      </w:r>
      <w:r>
        <w:rPr>
          <w:sz w:val="18"/>
        </w:rPr>
        <w:t>за период от 3 години) Преходното правило за дълга: на всяка държава членка, която е в процедура при прекомерен дефицит, се предоставя тригодишен период , за да спази правилото за дълга, след като е коригирала прекомерния дефицит. Това не означава, че прав</w:t>
      </w:r>
      <w:r>
        <w:rPr>
          <w:sz w:val="18"/>
        </w:rPr>
        <w:t>илото за дълга не се прилага напълно през този период, тъй като държавите членки трябва да постигнат достатъчен напредък към спазването на правилото през този преходен период. Отрицателната оценка за напредъка към постигането на целевия показател по отноше</w:t>
      </w:r>
      <w:r>
        <w:rPr>
          <w:sz w:val="18"/>
        </w:rPr>
        <w:t>ние на дълга през преходния период може да доведе до откриването на ППД.</w:t>
      </w:r>
    </w:p>
  </w:footnote>
  <w:footnote w:id="25">
    <w:p w:rsidR="00537046" w:rsidRDefault="00573D98">
      <w:pPr>
        <w:pStyle w:val="FootnoteText"/>
      </w:pPr>
      <w:r>
        <w:rPr>
          <w:rStyle w:val="FootnoteReference"/>
        </w:rPr>
        <w:footnoteRef/>
      </w:r>
      <w:r>
        <w:t xml:space="preserve"> </w:t>
      </w:r>
      <w:r>
        <w:rPr>
          <w:sz w:val="18"/>
        </w:rPr>
        <w:t>Зависи от отмяната на решението за ППД въз основа на данни за изпълнението за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6" w:rsidRDefault="00537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6" w:rsidRDefault="0053704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6" w:rsidRDefault="0053704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6" w:rsidRDefault="005370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6" w:rsidRDefault="005370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46" w:rsidRDefault="00537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A2E2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F80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BCAD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181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1A4C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708F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40FE84"/>
    <w:lvl w:ilvl="0">
      <w:start w:val="1"/>
      <w:numFmt w:val="decimal"/>
      <w:pStyle w:val="ListNumber"/>
      <w:lvlText w:val="%1."/>
      <w:lvlJc w:val="left"/>
      <w:pPr>
        <w:tabs>
          <w:tab w:val="num" w:pos="360"/>
        </w:tabs>
        <w:ind w:left="360" w:hanging="360"/>
      </w:pPr>
    </w:lvl>
  </w:abstractNum>
  <w:abstractNum w:abstractNumId="7">
    <w:nsid w:val="FFFFFF89"/>
    <w:multiLevelType w:val="singleLevel"/>
    <w:tmpl w:val="C76619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A207E1C"/>
    <w:multiLevelType w:val="hybridMultilevel"/>
    <w:tmpl w:val="7F94F1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3267FF8"/>
    <w:multiLevelType w:val="hybridMultilevel"/>
    <w:tmpl w:val="E578B2DE"/>
    <w:lvl w:ilvl="0" w:tplc="48707CA2">
      <w:numFmt w:val="bullet"/>
      <w:lvlText w:val="-"/>
      <w:lvlJc w:val="left"/>
      <w:pPr>
        <w:ind w:left="720" w:hanging="360"/>
      </w:pPr>
      <w:rPr>
        <w:rFonts w:ascii="Calibri" w:eastAsia="SimSu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3493D87"/>
    <w:multiLevelType w:val="hybridMultilevel"/>
    <w:tmpl w:val="C15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54262F9"/>
    <w:multiLevelType w:val="hybridMultilevel"/>
    <w:tmpl w:val="37FC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7757AB"/>
    <w:multiLevelType w:val="hybridMultilevel"/>
    <w:tmpl w:val="EB2A3D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8E17EB"/>
    <w:multiLevelType w:val="hybridMultilevel"/>
    <w:tmpl w:val="7F902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144660F"/>
    <w:multiLevelType w:val="hybridMultilevel"/>
    <w:tmpl w:val="3406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DF0084"/>
    <w:multiLevelType w:val="hybridMultilevel"/>
    <w:tmpl w:val="B814640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ABF1D1B"/>
    <w:multiLevelType w:val="hybridMultilevel"/>
    <w:tmpl w:val="8A54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B23442"/>
    <w:multiLevelType w:val="hybridMultilevel"/>
    <w:tmpl w:val="60EA5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5055BD"/>
    <w:multiLevelType w:val="hybridMultilevel"/>
    <w:tmpl w:val="09DEECE2"/>
    <w:lvl w:ilvl="0" w:tplc="08090005">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823489E"/>
    <w:multiLevelType w:val="hybridMultilevel"/>
    <w:tmpl w:val="1DEC5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F0D1CAC"/>
    <w:multiLevelType w:val="hybridMultilevel"/>
    <w:tmpl w:val="40E8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17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644DE1"/>
    <w:multiLevelType w:val="hybridMultilevel"/>
    <w:tmpl w:val="D4C08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4B1388"/>
    <w:multiLevelType w:val="hybridMultilevel"/>
    <w:tmpl w:val="2B604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5"/>
    <w:lvlOverride w:ilvl="0">
      <w:startOverride w:val="1"/>
    </w:lvlOverride>
  </w:num>
  <w:num w:numId="10">
    <w:abstractNumId w:val="27"/>
  </w:num>
  <w:num w:numId="11">
    <w:abstractNumId w:val="18"/>
  </w:num>
  <w:num w:numId="12">
    <w:abstractNumId w:val="31"/>
  </w:num>
  <w:num w:numId="13">
    <w:abstractNumId w:val="12"/>
  </w:num>
  <w:num w:numId="14">
    <w:abstractNumId w:val="19"/>
  </w:num>
  <w:num w:numId="15">
    <w:abstractNumId w:val="10"/>
  </w:num>
  <w:num w:numId="16">
    <w:abstractNumId w:val="29"/>
  </w:num>
  <w:num w:numId="17">
    <w:abstractNumId w:val="9"/>
  </w:num>
  <w:num w:numId="18">
    <w:abstractNumId w:val="20"/>
  </w:num>
  <w:num w:numId="19">
    <w:abstractNumId w:val="26"/>
  </w:num>
  <w:num w:numId="20">
    <w:abstractNumId w:val="11"/>
  </w:num>
  <w:num w:numId="21">
    <w:abstractNumId w:val="23"/>
  </w:num>
  <w:num w:numId="22">
    <w:abstractNumId w:val="36"/>
  </w:num>
  <w:num w:numId="23">
    <w:abstractNumId w:val="33"/>
  </w:num>
  <w:num w:numId="24">
    <w:abstractNumId w:val="22"/>
  </w:num>
  <w:num w:numId="25">
    <w:abstractNumId w:val="30"/>
  </w:num>
  <w:num w:numId="26">
    <w:abstractNumId w:val="21"/>
  </w:num>
  <w:num w:numId="27">
    <w:abstractNumId w:val="24"/>
  </w:num>
  <w:num w:numId="28">
    <w:abstractNumId w:val="35"/>
  </w:num>
  <w:num w:numId="29">
    <w:abstractNumId w:val="34"/>
  </w:num>
  <w:num w:numId="30">
    <w:abstractNumId w:val="25"/>
  </w:num>
  <w:num w:numId="31">
    <w:abstractNumId w:val="14"/>
  </w:num>
  <w:num w:numId="32">
    <w:abstractNumId w:val="8"/>
  </w:num>
  <w:num w:numId="33">
    <w:abstractNumId w:val="28"/>
  </w:num>
  <w:num w:numId="34">
    <w:abstractNumId w:val="16"/>
  </w:num>
  <w:num w:numId="35">
    <w:abstractNumId w:val="13"/>
  </w:num>
  <w:num w:numId="36">
    <w:abstractNumId w:val="32"/>
  </w:num>
  <w:num w:numId="37">
    <w:abstractNumId w:val="1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removePersonalInformation/>
  <w:removeDateAndTime/>
  <w:hideSpellingErrors/>
  <w:hideGrammaticalErrors/>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67CF4F9F4FC94BB89721C04A23643ADA"/>
    <w:docVar w:name="LW_CROSSREFERENCE" w:val="&lt;UNUSED&gt;"/>
    <w:docVar w:name="LW_DATE.ADOPT.CP_ISODATE" w:val="&lt;EMPTY&gt;"/>
    <w:docVar w:name="LW_DocType" w:val="NORMAL"/>
    <w:docVar w:name="LW_EMISSION" w:val="8.3.2016"/>
    <w:docVar w:name="LW_EMISSION_ISODATE" w:val="2016-03-08"/>
    <w:docVar w:name="LW_EMISSION_LOCATION" w:val="STR"/>
    <w:docVar w:name="LW_EMISSION_PREFIX" w:val="Страсбург, "/>
    <w:docVar w:name="LW_EMISSION_SUFFIX" w:val=" \u1075?."/>
    <w:docVar w:name="LW_ID_DOCTYPE_NONLW" w:val="CP-035"/>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95"/>
    <w:docVar w:name="LW_REF.INTERNE" w:val="&lt;UNUSED&gt;"/>
    <w:docVar w:name="LW_SOUS.TITRE.OBJ.CP" w:val="&lt;UNUSED&gt;"/>
    <w:docVar w:name="LW_SUPERTITRE" w:val="&lt;UNUSED&gt;"/>
    <w:docVar w:name="LW_TITRE.OBJ.CP" w:val="_x000b__x000b_\u1045?\u1074?\u1088?\u1086?\u1087?\u1077?\u1081?\u1089?\u1082?\u1080? \u1089?\u1077?\u1084?\u1077?\u1089?\u1090?\u1098?\u1088? \u1079?\u1072? 2016 \u1075?.: o\u1094?\u1077?\u1085?\u1082?\u1072? \u1085?\u1072? \u1085?\u1072?\u1087?\u1088?\u1077?\u1076?\u1098?\u1082?\u1072? \u1074? \u1089?\u1090?\u1088?\u1091?\u1082?\u1090?\u1091?\u1088?\u1085?\u1080?\u1090?\u1077? \u1088?\u1077?\u1092?\u1086?\u1088?\u1084?\u1080?, \u1087?\u1088?\u1077?\u1076?\u1086?\u1090?\u1074?\u1088?\u1072?\u1090?\u1103?\u1074?\u1072?\u1085?\u1077?\u1090?\u1086? \u1080? \u1082?\u1086?\u1088?\u1080?\u1075?\u1080?\u1088?\u1072?\u1085?\u1077?\u1090?\u1086? \u1085?\u1072? \u1084?\u1072?\u1082?\u1088?\u1086?\u1080?\u1082?\u1086?\u1085?\u1086?\u1084?\u1080?\u1095?\u1077?\u1089?\u1082?\u1080?\u1090?\u1077? \u1076?\u1080?\u1089?\u1073?\u1072?\u1083?\u1072?\u1085?\u1089?\u1080? \u1080? \u1088?\u1077?\u1079?\u1091?\u1083?\u1090?\u1072?\u1090?\u1080? \u1086?\u1090? \u1079?\u1072?\u1076?\u1098?\u1083?\u1073?\u1086?\u1095?\u1077?\u1085?\u1080?\u1090?\u1077? \u1087?\u1088?\u1077?\u1075?\u1083?\u1077?\u1076?\u1080? \u1074? \u1089?\u1098?\u1086?\u1090?\u1074?\u1077?\u1090?\u1089?\u1090?\u1074?\u1080?\u1077? \u1089? \u1056?\u1077?\u1075?\u1083?\u1072?\u1084?\u1077?\u1085?\u1090? (\u1045?\u1057?) \u8470? 1176/2011 _x000b__x000b__x000b_{SWD(2016) 71 \u1076?\u1086? SWD(2016) 96}"/>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8? \u1045?\u1042?\u1056?\u1054?\u1043?\u1056?\u1059?\u1055?\u1040?\u1058?\u1040? _x000b_"/>
    <w:docVar w:name="LW_TYPEACTEPRINCIPAL.CP" w:val="&lt;UNUSED&gt;"/>
  </w:docVars>
  <w:rsids>
    <w:rsidRoot w:val="00537046"/>
    <w:rsid w:val="00537046"/>
    <w:rsid w:val="00573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16"/>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16"/>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16"/>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qFormat/>
    <w:pPr>
      <w:keepNext/>
      <w:numPr>
        <w:ilvl w:val="3"/>
        <w:numId w:val="16"/>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lang w:val="fr-BE"/>
    </w:rPr>
  </w:style>
  <w:style w:type="paragraph" w:styleId="Header">
    <w:name w:val="header"/>
    <w:basedOn w:val="Normal"/>
    <w:link w:val="HeaderChar"/>
    <w:uiPriority w:val="99"/>
    <w:unhideWhenUsed/>
    <w:pPr>
      <w:tabs>
        <w:tab w:val="center" w:pos="4536"/>
        <w:tab w:val="right" w:pos="9072"/>
      </w:tabs>
    </w:pPr>
    <w:rPr>
      <w:lang w:val="fr-BE"/>
    </w:rPr>
  </w:style>
  <w:style w:type="character" w:customStyle="1" w:styleId="HeaderChar">
    <w:name w:val="Header Char"/>
    <w:link w:val="Header"/>
    <w:uiPriority w:val="99"/>
    <w:rPr>
      <w:rFonts w:ascii="Calibri" w:eastAsia="Calibri" w:hAnsi="Calibri" w:cs="Times New Roman"/>
      <w:lang w:val="fr-BE"/>
    </w:rPr>
  </w:style>
  <w:style w:type="paragraph" w:styleId="Footer">
    <w:name w:val="footer"/>
    <w:basedOn w:val="Normal"/>
    <w:link w:val="FooterChar"/>
    <w:uiPriority w:val="99"/>
    <w:unhideWhenUsed/>
    <w:pPr>
      <w:tabs>
        <w:tab w:val="center" w:pos="4536"/>
        <w:tab w:val="right" w:pos="9072"/>
      </w:tabs>
    </w:pPr>
    <w:rPr>
      <w:lang w:val="fr-BE"/>
    </w:rPr>
  </w:style>
  <w:style w:type="character" w:customStyle="1" w:styleId="FooterChar">
    <w:name w:val="Footer Char"/>
    <w:link w:val="Footer"/>
    <w:uiPriority w:val="99"/>
    <w:rPr>
      <w:rFonts w:ascii="Calibri" w:eastAsia="Calibri" w:hAnsi="Calibri" w:cs="Times New Roman"/>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fr-BE" w:eastAsia="en-GB"/>
    </w:rPr>
  </w:style>
  <w:style w:type="character" w:customStyle="1" w:styleId="FooterCoverPageChar">
    <w:name w:val="Footer Cover Page Char"/>
    <w:link w:val="FooterCoverPage"/>
    <w:rPr>
      <w:rFonts w:ascii="Times New Roman" w:hAnsi="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fr-BE" w:eastAsia="en-GB"/>
    </w:rPr>
  </w:style>
  <w:style w:type="character" w:customStyle="1" w:styleId="HeaderCoverPageChar">
    <w:name w:val="Header Cover Page Char"/>
    <w:link w:val="HeaderCoverPage"/>
    <w:rPr>
      <w:rFonts w:ascii="Times New Roman" w:hAnsi="Times New Roman"/>
      <w:sz w:val="24"/>
      <w:lang w:val="fr-BE"/>
    </w:rPr>
  </w:style>
  <w:style w:type="paragraph" w:styleId="ListBullet">
    <w:name w:val="List Bullet"/>
    <w:basedOn w:val="Normal"/>
    <w:uiPriority w:val="99"/>
    <w:pPr>
      <w:numPr>
        <w:numId w:val="1"/>
      </w:numPr>
      <w:spacing w:before="120" w:after="120" w:line="240" w:lineRule="auto"/>
      <w:jc w:val="both"/>
    </w:pPr>
    <w:rPr>
      <w:rFonts w:ascii="Times New Roman" w:eastAsia="Times New Roman" w:hAnsi="Times New Roman"/>
      <w:sz w:val="24"/>
      <w:szCs w:val="24"/>
      <w:lang w:eastAsia="en-GB"/>
    </w:rPr>
  </w:style>
  <w:style w:type="character" w:styleId="CommentReference">
    <w:name w:val="annotation reference"/>
    <w:uiPriority w:val="99"/>
    <w:rPr>
      <w:sz w:val="16"/>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eastAsia="Times New Roman" w:hAnsi="Times New Roman"/>
      <w:sz w:val="24"/>
      <w:szCs w:val="20"/>
      <w:lang w:eastAsia="en-GB"/>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eastAsia="Times New Roman" w:hAnsi="Times New Roman"/>
      <w:sz w:val="24"/>
      <w:szCs w:val="20"/>
      <w:lang w:eastAsia="en-GB"/>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olor w:val="333399"/>
      <w:sz w:val="14"/>
      <w:szCs w:val="24"/>
      <w:lang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uiPriority w:val="99"/>
    <w:semiHidden/>
    <w:unhideWhenUsed/>
    <w:pPr>
      <w:spacing w:before="120" w:after="120" w:line="240" w:lineRule="auto"/>
      <w:jc w:val="both"/>
    </w:pPr>
    <w:rPr>
      <w:rFonts w:ascii="Times New Roman" w:eastAsia="Times New Roman" w:hAnsi="Times New Roman"/>
      <w:sz w:val="24"/>
      <w:szCs w:val="20"/>
      <w:lang w:eastAsia="en-GB"/>
    </w:rPr>
  </w:style>
  <w:style w:type="paragraph" w:styleId="ListNumber">
    <w:name w:val="List Number"/>
    <w:basedOn w:val="Normal"/>
    <w:uiPriority w:val="99"/>
    <w:semiHidden/>
    <w:unhideWhenUsed/>
    <w:pPr>
      <w:numPr>
        <w:numId w:val="5"/>
      </w:numPr>
      <w:spacing w:before="120" w:after="120" w:line="240" w:lineRule="auto"/>
      <w:contextualSpacing/>
      <w:jc w:val="both"/>
    </w:pPr>
    <w:rPr>
      <w:rFonts w:ascii="Times New Roman" w:eastAsia="Times New Roman" w:hAnsi="Times New Roman"/>
      <w:sz w:val="24"/>
      <w:szCs w:val="20"/>
      <w:lang w:eastAsia="en-GB"/>
    </w:rPr>
  </w:style>
  <w:style w:type="paragraph" w:styleId="ListNumber2">
    <w:name w:val="List Number 2"/>
    <w:basedOn w:val="Normal"/>
    <w:uiPriority w:val="99"/>
    <w:semiHidden/>
    <w:unhideWhenUsed/>
    <w:pPr>
      <w:numPr>
        <w:numId w:val="6"/>
      </w:numPr>
      <w:spacing w:before="120" w:after="120" w:line="240" w:lineRule="auto"/>
      <w:contextualSpacing/>
      <w:jc w:val="both"/>
    </w:pPr>
    <w:rPr>
      <w:rFonts w:ascii="Times New Roman" w:eastAsia="Times New Roman" w:hAnsi="Times New Roman"/>
      <w:sz w:val="24"/>
      <w:szCs w:val="20"/>
      <w:lang w:eastAsia="en-GB"/>
    </w:rPr>
  </w:style>
  <w:style w:type="paragraph" w:styleId="ListNumber3">
    <w:name w:val="List Number 3"/>
    <w:basedOn w:val="Normal"/>
    <w:uiPriority w:val="99"/>
    <w:semiHidden/>
    <w:unhideWhenUsed/>
    <w:pPr>
      <w:numPr>
        <w:numId w:val="7"/>
      </w:numPr>
      <w:spacing w:before="120" w:after="120" w:line="240" w:lineRule="auto"/>
      <w:contextualSpacing/>
      <w:jc w:val="both"/>
    </w:pPr>
    <w:rPr>
      <w:rFonts w:ascii="Times New Roman" w:eastAsia="Times New Roman" w:hAnsi="Times New Roman"/>
      <w:sz w:val="24"/>
      <w:szCs w:val="20"/>
      <w:lang w:eastAsia="en-GB"/>
    </w:rPr>
  </w:style>
  <w:style w:type="paragraph" w:styleId="ListNumber4">
    <w:name w:val="List Number 4"/>
    <w:basedOn w:val="Normal"/>
    <w:uiPriority w:val="99"/>
    <w:semiHidden/>
    <w:unhideWhenUsed/>
    <w:pPr>
      <w:numPr>
        <w:numId w:val="8"/>
      </w:numPr>
      <w:spacing w:before="120" w:after="120" w:line="240" w:lineRule="auto"/>
      <w:contextualSpacing/>
      <w:jc w:val="both"/>
    </w:pPr>
    <w:rPr>
      <w:rFonts w:ascii="Times New Roman" w:eastAsia="Times New Roman" w:hAnsi="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0"/>
      <w:lang w:eastAsia="en-GB"/>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0"/>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0"/>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0"/>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sz w:val="24"/>
      <w:szCs w:val="20"/>
      <w:lang w:eastAsia="en-GB"/>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sz w:val="24"/>
      <w:szCs w:val="20"/>
      <w:lang w:eastAsia="en-GB"/>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0"/>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0"/>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0"/>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szCs w:val="20"/>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Pr>
      <w:i/>
      <w:iCs/>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Revision">
    <w:name w:val="Revision"/>
    <w:hidden/>
    <w:uiPriority w:val="99"/>
    <w:semiHidden/>
    <w:rPr>
      <w:sz w:val="22"/>
      <w:szCs w:val="22"/>
      <w:lang w:val="fr-BE" w:eastAsia="en-US"/>
    </w:rPr>
  </w:style>
  <w:style w:type="paragraph" w:customStyle="1" w:styleId="Date2">
    <w:name w:val="Date2"/>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eastAsia="Times New Roman"/>
      <w:lang w:val="fr-BE"/>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at1">
    <w:name w:val="a__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16"/>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16"/>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16"/>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qFormat/>
    <w:pPr>
      <w:keepNext/>
      <w:numPr>
        <w:ilvl w:val="3"/>
        <w:numId w:val="16"/>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lang w:val="fr-BE"/>
    </w:rPr>
  </w:style>
  <w:style w:type="paragraph" w:styleId="Header">
    <w:name w:val="header"/>
    <w:basedOn w:val="Normal"/>
    <w:link w:val="HeaderChar"/>
    <w:uiPriority w:val="99"/>
    <w:unhideWhenUsed/>
    <w:pPr>
      <w:tabs>
        <w:tab w:val="center" w:pos="4536"/>
        <w:tab w:val="right" w:pos="9072"/>
      </w:tabs>
    </w:pPr>
    <w:rPr>
      <w:lang w:val="fr-BE"/>
    </w:rPr>
  </w:style>
  <w:style w:type="character" w:customStyle="1" w:styleId="HeaderChar">
    <w:name w:val="Header Char"/>
    <w:link w:val="Header"/>
    <w:uiPriority w:val="99"/>
    <w:rPr>
      <w:rFonts w:ascii="Calibri" w:eastAsia="Calibri" w:hAnsi="Calibri" w:cs="Times New Roman"/>
      <w:lang w:val="fr-BE"/>
    </w:rPr>
  </w:style>
  <w:style w:type="paragraph" w:styleId="Footer">
    <w:name w:val="footer"/>
    <w:basedOn w:val="Normal"/>
    <w:link w:val="FooterChar"/>
    <w:uiPriority w:val="99"/>
    <w:unhideWhenUsed/>
    <w:pPr>
      <w:tabs>
        <w:tab w:val="center" w:pos="4536"/>
        <w:tab w:val="right" w:pos="9072"/>
      </w:tabs>
    </w:pPr>
    <w:rPr>
      <w:lang w:val="fr-BE"/>
    </w:rPr>
  </w:style>
  <w:style w:type="character" w:customStyle="1" w:styleId="FooterChar">
    <w:name w:val="Footer Char"/>
    <w:link w:val="Footer"/>
    <w:uiPriority w:val="99"/>
    <w:rPr>
      <w:rFonts w:ascii="Calibri" w:eastAsia="Calibri" w:hAnsi="Calibri" w:cs="Times New Roman"/>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fr-BE" w:eastAsia="en-GB"/>
    </w:rPr>
  </w:style>
  <w:style w:type="character" w:customStyle="1" w:styleId="FooterCoverPageChar">
    <w:name w:val="Footer Cover Page Char"/>
    <w:link w:val="FooterCoverPage"/>
    <w:rPr>
      <w:rFonts w:ascii="Times New Roman" w:hAnsi="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fr-BE" w:eastAsia="en-GB"/>
    </w:rPr>
  </w:style>
  <w:style w:type="character" w:customStyle="1" w:styleId="HeaderCoverPageChar">
    <w:name w:val="Header Cover Page Char"/>
    <w:link w:val="HeaderCoverPage"/>
    <w:rPr>
      <w:rFonts w:ascii="Times New Roman" w:hAnsi="Times New Roman"/>
      <w:sz w:val="24"/>
      <w:lang w:val="fr-BE"/>
    </w:rPr>
  </w:style>
  <w:style w:type="paragraph" w:styleId="ListBullet">
    <w:name w:val="List Bullet"/>
    <w:basedOn w:val="Normal"/>
    <w:uiPriority w:val="99"/>
    <w:pPr>
      <w:numPr>
        <w:numId w:val="1"/>
      </w:numPr>
      <w:spacing w:before="120" w:after="120" w:line="240" w:lineRule="auto"/>
      <w:jc w:val="both"/>
    </w:pPr>
    <w:rPr>
      <w:rFonts w:ascii="Times New Roman" w:eastAsia="Times New Roman" w:hAnsi="Times New Roman"/>
      <w:sz w:val="24"/>
      <w:szCs w:val="24"/>
      <w:lang w:eastAsia="en-GB"/>
    </w:rPr>
  </w:style>
  <w:style w:type="character" w:styleId="CommentReference">
    <w:name w:val="annotation reference"/>
    <w:uiPriority w:val="99"/>
    <w:rPr>
      <w:sz w:val="16"/>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eastAsia="Times New Roman" w:hAnsi="Times New Roman"/>
      <w:sz w:val="24"/>
      <w:szCs w:val="20"/>
      <w:lang w:eastAsia="en-GB"/>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eastAsia="Times New Roman" w:hAnsi="Times New Roman"/>
      <w:sz w:val="24"/>
      <w:szCs w:val="20"/>
      <w:lang w:eastAsia="en-GB"/>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olor w:val="333399"/>
      <w:sz w:val="14"/>
      <w:szCs w:val="24"/>
      <w:lang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uiPriority w:val="99"/>
    <w:semiHidden/>
    <w:unhideWhenUsed/>
    <w:pPr>
      <w:spacing w:before="120" w:after="120" w:line="240" w:lineRule="auto"/>
      <w:jc w:val="both"/>
    </w:pPr>
    <w:rPr>
      <w:rFonts w:ascii="Times New Roman" w:eastAsia="Times New Roman" w:hAnsi="Times New Roman"/>
      <w:sz w:val="24"/>
      <w:szCs w:val="20"/>
      <w:lang w:eastAsia="en-GB"/>
    </w:rPr>
  </w:style>
  <w:style w:type="paragraph" w:styleId="ListNumber">
    <w:name w:val="List Number"/>
    <w:basedOn w:val="Normal"/>
    <w:uiPriority w:val="99"/>
    <w:semiHidden/>
    <w:unhideWhenUsed/>
    <w:pPr>
      <w:numPr>
        <w:numId w:val="5"/>
      </w:numPr>
      <w:spacing w:before="120" w:after="120" w:line="240" w:lineRule="auto"/>
      <w:contextualSpacing/>
      <w:jc w:val="both"/>
    </w:pPr>
    <w:rPr>
      <w:rFonts w:ascii="Times New Roman" w:eastAsia="Times New Roman" w:hAnsi="Times New Roman"/>
      <w:sz w:val="24"/>
      <w:szCs w:val="20"/>
      <w:lang w:eastAsia="en-GB"/>
    </w:rPr>
  </w:style>
  <w:style w:type="paragraph" w:styleId="ListNumber2">
    <w:name w:val="List Number 2"/>
    <w:basedOn w:val="Normal"/>
    <w:uiPriority w:val="99"/>
    <w:semiHidden/>
    <w:unhideWhenUsed/>
    <w:pPr>
      <w:numPr>
        <w:numId w:val="6"/>
      </w:numPr>
      <w:spacing w:before="120" w:after="120" w:line="240" w:lineRule="auto"/>
      <w:contextualSpacing/>
      <w:jc w:val="both"/>
    </w:pPr>
    <w:rPr>
      <w:rFonts w:ascii="Times New Roman" w:eastAsia="Times New Roman" w:hAnsi="Times New Roman"/>
      <w:sz w:val="24"/>
      <w:szCs w:val="20"/>
      <w:lang w:eastAsia="en-GB"/>
    </w:rPr>
  </w:style>
  <w:style w:type="paragraph" w:styleId="ListNumber3">
    <w:name w:val="List Number 3"/>
    <w:basedOn w:val="Normal"/>
    <w:uiPriority w:val="99"/>
    <w:semiHidden/>
    <w:unhideWhenUsed/>
    <w:pPr>
      <w:numPr>
        <w:numId w:val="7"/>
      </w:numPr>
      <w:spacing w:before="120" w:after="120" w:line="240" w:lineRule="auto"/>
      <w:contextualSpacing/>
      <w:jc w:val="both"/>
    </w:pPr>
    <w:rPr>
      <w:rFonts w:ascii="Times New Roman" w:eastAsia="Times New Roman" w:hAnsi="Times New Roman"/>
      <w:sz w:val="24"/>
      <w:szCs w:val="20"/>
      <w:lang w:eastAsia="en-GB"/>
    </w:rPr>
  </w:style>
  <w:style w:type="paragraph" w:styleId="ListNumber4">
    <w:name w:val="List Number 4"/>
    <w:basedOn w:val="Normal"/>
    <w:uiPriority w:val="99"/>
    <w:semiHidden/>
    <w:unhideWhenUsed/>
    <w:pPr>
      <w:numPr>
        <w:numId w:val="8"/>
      </w:numPr>
      <w:spacing w:before="120" w:after="120" w:line="240" w:lineRule="auto"/>
      <w:contextualSpacing/>
      <w:jc w:val="both"/>
    </w:pPr>
    <w:rPr>
      <w:rFonts w:ascii="Times New Roman" w:eastAsia="Times New Roman" w:hAnsi="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0"/>
      <w:lang w:eastAsia="en-GB"/>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0"/>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0"/>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0"/>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sz w:val="24"/>
      <w:szCs w:val="20"/>
      <w:lang w:eastAsia="en-GB"/>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sz w:val="24"/>
      <w:szCs w:val="20"/>
      <w:lang w:eastAsia="en-GB"/>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0"/>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0"/>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0"/>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szCs w:val="20"/>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Pr>
      <w:i/>
      <w:iCs/>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Revision">
    <w:name w:val="Revision"/>
    <w:hidden/>
    <w:uiPriority w:val="99"/>
    <w:semiHidden/>
    <w:rPr>
      <w:sz w:val="22"/>
      <w:szCs w:val="22"/>
      <w:lang w:val="fr-BE" w:eastAsia="en-US"/>
    </w:rPr>
  </w:style>
  <w:style w:type="paragraph" w:customStyle="1" w:styleId="Date2">
    <w:name w:val="Date2"/>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eastAsia="Times New Roman"/>
      <w:lang w:val="fr-BE"/>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at1">
    <w:name w:val="a__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955">
      <w:bodyDiv w:val="1"/>
      <w:marLeft w:val="0"/>
      <w:marRight w:val="0"/>
      <w:marTop w:val="0"/>
      <w:marBottom w:val="0"/>
      <w:divBdr>
        <w:top w:val="none" w:sz="0" w:space="0" w:color="auto"/>
        <w:left w:val="none" w:sz="0" w:space="0" w:color="auto"/>
        <w:bottom w:val="none" w:sz="0" w:space="0" w:color="auto"/>
        <w:right w:val="none" w:sz="0" w:space="0" w:color="auto"/>
      </w:divBdr>
    </w:div>
    <w:div w:id="161892175">
      <w:bodyDiv w:val="1"/>
      <w:marLeft w:val="0"/>
      <w:marRight w:val="0"/>
      <w:marTop w:val="0"/>
      <w:marBottom w:val="0"/>
      <w:divBdr>
        <w:top w:val="none" w:sz="0" w:space="0" w:color="auto"/>
        <w:left w:val="none" w:sz="0" w:space="0" w:color="auto"/>
        <w:bottom w:val="none" w:sz="0" w:space="0" w:color="auto"/>
        <w:right w:val="none" w:sz="0" w:space="0" w:color="auto"/>
      </w:divBdr>
    </w:div>
    <w:div w:id="287667808">
      <w:bodyDiv w:val="1"/>
      <w:marLeft w:val="0"/>
      <w:marRight w:val="0"/>
      <w:marTop w:val="0"/>
      <w:marBottom w:val="0"/>
      <w:divBdr>
        <w:top w:val="none" w:sz="0" w:space="0" w:color="auto"/>
        <w:left w:val="none" w:sz="0" w:space="0" w:color="auto"/>
        <w:bottom w:val="none" w:sz="0" w:space="0" w:color="auto"/>
        <w:right w:val="none" w:sz="0" w:space="0" w:color="auto"/>
      </w:divBdr>
    </w:div>
    <w:div w:id="494223395">
      <w:bodyDiv w:val="1"/>
      <w:marLeft w:val="0"/>
      <w:marRight w:val="0"/>
      <w:marTop w:val="0"/>
      <w:marBottom w:val="0"/>
      <w:divBdr>
        <w:top w:val="none" w:sz="0" w:space="0" w:color="auto"/>
        <w:left w:val="none" w:sz="0" w:space="0" w:color="auto"/>
        <w:bottom w:val="none" w:sz="0" w:space="0" w:color="auto"/>
        <w:right w:val="none" w:sz="0" w:space="0" w:color="auto"/>
      </w:divBdr>
    </w:div>
    <w:div w:id="513152734">
      <w:bodyDiv w:val="1"/>
      <w:marLeft w:val="0"/>
      <w:marRight w:val="0"/>
      <w:marTop w:val="0"/>
      <w:marBottom w:val="0"/>
      <w:divBdr>
        <w:top w:val="none" w:sz="0" w:space="0" w:color="auto"/>
        <w:left w:val="none" w:sz="0" w:space="0" w:color="auto"/>
        <w:bottom w:val="none" w:sz="0" w:space="0" w:color="auto"/>
        <w:right w:val="none" w:sz="0" w:space="0" w:color="auto"/>
      </w:divBdr>
    </w:div>
    <w:div w:id="1278833657">
      <w:bodyDiv w:val="1"/>
      <w:marLeft w:val="0"/>
      <w:marRight w:val="0"/>
      <w:marTop w:val="0"/>
      <w:marBottom w:val="0"/>
      <w:divBdr>
        <w:top w:val="none" w:sz="0" w:space="0" w:color="auto"/>
        <w:left w:val="none" w:sz="0" w:space="0" w:color="auto"/>
        <w:bottom w:val="none" w:sz="0" w:space="0" w:color="auto"/>
        <w:right w:val="none" w:sz="0" w:space="0" w:color="auto"/>
      </w:divBdr>
    </w:div>
    <w:div w:id="1287813697">
      <w:bodyDiv w:val="1"/>
      <w:marLeft w:val="0"/>
      <w:marRight w:val="0"/>
      <w:marTop w:val="0"/>
      <w:marBottom w:val="0"/>
      <w:divBdr>
        <w:top w:val="none" w:sz="0" w:space="0" w:color="auto"/>
        <w:left w:val="none" w:sz="0" w:space="0" w:color="auto"/>
        <w:bottom w:val="none" w:sz="0" w:space="0" w:color="auto"/>
        <w:right w:val="none" w:sz="0" w:space="0" w:color="auto"/>
      </w:divBdr>
    </w:div>
    <w:div w:id="1409232858">
      <w:bodyDiv w:val="1"/>
      <w:marLeft w:val="0"/>
      <w:marRight w:val="0"/>
      <w:marTop w:val="0"/>
      <w:marBottom w:val="0"/>
      <w:divBdr>
        <w:top w:val="none" w:sz="0" w:space="0" w:color="auto"/>
        <w:left w:val="none" w:sz="0" w:space="0" w:color="auto"/>
        <w:bottom w:val="none" w:sz="0" w:space="0" w:color="auto"/>
        <w:right w:val="none" w:sz="0" w:space="0" w:color="auto"/>
      </w:divBdr>
    </w:div>
    <w:div w:id="1510489997">
      <w:bodyDiv w:val="1"/>
      <w:marLeft w:val="0"/>
      <w:marRight w:val="0"/>
      <w:marTop w:val="0"/>
      <w:marBottom w:val="0"/>
      <w:divBdr>
        <w:top w:val="none" w:sz="0" w:space="0" w:color="auto"/>
        <w:left w:val="none" w:sz="0" w:space="0" w:color="auto"/>
        <w:bottom w:val="none" w:sz="0" w:space="0" w:color="auto"/>
        <w:right w:val="none" w:sz="0" w:space="0" w:color="auto"/>
      </w:divBdr>
    </w:div>
    <w:div w:id="1728186965">
      <w:bodyDiv w:val="1"/>
      <w:marLeft w:val="0"/>
      <w:marRight w:val="0"/>
      <w:marTop w:val="0"/>
      <w:marBottom w:val="0"/>
      <w:divBdr>
        <w:top w:val="none" w:sz="0" w:space="0" w:color="auto"/>
        <w:left w:val="none" w:sz="0" w:space="0" w:color="auto"/>
        <w:bottom w:val="none" w:sz="0" w:space="0" w:color="auto"/>
        <w:right w:val="none" w:sz="0" w:space="0" w:color="auto"/>
      </w:divBdr>
    </w:div>
    <w:div w:id="19544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3553-E2DB-4404-A1B2-686C12CB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11978</Words>
  <Characters>73529</Characters>
  <Application>Microsoft Office Word</Application>
  <DocSecurity>0</DocSecurity>
  <Lines>1185</Lines>
  <Paragraphs>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2016-03-09T12:42:00Z</dcterms:created>
  <dcterms:modified xsi:type="dcterms:W3CDTF">2016-03-10T13:18:00Z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