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0E2E77FB99ED42F3BBFCA7685164CC4C" style="width:450.8pt;height:321.1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before="360" w:after="0" w:line="240" w:lineRule="auto"/>
        <w:jc w:val="center"/>
        <w:rPr>
          <w:rFonts w:ascii="Times New Roman" w:hAnsi="Times New Roman"/>
          <w:b/>
          <w:noProof/>
          <w:sz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>RAPPORT DE LA COMMISSION AU PARLEMENT EUROPÉEN ET AU CONSEIL</w:t>
      </w:r>
    </w:p>
    <w:p>
      <w:pPr>
        <w:spacing w:before="360" w:after="360" w:line="240" w:lineRule="auto"/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relatif à l’exercice du pouvoir d’adopter des actes délégués conféré à la Commission au titre du règlement (UE) nº 1337/2011 concernant les statistiques européennes sur les cultures permanentes</w:t>
      </w:r>
    </w:p>
    <w:p>
      <w:pPr>
        <w:tabs>
          <w:tab w:val="left" w:pos="2070"/>
        </w:tabs>
        <w:spacing w:after="0" w:line="240" w:lineRule="auto"/>
        <w:rPr>
          <w:rFonts w:ascii="Times New Roman" w:eastAsia="Times New Roman" w:hAnsi="Times New Roman"/>
          <w:b/>
          <w:bCs/>
          <w:smallCaps/>
          <w:noProof/>
          <w:sz w:val="24"/>
          <w:szCs w:val="28"/>
        </w:rPr>
      </w:pPr>
      <w:r>
        <w:rPr>
          <w:noProof/>
        </w:rPr>
        <w:tab/>
      </w:r>
    </w:p>
    <w:p>
      <w:pPr>
        <w:keepNext/>
        <w:numPr>
          <w:ilvl w:val="0"/>
          <w:numId w:val="1"/>
        </w:numPr>
        <w:shd w:val="clear" w:color="auto" w:fill="FFFFFF"/>
        <w:spacing w:before="360" w:after="120" w:line="240" w:lineRule="auto"/>
        <w:jc w:val="both"/>
        <w:outlineLvl w:val="0"/>
        <w:rPr>
          <w:rFonts w:ascii="Times New Roman" w:hAnsi="Times New Roman"/>
          <w:b/>
          <w:bCs/>
          <w:smallCaps/>
          <w:noProof/>
          <w:sz w:val="24"/>
          <w:szCs w:val="28"/>
        </w:rPr>
      </w:pPr>
      <w:r>
        <w:rPr>
          <w:rFonts w:ascii="Times New Roman" w:hAnsi="Times New Roman"/>
          <w:b/>
          <w:smallCaps/>
          <w:noProof/>
          <w:sz w:val="24"/>
        </w:rPr>
        <w:t>Contexte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L’article 11, paragraphe 1, du règlement (UE) nº 1337/2011 du Parlement européen et du Conseil du 13 décembre 2011 concernant les statistiques européennes sur les cultures permanentes</w:t>
      </w:r>
      <w:r>
        <w:rPr>
          <w:rStyle w:val="FootnoteReference"/>
          <w:noProof/>
        </w:rPr>
        <w:footnoteReference w:id="1"/>
      </w:r>
      <w:r>
        <w:rPr>
          <w:rFonts w:ascii="Times New Roman" w:hAnsi="Times New Roman"/>
          <w:noProof/>
          <w:sz w:val="24"/>
        </w:rPr>
        <w:t xml:space="preserve"> confère à la Commission le pouvoir d’adopter des actes délégués. Aux termes de l’article 11, paragraphe 2, du règlement, le pouvoir d’adopter des actes délégués est conféré à la Commission pour une période de cinq ans à compter du 31 décembre 2011. Cette période prend fin le 31 décembre 2016. Il est prévu que la délégation de pouvoir soit tacitement prorogée pour des périodes de cinq ans, à moins que le Parlement européen ou le Conseil ne s’y oppose.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La Commission est habilitée à adopter des actes délégués en conformité avec l’article 11, afin de tenir compte des évolutions économiques et techniques. Les actes délégués peuvent modifier:</w:t>
      </w:r>
    </w:p>
    <w:p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les ventilations des espèces par groupes, classes de densité et classes d’âge figurant à l’annexe I;</w:t>
      </w:r>
    </w:p>
    <w:p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les variables/caractéristiques, classes de taille, degrés de spécialisation et variétés de vigne figurant à l’annexe II.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Toutefois, les actes délégués ne peuvent pas modifier la nature facultative des informations requises.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Lorsqu’elle exerce ces compétences, la Commission doit veiller à ce que les actes délégués n’imposent pas un surcroît important de charge administrative aux États membres et aux entités répondantes.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La Commission doit élaborer un rapport relatif à la délégation de pouvoir au plus tard neuf mois avant la fin de la période de cinq ans.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Le présent rapport succinct remplit cette obligation.</w:t>
      </w:r>
    </w:p>
    <w:p>
      <w:pPr>
        <w:keepNext/>
        <w:numPr>
          <w:ilvl w:val="0"/>
          <w:numId w:val="1"/>
        </w:numPr>
        <w:shd w:val="clear" w:color="auto" w:fill="FFFFFF"/>
        <w:spacing w:before="360" w:after="120" w:line="240" w:lineRule="auto"/>
        <w:jc w:val="both"/>
        <w:outlineLvl w:val="0"/>
        <w:rPr>
          <w:rFonts w:ascii="Times New Roman" w:eastAsia="Times New Roman" w:hAnsi="Times New Roman"/>
          <w:b/>
          <w:bCs/>
          <w:smallCaps/>
          <w:noProof/>
          <w:sz w:val="24"/>
          <w:szCs w:val="28"/>
        </w:rPr>
      </w:pPr>
      <w:r>
        <w:rPr>
          <w:rFonts w:ascii="Times New Roman" w:hAnsi="Times New Roman"/>
          <w:b/>
          <w:smallCaps/>
          <w:noProof/>
          <w:sz w:val="24"/>
        </w:rPr>
        <w:t>Exercice par la Commission des pouvoirs qui lui sont délégués au titre du règlement (UE) nº 1337/2011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La Commission n’a pas encore exercé le pouvoir d’adopter des actes délégués qui lui a été conféré par le règlement (UE) nº 1337/2011.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Ledit règlement porte sur la collecte quinquennale de statistiques structurelles relatives aux vergers et aux vignobles. Les premières données sur les vergers ont été collectées en 2012 et transmises à la Commission (Eurostat) à la fin de septembre 2013. Des données sur les vignobles ont été collectées pour la première fois en 2015 et doivent être transmises à la Commission (Eurostat) au plus tard à la fin du mois de septembre 2016. 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Au moment de la remise du présent rapport, l’expérience en matière de collecte de données au titre dudit règlement se limite à la seule collecte de données sur les vergers. Par conséquent, la Commission n’a pas encore jugé nécessaire d’exercer les pouvoirs qui lui sont délégués. </w:t>
      </w:r>
    </w:p>
    <w:p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keepNext/>
        <w:numPr>
          <w:ilvl w:val="0"/>
          <w:numId w:val="1"/>
        </w:numPr>
        <w:shd w:val="clear" w:color="auto" w:fill="FFFFFF"/>
        <w:spacing w:before="360" w:after="120" w:line="240" w:lineRule="auto"/>
        <w:jc w:val="both"/>
        <w:outlineLvl w:val="0"/>
        <w:rPr>
          <w:rFonts w:ascii="Times New Roman" w:hAnsi="Times New Roman"/>
          <w:b/>
          <w:bCs/>
          <w:smallCaps/>
          <w:noProof/>
          <w:sz w:val="24"/>
          <w:szCs w:val="28"/>
        </w:rPr>
      </w:pPr>
      <w:r>
        <w:rPr>
          <w:rFonts w:ascii="Times New Roman" w:hAnsi="Times New Roman"/>
          <w:b/>
          <w:smallCaps/>
          <w:noProof/>
          <w:sz w:val="24"/>
        </w:rPr>
        <w:t>Conclusions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La Commission n’a pas encore exercé le pouvoir d’adopter des actes délégués qui lui a été conféré par le règlement (UE) nº 1337/2011.</w:t>
      </w:r>
    </w:p>
    <w:p>
      <w:pPr>
        <w:spacing w:before="120" w:after="120" w:line="240" w:lineRule="auto"/>
        <w:ind w:left="850"/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>La Commission est d’avis que les pouvoirs délégués que lui confère l’article 11 du règlement devraient être maintenus car, dans le futur, elle pourrait être amenée à adopter un acte délégué en vue de modifier les points mentionnés à l’article 4, paragraphe 3, dudit règlement.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JO L 347 du 30.12.2011, page 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908675B"/>
    <w:multiLevelType w:val="hybridMultilevel"/>
    <w:tmpl w:val="B844B158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revisionView w:markup="0"/>
  <w:doNotTrackMoves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0E2E77FB99ED42F3BBFCA7685164CC4C"/>
    <w:docVar w:name="LW_CROSSREFERENCE" w:val="&lt;UNUSED&gt;"/>
    <w:docVar w:name="LW_DocType" w:val="NORMAL"/>
    <w:docVar w:name="LW_EMISSION" w:val="22.3.2016"/>
    <w:docVar w:name="LW_EMISSION_ISODATE" w:val="2016-03-22"/>
    <w:docVar w:name="LW_EMISSION_LOCATION" w:val="BRX"/>
    <w:docVar w:name="LW_EMISSION_PREFIX" w:val="Bruxelles, le "/>
    <w:docVar w:name="LW_EMISSION_SUFFIX" w:val=" "/>
    <w:docVar w:name="LW_ID_DOCTYPE_NONLW" w:val="CP-006"/>
    <w:docVar w:name="LW_LANGUE" w:val="FR"/>
    <w:docVar w:name="LW_MARKING" w:val="&lt;UNUSED&gt;"/>
    <w:docVar w:name="LW_NOM.INST" w:val="COMMISSION EUROPÉENN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6) 158"/>
    <w:docVar w:name="LW_REF.INTERNE" w:val="&lt;UNUSED&gt;"/>
    <w:docVar w:name="LW_SOUS.TITRE.OBJ.CP" w:val="&lt;UNUSED&gt;"/>
    <w:docVar w:name="LW_SUPERTITRE" w:val="&lt;UNUSED&gt;"/>
    <w:docVar w:name="LW_TITRE.OBJ.CP" w:val="relatif à l\u8217?exercice du pouvoir d\u8217?adopter des actes délégués conféré à la Commission au titre du règlement (UE) nº 1337/2011 concernant les statistiques européennes sur les cultures permanentes"/>
    <w:docVar w:name="LW_TYPE.DOC.CP" w:val="RAPPORT DE LA COMMISSION AU PARLEMENT EUROPÉEN ET A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/>
      <w:bCs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Calibri" w:hAnsi="Calibri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Pr>
      <w:rFonts w:ascii="Times New Roman" w:eastAsia="Times New Roman" w:hAnsi="Times New Roman" w:cs="Times New Roman"/>
      <w:bCs/>
      <w:iCs/>
      <w:sz w:val="24"/>
      <w:lang w:eastAsia="fr-FR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0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036E-36C7-412C-9A45-D4CDED41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511</Words>
  <Characters>2683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DIGIT/A3</cp:lastModifiedBy>
  <cp:revision>18</cp:revision>
  <dcterms:created xsi:type="dcterms:W3CDTF">2016-02-16T10:40:00Z</dcterms:created>
  <dcterms:modified xsi:type="dcterms:W3CDTF">2016-03-15T08:29:00Z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</Properties>
</file>