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8A3373CEF634F75BD27133EDDCA0884" style="width:450.2pt;height:320.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0" w:line="240" w:lineRule="auto"/>
        <w:jc w:val="center"/>
        <w:rPr>
          <w:rFonts w:ascii="Times New Roman" w:hAnsi="Times New Roman"/>
          <w:b/>
          <w:noProof/>
          <w:sz w:val="24"/>
        </w:rPr>
      </w:pPr>
      <w:bookmarkStart w:id="1" w:name="_GoBack"/>
      <w:bookmarkEnd w:id="1"/>
      <w:r>
        <w:rPr>
          <w:rFonts w:ascii="Times New Roman" w:hAnsi="Times New Roman"/>
          <w:b/>
          <w:noProof/>
          <w:sz w:val="24"/>
        </w:rPr>
        <w:lastRenderedPageBreak/>
        <w:t>ДОКЛАД НА КОМИСИЯТА ДО ЕВРОПЕЙСКИЯ ПАРЛАМЕНТ И СЪВЕТА</w:t>
      </w:r>
    </w:p>
    <w:p>
      <w:pPr>
        <w:spacing w:before="360" w:after="360" w:line="240" w:lineRule="auto"/>
        <w:jc w:val="center"/>
        <w:rPr>
          <w:rFonts w:ascii="Times New Roman" w:hAnsi="Times New Roman"/>
          <w:b/>
          <w:noProof/>
          <w:sz w:val="24"/>
        </w:rPr>
      </w:pPr>
      <w:r>
        <w:rPr>
          <w:rFonts w:ascii="Times New Roman" w:hAnsi="Times New Roman"/>
          <w:b/>
          <w:noProof/>
          <w:sz w:val="24"/>
        </w:rPr>
        <w:t>относно упражняването на правомощието за приемане на делегирани актове, предоставено на Комисията по силата на Регламент (ЕС) № 1337/2011 относно европейската статистика за трайните насаждения</w:t>
      </w:r>
    </w:p>
    <w:p>
      <w:pPr>
        <w:tabs>
          <w:tab w:val="left" w:pos="2070"/>
        </w:tabs>
        <w:spacing w:after="0" w:line="240" w:lineRule="auto"/>
        <w:rPr>
          <w:rFonts w:ascii="Times New Roman" w:eastAsia="Times New Roman" w:hAnsi="Times New Roman"/>
          <w:b/>
          <w:bCs/>
          <w:smallCaps/>
          <w:noProof/>
          <w:sz w:val="24"/>
          <w:szCs w:val="28"/>
        </w:rPr>
      </w:pPr>
      <w:r>
        <w:rPr>
          <w:noProof/>
        </w:rPr>
        <w:tab/>
      </w:r>
    </w:p>
    <w:p>
      <w:pPr>
        <w:keepNext/>
        <w:numPr>
          <w:ilvl w:val="0"/>
          <w:numId w:val="1"/>
        </w:numPr>
        <w:shd w:val="clear" w:color="auto" w:fill="FFFFFF"/>
        <w:spacing w:before="360" w:after="120" w:line="240" w:lineRule="auto"/>
        <w:jc w:val="both"/>
        <w:outlineLvl w:val="0"/>
        <w:rPr>
          <w:rFonts w:ascii="Times New Roman" w:hAnsi="Times New Roman"/>
          <w:b/>
          <w:bCs/>
          <w:smallCaps/>
          <w:noProof/>
          <w:sz w:val="24"/>
          <w:szCs w:val="28"/>
        </w:rPr>
      </w:pPr>
      <w:r>
        <w:rPr>
          <w:rFonts w:ascii="Times New Roman" w:hAnsi="Times New Roman"/>
          <w:b/>
          <w:smallCaps/>
          <w:noProof/>
          <w:sz w:val="24"/>
        </w:rPr>
        <w:t>Контекст</w:t>
      </w:r>
    </w:p>
    <w:p>
      <w:pPr>
        <w:spacing w:before="120" w:after="120" w:line="240" w:lineRule="auto"/>
        <w:ind w:left="850"/>
        <w:jc w:val="both"/>
        <w:rPr>
          <w:rFonts w:ascii="Times New Roman" w:hAnsi="Times New Roman"/>
          <w:noProof/>
          <w:sz w:val="24"/>
        </w:rPr>
      </w:pPr>
      <w:r>
        <w:rPr>
          <w:rFonts w:ascii="Times New Roman" w:hAnsi="Times New Roman"/>
          <w:noProof/>
          <w:sz w:val="24"/>
        </w:rPr>
        <w:t>С член 11, параграф 1 от Регламент (ЕС) № 1337/2011 на Европейския парламент и на Съвета от 13 декември 2011 г. относно европейската статистика за трайните насаждения</w:t>
      </w:r>
      <w:r>
        <w:rPr>
          <w:rStyle w:val="FootnoteReference"/>
          <w:noProof/>
        </w:rPr>
        <w:footnoteReference w:id="1"/>
      </w:r>
      <w:r>
        <w:rPr>
          <w:rFonts w:ascii="Times New Roman" w:hAnsi="Times New Roman"/>
          <w:noProof/>
          <w:sz w:val="24"/>
        </w:rPr>
        <w:t xml:space="preserve"> на Комисията се предоставя правомощието да приема делегирани актове. Съгласно член 11, параграф 2 от посочения регламент правомощието да приема делегирани актове се предоставя за срок от пет години, считано от 31 декември 2011 г. Този срок изтича на 31 декември 2016 г. Правомощието се продължава мълчаливо за срокове от по пет години, освен ако Европейският парламент или Съветът представят възражения.</w:t>
      </w:r>
    </w:p>
    <w:p>
      <w:pPr>
        <w:spacing w:before="120" w:after="120" w:line="240" w:lineRule="auto"/>
        <w:ind w:left="850"/>
        <w:jc w:val="both"/>
        <w:rPr>
          <w:rFonts w:ascii="Times New Roman" w:hAnsi="Times New Roman"/>
          <w:noProof/>
          <w:sz w:val="24"/>
        </w:rPr>
      </w:pPr>
      <w:r>
        <w:rPr>
          <w:rFonts w:ascii="Times New Roman" w:hAnsi="Times New Roman"/>
          <w:noProof/>
          <w:sz w:val="24"/>
        </w:rPr>
        <w:t>Комисията е оправомощена да приема делегирани актове в съответствие с член 11, за да се вземат под внимание икономическите и техническите промени. С делегираните актове могат да се изменят:</w:t>
      </w:r>
    </w:p>
    <w:p>
      <w:pPr>
        <w:numPr>
          <w:ilvl w:val="0"/>
          <w:numId w:val="4"/>
        </w:numPr>
        <w:spacing w:before="120" w:after="120" w:line="240" w:lineRule="auto"/>
        <w:contextualSpacing/>
        <w:jc w:val="both"/>
        <w:rPr>
          <w:rFonts w:ascii="Times New Roman" w:hAnsi="Times New Roman"/>
          <w:noProof/>
          <w:sz w:val="24"/>
        </w:rPr>
      </w:pPr>
      <w:r>
        <w:rPr>
          <w:rFonts w:ascii="Times New Roman" w:hAnsi="Times New Roman"/>
          <w:noProof/>
          <w:sz w:val="24"/>
        </w:rPr>
        <w:t>разбивките на видовете по групи, групи по гъстота и групи по възраст, посочени в приложение I към регламента; и</w:t>
      </w:r>
    </w:p>
    <w:p>
      <w:pPr>
        <w:numPr>
          <w:ilvl w:val="0"/>
          <w:numId w:val="4"/>
        </w:numPr>
        <w:spacing w:before="120" w:after="120" w:line="240" w:lineRule="auto"/>
        <w:contextualSpacing/>
        <w:jc w:val="both"/>
        <w:rPr>
          <w:rFonts w:ascii="Times New Roman" w:hAnsi="Times New Roman"/>
          <w:noProof/>
          <w:sz w:val="24"/>
        </w:rPr>
      </w:pPr>
      <w:r>
        <w:rPr>
          <w:rFonts w:ascii="Times New Roman" w:hAnsi="Times New Roman"/>
          <w:noProof/>
          <w:sz w:val="24"/>
        </w:rPr>
        <w:t>променливите величини/характеристиките, групите по размер, степента на специализация и сортовете лози, посочени в приложение II.</w:t>
      </w:r>
    </w:p>
    <w:p>
      <w:pPr>
        <w:spacing w:before="120" w:after="120" w:line="240" w:lineRule="auto"/>
        <w:ind w:left="850"/>
        <w:jc w:val="both"/>
        <w:rPr>
          <w:rFonts w:ascii="Times New Roman" w:hAnsi="Times New Roman"/>
          <w:noProof/>
          <w:sz w:val="24"/>
        </w:rPr>
      </w:pPr>
    </w:p>
    <w:p>
      <w:pPr>
        <w:spacing w:before="120" w:after="120" w:line="240" w:lineRule="auto"/>
        <w:ind w:left="850"/>
        <w:jc w:val="both"/>
        <w:rPr>
          <w:rFonts w:ascii="Times New Roman" w:hAnsi="Times New Roman"/>
          <w:noProof/>
          <w:sz w:val="24"/>
        </w:rPr>
      </w:pPr>
      <w:r>
        <w:rPr>
          <w:rFonts w:ascii="Times New Roman" w:hAnsi="Times New Roman"/>
          <w:noProof/>
          <w:sz w:val="24"/>
        </w:rPr>
        <w:t>С делегираните актове обаче не може да се променя незадължителният характер на изискваната информация.</w:t>
      </w:r>
    </w:p>
    <w:p>
      <w:pPr>
        <w:spacing w:before="120" w:after="120" w:line="240" w:lineRule="auto"/>
        <w:ind w:left="850"/>
        <w:jc w:val="both"/>
        <w:rPr>
          <w:rFonts w:ascii="Times New Roman" w:hAnsi="Times New Roman"/>
          <w:noProof/>
          <w:sz w:val="24"/>
        </w:rPr>
      </w:pPr>
      <w:r>
        <w:rPr>
          <w:rFonts w:ascii="Times New Roman" w:hAnsi="Times New Roman"/>
          <w:noProof/>
          <w:sz w:val="24"/>
        </w:rPr>
        <w:t>При упражняването на това правомощие Комисията трябва да гарантира, че с делегираните актове не се налага значителна допълнителна административна тежест на държавите членки и респондентите.</w:t>
      </w:r>
    </w:p>
    <w:p>
      <w:pPr>
        <w:spacing w:before="120" w:after="120" w:line="240" w:lineRule="auto"/>
        <w:ind w:left="850"/>
        <w:jc w:val="both"/>
        <w:rPr>
          <w:rFonts w:ascii="Times New Roman" w:hAnsi="Times New Roman"/>
          <w:noProof/>
          <w:sz w:val="24"/>
        </w:rPr>
      </w:pPr>
      <w:r>
        <w:rPr>
          <w:rFonts w:ascii="Times New Roman" w:hAnsi="Times New Roman"/>
          <w:noProof/>
          <w:sz w:val="24"/>
        </w:rPr>
        <w:t>Комисията трябва да изготви доклад относно делегираното правомощие не по-късно от девет месеца преди изтичането на петгодишния срок.</w:t>
      </w:r>
    </w:p>
    <w:p>
      <w:pPr>
        <w:spacing w:before="120" w:after="120" w:line="240" w:lineRule="auto"/>
        <w:ind w:left="850"/>
        <w:jc w:val="both"/>
        <w:rPr>
          <w:rFonts w:ascii="Times New Roman" w:hAnsi="Times New Roman"/>
          <w:noProof/>
          <w:sz w:val="24"/>
        </w:rPr>
      </w:pPr>
      <w:r>
        <w:rPr>
          <w:rFonts w:ascii="Times New Roman" w:hAnsi="Times New Roman"/>
          <w:noProof/>
          <w:sz w:val="24"/>
        </w:rPr>
        <w:t>С настоящия кратък доклад се изпълнява това задължение.</w:t>
      </w:r>
    </w:p>
    <w:p>
      <w:pPr>
        <w:keepNext/>
        <w:numPr>
          <w:ilvl w:val="0"/>
          <w:numId w:val="1"/>
        </w:numPr>
        <w:shd w:val="clear" w:color="auto" w:fill="FFFFFF"/>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smallCaps/>
          <w:noProof/>
          <w:sz w:val="24"/>
        </w:rPr>
        <w:t>Упражняване на делегирани правомощия от страна на Комисията в съответствие с Регламент (ЕС) № 1337/2011</w:t>
      </w:r>
    </w:p>
    <w:p>
      <w:pPr>
        <w:spacing w:before="120" w:after="120" w:line="240" w:lineRule="auto"/>
        <w:ind w:left="850"/>
        <w:jc w:val="both"/>
        <w:rPr>
          <w:rFonts w:ascii="Times New Roman" w:hAnsi="Times New Roman"/>
          <w:noProof/>
          <w:sz w:val="24"/>
        </w:rPr>
      </w:pPr>
      <w:r>
        <w:rPr>
          <w:rFonts w:ascii="Times New Roman" w:hAnsi="Times New Roman"/>
          <w:noProof/>
          <w:sz w:val="24"/>
        </w:rPr>
        <w:t>Комисията все още не е упражнила правомощието за приемане на делегирани актове, предоставено ѝ с Регламент (ЕС) № 1337/2011.</w:t>
      </w:r>
    </w:p>
    <w:p>
      <w:pPr>
        <w:spacing w:before="120" w:after="120" w:line="240" w:lineRule="auto"/>
        <w:ind w:left="850"/>
        <w:jc w:val="both"/>
        <w:rPr>
          <w:rFonts w:ascii="Times New Roman" w:hAnsi="Times New Roman"/>
          <w:noProof/>
          <w:sz w:val="24"/>
        </w:rPr>
      </w:pPr>
      <w:r>
        <w:rPr>
          <w:rFonts w:ascii="Times New Roman" w:hAnsi="Times New Roman"/>
          <w:noProof/>
          <w:sz w:val="24"/>
        </w:rPr>
        <w:t xml:space="preserve">Регламентът обхваща събирането на всеки пет години на структурни статистически данни за овощните градини и лозята. Първите данни за овощните градини бяха събрани през 2012 г. и предадени на Комисията (Евростат) в края на септември 2013 г. Първите данни за лозята бяха събрани през 2015 г. и трябва да бъдат предадени на Комисията (Евростат) в края на септември 2016 г. </w:t>
      </w:r>
    </w:p>
    <w:p>
      <w:pPr>
        <w:spacing w:before="120" w:after="120" w:line="240" w:lineRule="auto"/>
        <w:ind w:left="850"/>
        <w:jc w:val="both"/>
        <w:rPr>
          <w:rFonts w:ascii="Times New Roman" w:hAnsi="Times New Roman"/>
          <w:noProof/>
          <w:sz w:val="24"/>
        </w:rPr>
      </w:pPr>
      <w:r>
        <w:rPr>
          <w:rFonts w:ascii="Times New Roman" w:hAnsi="Times New Roman"/>
          <w:noProof/>
          <w:sz w:val="24"/>
        </w:rPr>
        <w:t xml:space="preserve">Към момента на представяне на настоящия доклад опитът в събирането на данни в съответствие с изискванията на регламента се свежда единствено до събирането на данни за овощните градини. Поради това Комисията все още не е счела за необходимо да упражни делегираните правомощия. </w:t>
      </w:r>
    </w:p>
    <w:p>
      <w:pPr>
        <w:autoSpaceDE w:val="0"/>
        <w:autoSpaceDN w:val="0"/>
        <w:adjustRightInd w:val="0"/>
        <w:spacing w:after="0" w:line="240" w:lineRule="auto"/>
        <w:ind w:left="720"/>
        <w:jc w:val="both"/>
        <w:rPr>
          <w:rFonts w:ascii="Times New Roman" w:hAnsi="Times New Roman"/>
          <w:noProof/>
          <w:color w:val="000000"/>
          <w:sz w:val="24"/>
          <w:szCs w:val="24"/>
        </w:rPr>
      </w:pPr>
    </w:p>
    <w:p>
      <w:pPr>
        <w:keepNext/>
        <w:numPr>
          <w:ilvl w:val="0"/>
          <w:numId w:val="1"/>
        </w:numPr>
        <w:shd w:val="clear" w:color="auto" w:fill="FFFFFF"/>
        <w:spacing w:before="360" w:after="120" w:line="240" w:lineRule="auto"/>
        <w:jc w:val="both"/>
        <w:outlineLvl w:val="0"/>
        <w:rPr>
          <w:rFonts w:ascii="Times New Roman" w:hAnsi="Times New Roman"/>
          <w:b/>
          <w:bCs/>
          <w:smallCaps/>
          <w:noProof/>
          <w:sz w:val="24"/>
          <w:szCs w:val="28"/>
        </w:rPr>
      </w:pPr>
      <w:r>
        <w:rPr>
          <w:rFonts w:ascii="Times New Roman" w:hAnsi="Times New Roman"/>
          <w:b/>
          <w:smallCaps/>
          <w:noProof/>
          <w:sz w:val="24"/>
        </w:rPr>
        <w:t>Заключения</w:t>
      </w:r>
    </w:p>
    <w:p>
      <w:pPr>
        <w:spacing w:before="120" w:after="120" w:line="240" w:lineRule="auto"/>
        <w:ind w:left="850"/>
        <w:jc w:val="both"/>
        <w:rPr>
          <w:rFonts w:ascii="Times New Roman" w:hAnsi="Times New Roman"/>
          <w:noProof/>
          <w:sz w:val="24"/>
        </w:rPr>
      </w:pPr>
      <w:r>
        <w:rPr>
          <w:rFonts w:ascii="Times New Roman" w:hAnsi="Times New Roman"/>
          <w:noProof/>
          <w:sz w:val="24"/>
        </w:rPr>
        <w:t>Комисията все още не е упражнила правомощието за приемане на делегирани актове, предоставено ѝ с Регламент (ЕС) № 1337/2011.</w:t>
      </w:r>
    </w:p>
    <w:p>
      <w:pPr>
        <w:spacing w:before="120" w:after="120" w:line="240" w:lineRule="auto"/>
        <w:ind w:left="850"/>
        <w:jc w:val="both"/>
        <w:rPr>
          <w:noProof/>
        </w:rPr>
      </w:pPr>
      <w:r>
        <w:rPr>
          <w:rFonts w:ascii="Times New Roman" w:hAnsi="Times New Roman"/>
          <w:noProof/>
          <w:sz w:val="24"/>
        </w:rPr>
        <w:t>Комисията е на мнение, че следва да продължи да разполага с делегираните правомощия, предоставени с член 11 от регламента, тъй като в бъдеще може да се наложи да приеме делегиран акт за изменение на точките, посочени в член 4, параграф 3 от регламента.</w:t>
      </w:r>
    </w:p>
    <w:p>
      <w:pPr>
        <w:keepNext/>
        <w:shd w:val="clear" w:color="auto" w:fill="FFFFFF"/>
        <w:spacing w:before="360" w:after="120" w:line="240" w:lineRule="auto"/>
        <w:ind w:left="850"/>
        <w:jc w:val="both"/>
        <w:outlineLvl w:val="0"/>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rPr>
        <w:t>ОВ L 347, 30.12.2011 г., стр. 7</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908675B"/>
    <w:multiLevelType w:val="hybridMultilevel"/>
    <w:tmpl w:val="B844B15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revisionView w:markup="0"/>
  <w:doNotTrackMoves/>
  <w:defaultTabStop w:val="720"/>
  <w:hyphenationZone w:val="425"/>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A8A3373CEF634F75BD27133EDDCA0884"/>
    <w:docVar w:name="LW_CROSSREFERENCE" w:val="&lt;UNUSED&gt;"/>
    <w:docVar w:name="LW_DocType" w:val="NORMAL"/>
    <w:docVar w:name="LW_EMISSION" w:val="22.3.2016"/>
    <w:docVar w:name="LW_EMISSION_ISODATE" w:val="2016-03-22"/>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158"/>
    <w:docVar w:name="LW_REF.INTERNE" w:val="&lt;UNUSED&gt;"/>
    <w:docVar w:name="LW_SOUS.TITRE.OBJ.CP" w:val="&lt;UNUSED&gt;"/>
    <w:docVar w:name="LW_SUPERTITRE" w:val="&lt;UNUSED&gt;"/>
    <w:docVar w:name="LW_TITRE.OBJ.CP" w:val="\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87?\u1086? \u1089?\u1080?\u1083?\u1072?\u1090?\u1072? \u1085?\u1072? \u1056?\u1077?\u1075?\u1083?\u1072?\u1084?\u1077?\u1085?\u1090? (\u1045?\u1057?) \u8470? 1337/2011 \u1086?\u1090?\u1085?\u1086?\u1089?\u1085?\u1086? \u1077?\u1074?\u1088?\u1086?\u1087?\u1077?\u1081?\u1089?\u1082?\u1072?\u1090?\u1072? \u1089?\u1090?\u1072?\u1090?\u1080?\u1089?\u1090?\u1080?\u1082?\u1072? \u1079?\u1072? \u1090?\u1088?\u1072?\u1081?\u1085?\u1080?\u1090?\u1077? \u1085?\u1072?\u1089?\u1072?\u1078?\u1076?\u1077?\u1085?\u1080?\u1103?"/>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pPr>
      <w:keepNext/>
      <w:tabs>
        <w:tab w:val="num" w:pos="850"/>
      </w:tabs>
      <w:spacing w:before="120" w:after="120" w:line="240" w:lineRule="auto"/>
      <w:ind w:left="850" w:hanging="850"/>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rPr>
      <w:rFonts w:ascii="Cambria" w:eastAsia="Times New Roman" w:hAnsi="Cambria" w:cs="Times New Roman"/>
      <w:b/>
      <w:bCs/>
      <w:color w:val="4F81BD"/>
      <w:sz w:val="26"/>
      <w:szCs w:val="26"/>
    </w:rPr>
  </w:style>
  <w:style w:type="character" w:customStyle="1" w:styleId="Heading3Char">
    <w:name w:val="Heading 3 Char"/>
    <w:link w:val="Heading3"/>
    <w:uiPriority w:val="9"/>
    <w:rPr>
      <w:rFonts w:ascii="Cambria" w:eastAsia="Times New Roman" w:hAnsi="Cambria" w:cs="Times New Roman"/>
      <w:b/>
      <w:bCs/>
      <w:color w:val="4F81BD"/>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link w:val="FootnoteText"/>
    <w:uiPriority w:val="99"/>
    <w:semiHidden/>
    <w:rPr>
      <w:rFonts w:ascii="Calibri" w:hAnsi="Calibri"/>
      <w:sz w:val="20"/>
      <w:szCs w:val="20"/>
    </w:rPr>
  </w:style>
  <w:style w:type="character" w:customStyle="1" w:styleId="Heading4Char">
    <w:name w:val="Heading 4 Char"/>
    <w:link w:val="Heading4"/>
    <w:uiPriority w:val="9"/>
    <w:semiHidden/>
    <w:rPr>
      <w:rFonts w:ascii="Times New Roman" w:eastAsia="Times New Roman" w:hAnsi="Times New Roman" w:cs="Times New Roman"/>
      <w:bCs/>
      <w:iCs/>
      <w:sz w:val="24"/>
      <w:lang w:eastAsia="bg-BG"/>
    </w:rPr>
  </w:style>
  <w:style w:type="character" w:styleId="FootnoteReference">
    <w:name w:val="footnote reference"/>
    <w:uiPriority w:val="99"/>
    <w:unhideWhenUsed/>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hAnsi="Calibri"/>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hAnsi="Calibri"/>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rPr>
  </w:style>
  <w:style w:type="character" w:customStyle="1" w:styleId="HeaderCoverPageChar">
    <w:name w:val="Header Cover Page Char"/>
    <w:link w:val="HeaderCoverPage"/>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rFonts w:ascii="Calibri" w:hAnsi="Calibri"/>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5929">
      <w:bodyDiv w:val="1"/>
      <w:marLeft w:val="0"/>
      <w:marRight w:val="0"/>
      <w:marTop w:val="0"/>
      <w:marBottom w:val="0"/>
      <w:divBdr>
        <w:top w:val="none" w:sz="0" w:space="0" w:color="auto"/>
        <w:left w:val="none" w:sz="0" w:space="0" w:color="auto"/>
        <w:bottom w:val="none" w:sz="0" w:space="0" w:color="auto"/>
        <w:right w:val="none" w:sz="0" w:space="0" w:color="auto"/>
      </w:divBdr>
    </w:div>
    <w:div w:id="381027463">
      <w:bodyDiv w:val="1"/>
      <w:marLeft w:val="0"/>
      <w:marRight w:val="0"/>
      <w:marTop w:val="0"/>
      <w:marBottom w:val="0"/>
      <w:divBdr>
        <w:top w:val="none" w:sz="0" w:space="0" w:color="auto"/>
        <w:left w:val="none" w:sz="0" w:space="0" w:color="auto"/>
        <w:bottom w:val="none" w:sz="0" w:space="0" w:color="auto"/>
        <w:right w:val="none" w:sz="0" w:space="0" w:color="auto"/>
      </w:divBdr>
    </w:div>
    <w:div w:id="82439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239F1-3053-4065-92B1-07331D92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451</Words>
  <Characters>2563</Characters>
  <Application>Microsoft Office Word</Application>
  <DocSecurity>0</DocSecurity>
  <Lines>55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16</cp:revision>
  <dcterms:created xsi:type="dcterms:W3CDTF">2016-02-16T10:40:00Z</dcterms:created>
  <dcterms:modified xsi:type="dcterms:W3CDTF">2016-03-15T08:30:00Z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