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1EF03030F674A0081B7E999C91B2912" style="width:450.6pt;height:479.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ManualNumPar1"/>
        <w:rPr>
          <w:noProof/>
        </w:rPr>
      </w:pPr>
      <w:r>
        <w:t>1.</w:t>
      </w:r>
      <w:r>
        <w:tab/>
      </w:r>
      <w:r>
        <w:rPr>
          <w:noProof/>
        </w:rPr>
        <w:t>С предложението се цели да се намери подход към сериозните проблеми, които понастоящем стоят пред пазара, които за пръв път бяха идентифицирани при последваща оценка на Регламент (ЕО) № 2003/2003 („съществуващ регламент за торовете“), извършена през 2010 г.</w:t>
      </w:r>
      <w:r>
        <w:rPr>
          <w:rStyle w:val="FootnoteReference"/>
          <w:noProof/>
        </w:rPr>
        <w:footnoteReference w:id="1"/>
      </w:r>
      <w:r>
        <w:rPr>
          <w:noProof/>
        </w:rPr>
        <w:t xml:space="preserve"> То също така беше определено като едно от основните законодателни предложения в рамките на плана за действие за кръговата икономика</w:t>
      </w:r>
      <w:r>
        <w:rPr>
          <w:rStyle w:val="FootnoteReference"/>
          <w:noProof/>
        </w:rPr>
        <w:footnoteReference w:id="2"/>
      </w:r>
      <w:r>
        <w:rPr>
          <w:noProof/>
        </w:rPr>
        <w:t>.</w:t>
      </w:r>
    </w:p>
    <w:p>
      <w:pPr>
        <w:pStyle w:val="ManualHeading2"/>
        <w:rPr>
          <w:rFonts w:eastAsia="Arial Unicode MS"/>
          <w:i/>
          <w:noProof/>
        </w:rPr>
      </w:pPr>
      <w:r>
        <w:rPr>
          <w:noProof/>
        </w:rPr>
        <w:tab/>
      </w:r>
      <w:r>
        <w:rPr>
          <w:i/>
          <w:noProof/>
        </w:rPr>
        <w:t>Първа причина и цел</w:t>
      </w:r>
    </w:p>
    <w:p>
      <w:pPr>
        <w:pStyle w:val="ManualNumPar1"/>
        <w:rPr>
          <w:noProof/>
        </w:rPr>
      </w:pPr>
      <w:r>
        <w:t>2.</w:t>
      </w:r>
      <w:r>
        <w:tab/>
      </w:r>
      <w:r>
        <w:rPr>
          <w:noProof/>
        </w:rPr>
        <w:t>На първо място, иновативните продукти за наторяване, често пъти съдържащи  хранителни елементи или органични материали, рециклирани от биологични отпадъци или други вторични суровини, съответстващи на модела на кръговата икономика, срещат затруднения да достигат до вътрешния пазар поради наличието на различаващи се национални разпоредби и стандарти.</w:t>
      </w:r>
    </w:p>
    <w:p>
      <w:pPr>
        <w:pStyle w:val="ManualNumPar1"/>
        <w:rPr>
          <w:noProof/>
        </w:rPr>
      </w:pPr>
      <w:r>
        <w:t>3.</w:t>
      </w:r>
      <w:r>
        <w:tab/>
      </w:r>
      <w:r>
        <w:rPr>
          <w:noProof/>
        </w:rPr>
        <w:t>Съществуващият регламент за торовете гарантира свободното движение на вътрешния пазар на един клас хармонизирани продукти, които спадат към един от продуктовите типове, включени в приложение I към посочения регламент. Допустимо е такива продукти да бъдат етикетирани като ЕО торове. Дружествата, които желаят да пуснат на пазара продукти от други типове като ЕО торове, трябва първо да получат ново одобрение на типа чрез решение на Комисията, с което се изменя посоченото приложение. Почти всички продуктови типове, които понастоящем са включени в съществуващия регламент за торовете, са конвенционални неорганични торове, които обичайно се добиват в мини или се произвеждат по химичен път  в съответствие с модела на линейната икономика. Също така, химичните процеси за производство например на азотни торове са едновременно енергоемки и отделящи значително количество СО</w:t>
      </w:r>
      <w:r>
        <w:rPr>
          <w:noProof/>
          <w:vertAlign w:val="subscript"/>
        </w:rPr>
        <w:t>2</w:t>
      </w:r>
      <w:r>
        <w:rPr>
          <w:noProof/>
        </w:rPr>
        <w:t>.</w:t>
      </w:r>
    </w:p>
    <w:p>
      <w:pPr>
        <w:pStyle w:val="ManualNumPar1"/>
        <w:rPr>
          <w:noProof/>
        </w:rPr>
      </w:pPr>
      <w:r>
        <w:t>4.</w:t>
      </w:r>
      <w:r>
        <w:tab/>
      </w:r>
      <w:r>
        <w:rPr>
          <w:noProof/>
        </w:rPr>
        <w:t xml:space="preserve">От друга страна, 50 % от торовете, които понастоящем се предлагат на пазара, остават извън обхвата на регламента за торовете. Това се отнася за малък брой неорганични торове и за почти всички торове, получавани от органични материали, напр. животински или други селскостопански странични продукти или рециклирани биологични отпадъци от хранителната верига. Научните изследвания, иновациите и инвестициите понастоящем бележат бързо развитие, като дават принос за кръговата икономика, създават работни места на местно равнище и генерират стойност от вторични ресурси с локален произход, които иначе биха били използвани директно на полето или депонирани като отпадъци, с което биха предизвикали ненужна еутрофикация и емисии на парникови газове. Налице е също така и тенденция на ориентиране към услуги в бизнеса, като се засилва персонализирането на продуктите въз основа на анализа на почвата, където ще се използва торът. Малките и средните предприятия, а също и други стопански субекти в цяла Европа проявяват все по-силен интерес към включване в този процес. Все пак, достъпът до вътрешния пазар на персонализираните продукти, които съдържат органични торове, понастоящем зависи от взаимното признаване и поради това често е възпрепятстван. </w:t>
      </w:r>
    </w:p>
    <w:p>
      <w:pPr>
        <w:pStyle w:val="ManualNumPar1"/>
        <w:rPr>
          <w:noProof/>
        </w:rPr>
      </w:pPr>
      <w:r>
        <w:t>5.</w:t>
      </w:r>
      <w:r>
        <w:tab/>
      </w:r>
      <w:r>
        <w:rPr>
          <w:noProof/>
        </w:rPr>
        <w:t>Проблемът за иновативните торове по отношение на съществуващата правна рамка има два аспекта.</w:t>
      </w:r>
    </w:p>
    <w:p>
      <w:pPr>
        <w:pStyle w:val="ManualNumPar1"/>
        <w:rPr>
          <w:noProof/>
        </w:rPr>
      </w:pPr>
      <w:r>
        <w:t>6.</w:t>
      </w:r>
      <w:r>
        <w:tab/>
      </w:r>
      <w:r>
        <w:rPr>
          <w:noProof/>
        </w:rPr>
        <w:t xml:space="preserve">Първият е че включването в съществуващия регламент за торовете на типове продукти, които произлизат от органични или вторични суровини, е проблематично. Регулаторните органи се колебаят поради относително променливия състав и характеристики на тези материали. Съществуващият регламент за торовете е ясно приспособен за добре характеризирани, неорганични торове от първични суровини, като в него липсват строгите механизми за контрол и гаранциите, които са необходими за създаване на доверие по отношение на продукти от органичен произход или от вторични суровини, които по същността си са с променлив състав. Освен това, все още не са ясни връзките със съществуващото законодателство за контрол на страничните животински продукти и отпадъците. </w:t>
      </w:r>
    </w:p>
    <w:p>
      <w:pPr>
        <w:pStyle w:val="ManualNumPar1"/>
        <w:rPr>
          <w:noProof/>
        </w:rPr>
      </w:pPr>
      <w:r>
        <w:t>7.</w:t>
      </w:r>
      <w:r>
        <w:tab/>
      </w:r>
      <w:r>
        <w:rPr>
          <w:noProof/>
        </w:rPr>
        <w:t>В резултат на това торовете, произведени от изходни материали в съответствие с кръговата икономика, остават нехармонизирани. В много държави членки за подобни нехармонизирани торове са въведени подробни национални правила и стандарти с екологични изисквания (напр. гранични стойности за тежки метали), които не се прилагат за ЕО торове. Освен това, свободното движение между държавите членки чрез взаимно признаване е доказано много трудно. В резултат на това установен в една държава членка производител на торове, произлизащи от органични или вторични суровини, който желае да разшири пазара си на територията на друга държава членка, често се изправя пред административни процедури, които правят разширяването на пазара възпрепятстващо скъпо. Получаващият се в резултат на това недостиг на критична маса възпрепятства инвестициите в този важен сектор на кръговата икономика. Проблемът е от особено значение за производителите, установени в държави членки, чийто вътрешен пазар е малък в сравнение с излишъка на органични вторични суровини (най-често оборски тор), с който разполагат.</w:t>
      </w:r>
    </w:p>
    <w:p>
      <w:pPr>
        <w:pStyle w:val="ManualNumPar1"/>
        <w:rPr>
          <w:noProof/>
        </w:rPr>
      </w:pPr>
      <w:r>
        <w:t>8.</w:t>
      </w:r>
      <w:r>
        <w:tab/>
      </w:r>
      <w:r>
        <w:rPr>
          <w:noProof/>
        </w:rPr>
        <w:t>Накратко, условията на конкуренцията между торовете, произведени от локални органични или вторични суровини, съответстващи на модела на кръговата икономика, и онези, които са произведени в съответствие с модела на линейната икономика, са по-благосклонни към последните. Това нарушаване на конкуренцията затруднява инвестициите в кръговата икономика.</w:t>
      </w:r>
    </w:p>
    <w:p>
      <w:pPr>
        <w:pStyle w:val="ManualNumPar1"/>
        <w:rPr>
          <w:noProof/>
        </w:rPr>
      </w:pPr>
      <w:r>
        <w:t>9.</w:t>
      </w:r>
      <w:r>
        <w:tab/>
      </w:r>
      <w:r>
        <w:rPr>
          <w:noProof/>
        </w:rPr>
        <w:t>Проблемът се усложнява от факта, че една от основните съставки на торовете е фосфоритът, който е определен от Комисията като суровина от изключителна важност. По отношение на фосфорните торове понастоящем ЕС е силно зависим от вноса на фосфорит, добиван извън ЕС (повече от 90 % от фосфорните торове, използвани в ЕС, се внасят, основно от Мароко, Тунис и Русия). Тази ситуация е налице, въпреки че наличните в ЕС отпадъци (по-специално утайката от пречистване на отпадъчни води) съдържат голямо количество фосфор, който, ако бъде рециклиран съгласно модела на кръговата икономика, би могъл да покрие около 20—30 % от нуждата от фосфорни торове в ЕС. Свързаният с това инвестиционен потенциал остава обаче в голяма степен неизползван, което по-специално се дължи на споменатите трудности за достъп до вътрешния пазар.</w:t>
      </w:r>
    </w:p>
    <w:p>
      <w:pPr>
        <w:pStyle w:val="ManualNumPar1"/>
        <w:rPr>
          <w:noProof/>
        </w:rPr>
      </w:pPr>
      <w:r>
        <w:t>10.</w:t>
      </w:r>
      <w:r>
        <w:tab/>
      </w:r>
      <w:r>
        <w:rPr>
          <w:noProof/>
        </w:rPr>
        <w:t xml:space="preserve">Вторият аспект на ограничеността на настоящия Регламент за торовете по отношение на новаторските торове е това, че дори за нови неорганични торове от първични суровини, процедурата за одобряване на типа е твърде дълга и не може да се синхронизира с цикъла на иновациите в отрасъла на торовете. Поради това бе сметнато за необходимо основно да се преразгледа и модернизира регулаторната техника с цел да се увеличи гъвкавостта по отношение на изискванията към продукта, като се поддържа високо равнище на защита на човешкото здраве, на здравето на животните и растенията, безопасността, и защита на околната среда. Съображенията в това отношение са подробно изложени по-долу в Раздел 3. </w:t>
      </w:r>
      <w:r>
        <w:rPr>
          <w:i/>
          <w:noProof/>
        </w:rPr>
        <w:t>Резултати от последващи оценки, консултации със заинтересованите страни и оценка на въздействието.</w:t>
      </w:r>
    </w:p>
    <w:p>
      <w:pPr>
        <w:pStyle w:val="ManualNumPar1"/>
        <w:rPr>
          <w:noProof/>
        </w:rPr>
      </w:pPr>
      <w:r>
        <w:t>11.</w:t>
      </w:r>
      <w:r>
        <w:tab/>
      </w:r>
      <w:r>
        <w:rPr>
          <w:noProof/>
        </w:rPr>
        <w:t>Основната цел на инициативата следователно е да се стимулира широкомащабното производство на торове в ЕС от вътрешни за ЕС органични или вторични суровини в съответствие с модела на кръгова икономика, като се преобразуват отпадъците в хранителни елементи за селскостопанските култури. С предложението се осигурява регулаторна рамка, която радикално улеснява достъпа до вътрешния пазар на такива торове, с което те се поставят в условия на конкуренция, еднакви с онези на торовете, добивани в мини, или химическите торове, произвеждани в съответствие с модела на линейната икономика Това ще допринесе за следните цели на кръговата икономика:</w:t>
      </w:r>
    </w:p>
    <w:p>
      <w:pPr>
        <w:pStyle w:val="Bullet1"/>
        <w:numPr>
          <w:ilvl w:val="0"/>
          <w:numId w:val="44"/>
        </w:numPr>
        <w:rPr>
          <w:noProof/>
        </w:rPr>
      </w:pPr>
      <w:r>
        <w:rPr>
          <w:noProof/>
        </w:rPr>
        <w:t>ще позволи повишаване на стойността на вторичните суровини, с което ще се даде възможност за по-добро  използване на суровините и преобразуване на проблемите с еутрофикацията и управлението на отпадъците в икономически възможности за публични и частни оператори;</w:t>
      </w:r>
    </w:p>
    <w:p>
      <w:pPr>
        <w:pStyle w:val="Bullet1"/>
        <w:rPr>
          <w:noProof/>
        </w:rPr>
      </w:pPr>
      <w:r>
        <w:rPr>
          <w:noProof/>
        </w:rPr>
        <w:t>ще повиши ресурсната ефективност и ще намали зависимостта от внос на основни суровини за европейското селско стопанство, по-специално на фосфор;</w:t>
      </w:r>
    </w:p>
    <w:p>
      <w:pPr>
        <w:pStyle w:val="Bullet1"/>
        <w:rPr>
          <w:noProof/>
        </w:rPr>
      </w:pPr>
      <w:r>
        <w:rPr>
          <w:noProof/>
        </w:rPr>
        <w:t xml:space="preserve">ще стимулира инвестициите и иновациите в кръговата икономика, с което ще създаде работни места в ЕС; </w:t>
      </w:r>
    </w:p>
    <w:p>
      <w:pPr>
        <w:pStyle w:val="Bullet1"/>
        <w:rPr>
          <w:noProof/>
        </w:rPr>
      </w:pPr>
      <w:r>
        <w:rPr>
          <w:noProof/>
        </w:rPr>
        <w:t>ще способства за облекчаване на натиска върху торовата индустрия, на който тя е понастоящем обект, за намаляване на емисиите на СО</w:t>
      </w:r>
      <w:r>
        <w:rPr>
          <w:noProof/>
          <w:vertAlign w:val="subscript"/>
        </w:rPr>
        <w:t>2</w:t>
      </w:r>
      <w:r>
        <w:rPr>
          <w:noProof/>
        </w:rPr>
        <w:t xml:space="preserve"> в рамките на ETS, като ѝ позволи да произвежда торове от суровини с по-нисък въглероден интензитет.</w:t>
      </w:r>
    </w:p>
    <w:p>
      <w:pPr>
        <w:pStyle w:val="ManualNumPar1"/>
        <w:rPr>
          <w:noProof/>
        </w:rPr>
      </w:pPr>
      <w:r>
        <w:t>12.</w:t>
      </w:r>
      <w:r>
        <w:tab/>
      </w:r>
      <w:r>
        <w:rPr>
          <w:noProof/>
        </w:rPr>
        <w:t xml:space="preserve">Увеличаването на производството на иновативни торове и на търговията с тях също така ще разнообрази асортимента на торовете, предлагани на земеделските стопани, като потенциално способства производството на храни да става по-ефикасно от гледна точка на разходите и ресурсите. </w:t>
      </w:r>
    </w:p>
    <w:p>
      <w:pPr>
        <w:pStyle w:val="ManualHeading2"/>
        <w:rPr>
          <w:rFonts w:eastAsia="Arial Unicode MS"/>
          <w:i/>
          <w:noProof/>
        </w:rPr>
      </w:pPr>
      <w:r>
        <w:rPr>
          <w:noProof/>
        </w:rPr>
        <w:tab/>
      </w:r>
      <w:r>
        <w:rPr>
          <w:i/>
          <w:noProof/>
        </w:rPr>
        <w:t>Втора причина и цел</w:t>
      </w:r>
    </w:p>
    <w:p>
      <w:pPr>
        <w:pStyle w:val="ManualNumPar1"/>
        <w:rPr>
          <w:noProof/>
        </w:rPr>
      </w:pPr>
      <w:r>
        <w:t>13.</w:t>
      </w:r>
      <w:r>
        <w:tab/>
      </w:r>
      <w:r>
        <w:rPr>
          <w:noProof/>
        </w:rPr>
        <w:t>Второ, в рамките на съществуващия регламент за торовете не може да се намери решение на опасенията за околната среда, породени от замърсяването на почвата, вътрешните водни басейни, морето и в крайна сметка на храната от ЕО торовете. Добре познат проблем е наличието на кадмий в неорганичните фосфорни торове. В отговор на липсата на пределно допустима стойност за ЕС някои държави членки едностранно наложиха пределно допустими стойности за кадмия по силата на член 114 от ДФЕС, с което бе създадена известна разпокъсаност на пазара и в хармонизираната област. Наличието на замърсители в тези торове, което понастоящем се регулира от национални правила (напр. хранителни елементи, рециклирани от утайка от пречистване на отпадъчни води) поражда сходни опасения.</w:t>
      </w:r>
    </w:p>
    <w:p>
      <w:pPr>
        <w:pStyle w:val="ManualNumPar1"/>
        <w:rPr>
          <w:noProof/>
        </w:rPr>
      </w:pPr>
      <w:r>
        <w:t>14.</w:t>
      </w:r>
      <w:r>
        <w:tab/>
      </w:r>
      <w:r>
        <w:rPr>
          <w:noProof/>
        </w:rPr>
        <w:t>Втората цел на политиката следователно е да се намери подход за справяне с този проблем и да се въведат хармонизирани пределни стойности за кадмий във фосфорните торове. Определянето на подобни пределно допустими стойности, чрез които се цели да се ограничи до минимум негативното въздействие на торовете върху околната среда и човешкото здраве, ще допринесе за намаляване на натрупването на кадмий в почвата и на замърсяването с кадмий на храните и водата. То ще преодолее също и разпокъсаността на пазара, съществуваща под формата на национални пределни стойности за кадмий в някои държави членки, която понастоящем се засилва поради опасенията по отношение на кадмий.</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Style w:val="ManualNumPar1"/>
        <w:rPr>
          <w:noProof/>
        </w:rPr>
      </w:pPr>
      <w:r>
        <w:t>15.</w:t>
      </w:r>
      <w:r>
        <w:tab/>
      </w:r>
      <w:r>
        <w:rPr>
          <w:noProof/>
        </w:rPr>
        <w:t>Предложението ще отмени съществуващия регламент за торовете, но ще даде възможност вече хармонизираните торове да останат на пазара при условие, че отговарят на новите изисквания за безопасност и качество. В него ще се определят условията, при които към торовете, произведени от отпадъци и животински странични продукти, могат да не се прилагат контролните мерки, предвидени в 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w:t>
      </w:r>
      <w:r>
        <w:rPr>
          <w:rStyle w:val="FootnoteReference"/>
          <w:noProof/>
        </w:rPr>
        <w:footnoteReference w:id="3"/>
      </w:r>
      <w:r>
        <w:rPr>
          <w:noProof/>
        </w:rPr>
        <w:t xml:space="preserve"> и Директива 2008/98/ЕО  относно отпадъците и за отмяна на определени директиви</w:t>
      </w:r>
      <w:r>
        <w:rPr>
          <w:rStyle w:val="FootnoteReference"/>
          <w:noProof/>
        </w:rPr>
        <w:footnoteReference w:id="4"/>
      </w:r>
      <w:r>
        <w:rPr>
          <w:noProof/>
        </w:rPr>
        <w:t>, и да се движат свободно като торове с маркировка „CE“. Предложеният акт ще допълва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w:t>
      </w:r>
      <w:r>
        <w:rPr>
          <w:rStyle w:val="FootnoteReference"/>
          <w:noProof/>
        </w:rPr>
        <w:footnoteReference w:id="5"/>
      </w:r>
      <w:r>
        <w:rPr>
          <w:noProof/>
        </w:rPr>
        <w:t>, който ще продължи да се прилага към химичните вещества, влагани в продуктите за наторяване.</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Style w:val="ManualNumPar1"/>
        <w:rPr>
          <w:noProof/>
        </w:rPr>
      </w:pPr>
      <w:r>
        <w:t>16.</w:t>
      </w:r>
      <w:r>
        <w:tab/>
      </w:r>
      <w:r>
        <w:rPr>
          <w:noProof/>
        </w:rPr>
        <w:t>Инициативата подкрепя Програмата на Комисията за работни места, растеж и инвестиции,</w:t>
      </w:r>
      <w:r>
        <w:t xml:space="preserve"> </w:t>
      </w:r>
      <w:r>
        <w:rPr>
          <w:noProof/>
        </w:rPr>
        <w:t xml:space="preserve"> като осигурява най-подходящата нормативна уредба за инвестиции в реалната икономика. </w:t>
      </w:r>
    </w:p>
    <w:p>
      <w:pPr>
        <w:pStyle w:val="ManualNumPar1"/>
        <w:rPr>
          <w:noProof/>
        </w:rPr>
      </w:pPr>
      <w:r>
        <w:t>17.</w:t>
      </w:r>
      <w:r>
        <w:tab/>
      </w:r>
      <w:r>
        <w:rPr>
          <w:noProof/>
        </w:rPr>
        <w:t>По-специално, инициативата ще направи значителен и конкретен принос за пакета на Комисията за кръговата икономика. Тя ще създаде еднакви условия на конкуренция за всички продукти за наторяване и ще улесни използването на местни вторични суровини.</w:t>
      </w:r>
    </w:p>
    <w:p>
      <w:pPr>
        <w:pStyle w:val="ManualNumPar1"/>
        <w:rPr>
          <w:noProof/>
        </w:rPr>
      </w:pPr>
      <w:r>
        <w:t>18.</w:t>
      </w:r>
      <w:r>
        <w:tab/>
      </w:r>
      <w:r>
        <w:rPr>
          <w:noProof/>
        </w:rPr>
        <w:t>Освен това, с инициативата се подкрепя целта за създаване на по-задълбочен и по-справедлив вътрешен пазар с укрепена индустриална база чрез премахване на съществуващите бариери пред свободното движение на някои иновативни торове и улесняване на надзора на пазара от страна на държавите членки.</w:t>
      </w:r>
    </w:p>
    <w:p>
      <w:pPr>
        <w:pStyle w:val="ManualNumPar1"/>
        <w:rPr>
          <w:noProof/>
        </w:rPr>
      </w:pPr>
      <w:r>
        <w:t>19.</w:t>
      </w:r>
      <w:r>
        <w:tab/>
      </w:r>
      <w:r>
        <w:rPr>
          <w:noProof/>
        </w:rPr>
        <w:t>Инициативата е във връзка със следните инициативи в областта на политиките:</w:t>
      </w:r>
    </w:p>
    <w:p>
      <w:pPr>
        <w:pStyle w:val="Bullet1"/>
        <w:rPr>
          <w:noProof/>
        </w:rPr>
      </w:pPr>
      <w:r>
        <w:rPr>
          <w:noProof/>
        </w:rPr>
        <w:t>Пакет от мерки за кръговата икономика: с преразглеждането на регламента за торовете се цели създаване на регулаторна рамка, която да дава възможност за производство на торове от рециклирани биоотпадъци и други вторични суровини в съответствие със стратегията за биоикономика</w:t>
      </w:r>
      <w:r>
        <w:rPr>
          <w:rStyle w:val="FootnoteReference"/>
          <w:noProof/>
        </w:rPr>
        <w:footnoteReference w:id="6"/>
      </w:r>
      <w:r>
        <w:rPr>
          <w:noProof/>
        </w:rPr>
        <w:t>, която обхваща производството на възобновяеми биологични ресурси и преобразуването на тези отпадъци, както и на потоци от отпадъци, в продукти с добавена стойност. Това ще стимулира снабдяването от източници от ЕС с растителни хранителни елементи, които са от основно значение за устойчиво европейско селско стопанство, включително с такава суровина от изключително важно значение, каквато е фосфорът. То ще допринесе за по-добро прилагане на йерархията на отпадъците чрез намаляване до минимум на депонирането на биоотпадъците или оползотворяването им за получаване на енергия, и с това — за разрешаване на свързаните с това проблеми по управлението на отпадъците.</w:t>
      </w:r>
    </w:p>
    <w:p>
      <w:pPr>
        <w:pStyle w:val="Bullet1"/>
        <w:rPr>
          <w:noProof/>
        </w:rPr>
      </w:pPr>
      <w:r>
        <w:rPr>
          <w:noProof/>
        </w:rPr>
        <w:t>Стратегия за единен пазар: Както е описано по-горе, добре познато препятствие пред свободното движение в рамките на вътрешния пазар са сложните и различаващи се помежду си национални регулаторни рамки за торовете, които не са обхванати от законодателството за хармонизиране. Докато икономическите оператори често разглеждат различаващите се национални правила като непреодолими препятствия за навлизане на нови пазари, държавите членки смятат, че правилата имат основна роля за защитата на хранителната верига и околната среда.</w:t>
      </w:r>
      <w:r>
        <w:t xml:space="preserve"> </w:t>
      </w:r>
      <w:r>
        <w:rPr>
          <w:noProof/>
        </w:rPr>
        <w:t>Поради опасенията във връзка със здравето и околната среда, в областта на нехармонизираните торове взаимното признаване се оказа изключително трудно и икономическите оператори поискаха възможност да получат достъп до целия вътрешен пазар чрез спазване на хармонизираните правила, насочени към решаването на тези проблеми на равнище ЕС.</w:t>
      </w:r>
    </w:p>
    <w:p>
      <w:pPr>
        <w:pStyle w:val="Bullet1"/>
        <w:rPr>
          <w:noProof/>
        </w:rPr>
      </w:pPr>
      <w:r>
        <w:rPr>
          <w:noProof/>
        </w:rPr>
        <w:t xml:space="preserve">„Хоризонт 2020“: Предложението ще има потенциала да осигури съответните научноизследователски дейности, стартирани в рамките на обществени предизвикателства 2 („Продоволствена сигурност, устойчиво земеделие и горско стопанство, морски изследвания и изследвания за вътрешните водни басейни и биоикономика“) и 5 („Действия във връзка с климата, </w:t>
      </w:r>
      <w:r>
        <w:t xml:space="preserve"> </w:t>
      </w:r>
      <w:r>
        <w:rPr>
          <w:noProof/>
        </w:rPr>
        <w:t>околната среда, ресурсната ефективност и суровините“), с които се цели, наред с другото, да се предложат новаторски решения за по-ефикасно и безопасно възстановяване на ресурси от отпадъци, отпадъчни води и биоотпадъци, и да се насърчат изследователите да предлагат новаторски продукти, съответстващи на нуждите на пазара, на нуждите на обществото и на политиките за защита на околната среда. Съвместното предприятие „Биотехнологични производства“ определи, наред с другото, рециклирането на фосфора за производство на торове като възникваща и икономически обещаваща нова  верига за създаване на стойност от (органични) отпадъци</w:t>
      </w:r>
      <w:r>
        <w:rPr>
          <w:rStyle w:val="FootnoteReference"/>
          <w:noProof/>
        </w:rPr>
        <w:footnoteReference w:id="7"/>
      </w:r>
      <w:r>
        <w:rPr>
          <w:noProof/>
        </w:rPr>
        <w:t>. Лесният достъп до вътрешния пазар за подобни торове би бил предварително условие за реализиране на тези цели и за пренасяне на резултатите от научноизследователската дейност към пазара.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ManualNumPar1"/>
        <w:rPr>
          <w:noProof/>
        </w:rPr>
      </w:pPr>
      <w:r>
        <w:t>20.</w:t>
      </w:r>
      <w:r>
        <w:tab/>
      </w:r>
      <w:r>
        <w:rPr>
          <w:noProof/>
        </w:rPr>
        <w:t>Целта на предложението е да се подобри функционирането на вътрешния пазар на продуктите за наторяване, с което да се намери решение на проблемите, установени първоначално при последващата оценка на съществуващия регламент за торовете, извършена през 2010 г.</w:t>
      </w:r>
      <w:r>
        <w:t xml:space="preserve"> </w:t>
      </w:r>
      <w:r>
        <w:rPr>
          <w:noProof/>
        </w:rPr>
        <w:t>Правното основание следователно е член 114 от Договора за функционирането на Европейския съюз, който също е и правното основание на  съществуващия регламент за торовете.</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ManualNumPar1"/>
        <w:rPr>
          <w:noProof/>
        </w:rPr>
      </w:pPr>
      <w:r>
        <w:t>21.</w:t>
      </w:r>
      <w:r>
        <w:tab/>
      </w:r>
      <w:r>
        <w:rPr>
          <w:noProof/>
        </w:rPr>
        <w:t xml:space="preserve">Първата цел на предложеното действие е да се стимулират инвестициите в производството и внедряването на ефективни, безопасни, новаторски торове, произведени от органични или вторични суровини в съответствие с модела на кръговата икономика и стратегията за биоикономика, като чрез осигуряване на достъп до целия вътрешен пазар на тези продукти се допринесе за достигането на критична маса. По-ефикасното използване на такива торове може да предложи значителни ползи за околната среда, намалена зависимост от вноса на суровини от изключителна важност от държави извън ЕС, както и увеличено разнообразие на висококачествени продукти за наторяване за земеделските стопани. Съществуващите препятствия пред свободното движение на тези продукти под формата на различаващи се национални регулаторни рамки не могат да бъдат премахнати чрез едностранни действия на държавите членки. По-специално, взаимното признаване в тази област се оказа изключително трудно и се превръща във все по-сериозно препятствие предвид тенденциите към нарастване на интереса към производството на висококачествени торове от органични или вторични суровини и към търговията с тях. От друга страна, действието на равнище ЕС може да гарантира свободното движение на тези торове като установи хармонизирани критерии за високо качество, безопасност и екологосъобразност. </w:t>
      </w:r>
    </w:p>
    <w:p>
      <w:pPr>
        <w:pStyle w:val="ManualNumPar1"/>
        <w:rPr>
          <w:noProof/>
        </w:rPr>
      </w:pPr>
      <w:r>
        <w:t>22.</w:t>
      </w:r>
      <w:r>
        <w:tab/>
      </w:r>
      <w:r>
        <w:rPr>
          <w:noProof/>
        </w:rPr>
        <w:t xml:space="preserve">Втората цел е да се намери разрешение за проблема със замърсяването с кадмий на почвата и храните чрез употребата на торове. Поради това, че повечето торове, които са източник на загриженост (т.е., неорганичните фосфорни торове), са вече хармонизирани, държавите членки не могат да постигнат тази цел едностранно. Максимални стойности, установени на равнището на ЕС, от друга страна, могат ефективно да намалят замърсителите в хармонизираните торове до по-безопасни стойности. </w:t>
      </w:r>
    </w:p>
    <w:p>
      <w:pPr>
        <w:pStyle w:val="ManualHeading2"/>
        <w:rPr>
          <w:rFonts w:eastAsia="Arial Unicode MS"/>
          <w:noProof/>
          <w:u w:color="000000"/>
          <w:bdr w:val="nil"/>
        </w:rPr>
      </w:pPr>
      <w:r>
        <w:rPr>
          <w:noProof/>
        </w:rPr>
        <w:t>•</w:t>
      </w:r>
      <w:r>
        <w:rPr>
          <w:noProof/>
        </w:rPr>
        <w:tab/>
        <w:t>Пропорционалност</w:t>
      </w:r>
    </w:p>
    <w:p>
      <w:pPr>
        <w:pStyle w:val="ManualNumPar1"/>
        <w:rPr>
          <w:noProof/>
        </w:rPr>
      </w:pPr>
      <w:r>
        <w:t>23.</w:t>
      </w:r>
      <w:r>
        <w:tab/>
      </w:r>
      <w:r>
        <w:rPr>
          <w:noProof/>
        </w:rPr>
        <w:t>Първата цел на инициативата е да се стимулират инвестициите за производството на ефективни, безопасни новаторски торове, произведени от органични или вторични суровини в съответствие с модела на кръговата икономика, със съответните ползи по отношение на въздействието върху околната среда, намалената зависимост от внос и по-голямото разнообразие на предлаганите висококачествени продукти. Инициативата има за цел достигането на критична маса чрез осигуряване на вътрешен пазар за тези продукти. В миналото взаимното признаване на нехармонизираните торове се оказа изключително трудно, независимо че законодателството за хармонизиране на продуктите осигуряваше ефективен начин за гарантиране на достъпа до вътрешния пазар за неорганичните торове. С оглед на гореизложеното се прави изводът, че законодателството за хармонизиране на продуктите за торове от органични или вторични суровини не надхвърля необходимото за осигуряване на регулаторната сигурност, необходима за насърчаване на широкомащабни инвестиции в кръговата икономика. Избраната в настоящото предложение регулаторна техника предоставя на икономическите оператори максимална гъвкавост да предлагат нови продукти на пазарите без да правят компромиси с безопасността и качеството. Освен това, тя позволява на държавите членки да разрешават пускането на нехармонизирани торове на пазара, без да лишават икономическите оператори, които търсят разширяване на пазарите си, от възможността да изберат ползите на хармонизираната регулаторна рамка.</w:t>
      </w:r>
    </w:p>
    <w:p>
      <w:pPr>
        <w:pStyle w:val="ManualNumPar1"/>
        <w:rPr>
          <w:noProof/>
        </w:rPr>
      </w:pPr>
      <w:r>
        <w:t>24.</w:t>
      </w:r>
      <w:r>
        <w:tab/>
      </w:r>
      <w:r>
        <w:rPr>
          <w:noProof/>
        </w:rPr>
        <w:t xml:space="preserve">Формата на регламент се разглежда като най-подходяща за хармонизиране на продуктите в област с толкова голяма техническа сложност и потенциално въздействие върху хранителната верига и околната среда като торовете. Този извод се подкрепя от факта, че съществуващото законодателство за хармонизиране за торовете също има формата на регламент. </w:t>
      </w:r>
    </w:p>
    <w:p>
      <w:pPr>
        <w:pStyle w:val="ManualNumPar1"/>
        <w:rPr>
          <w:noProof/>
        </w:rPr>
      </w:pPr>
      <w:r>
        <w:t>25.</w:t>
      </w:r>
      <w:r>
        <w:tab/>
      </w:r>
      <w:r>
        <w:rPr>
          <w:noProof/>
        </w:rPr>
        <w:t xml:space="preserve">По отношение на втората цел, т.е. намиране на решение по отношение на замърсяването на почвата и храните с кадмий чрез използването на торове, много от които вече са хармонизирани, максимално допустимите количества в законодателството в областта на продуктите се разглеждат като ефективно средство за решаване на проблема при източника му. Смята се че икономическото въздействие е пропорционално на целта да се предотврати необратимо замърсяване на почвата, което би засегнало настоящите и бъдещите поколения земеделски стопани и потребители на храни. </w:t>
      </w:r>
    </w:p>
    <w:p>
      <w:pPr>
        <w:pStyle w:val="ManualNumPar1"/>
        <w:rPr>
          <w:noProof/>
        </w:rPr>
      </w:pPr>
      <w:r>
        <w:t>26.</w:t>
      </w:r>
      <w:r>
        <w:tab/>
      </w:r>
      <w:r>
        <w:rPr>
          <w:noProof/>
        </w:rPr>
        <w:t>Въпросът за пропорционалността е допълнително разработен в раздел 4.2.2 на оценката за въздействието.</w:t>
      </w:r>
    </w:p>
    <w:p>
      <w:pPr>
        <w:pStyle w:val="ManualHeading2"/>
        <w:rPr>
          <w:rFonts w:eastAsia="Arial Unicode MS"/>
          <w:noProof/>
          <w:u w:color="000000"/>
          <w:bdr w:val="nil"/>
        </w:rPr>
      </w:pPr>
      <w:r>
        <w:rPr>
          <w:noProof/>
        </w:rPr>
        <w:t>•</w:t>
      </w:r>
      <w:r>
        <w:rPr>
          <w:noProof/>
        </w:rPr>
        <w:tab/>
        <w:t>Избор на инструмент</w:t>
      </w:r>
    </w:p>
    <w:p>
      <w:pPr>
        <w:pStyle w:val="ManualNumPar1"/>
        <w:rPr>
          <w:noProof/>
        </w:rPr>
      </w:pPr>
      <w:r>
        <w:t>27.</w:t>
      </w:r>
      <w:r>
        <w:tab/>
      </w:r>
      <w:r>
        <w:rPr>
          <w:noProof/>
        </w:rPr>
        <w:t>Формата на регламент се разглежда като най-подходяща за хармонизиране на продуктите в област с толкова голяма техническа сложност и потенциално въздействие върху хранителната верига и околната среда като торовете. Този извод се подкрепя от факта, че съществуващото законодателство за хармонизиране за торовете също има формата на регламент.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Style w:val="ManualNumPar1"/>
        <w:rPr>
          <w:noProof/>
        </w:rPr>
      </w:pPr>
      <w:r>
        <w:t>28.</w:t>
      </w:r>
      <w:r>
        <w:tab/>
      </w:r>
      <w:r>
        <w:rPr>
          <w:noProof/>
        </w:rPr>
        <w:t>При последващата оценка на съществуващия регламент за торовете, проведена през 2010 г., бе направен изводът</w:t>
      </w:r>
      <w:r>
        <w:rPr>
          <w:rStyle w:val="FootnoteReference"/>
          <w:noProof/>
        </w:rPr>
        <w:footnoteReference w:id="8"/>
      </w:r>
      <w:r>
        <w:rPr>
          <w:noProof/>
        </w:rPr>
        <w:t xml:space="preserve">, че посоченият регламент ефективно е реализирал целта за опростяване  и хармонизиране на регулаторната рамка, свързана със значителна част от пазара на торове. </w:t>
      </w:r>
    </w:p>
    <w:p>
      <w:pPr>
        <w:pStyle w:val="ManualNumPar1"/>
        <w:rPr>
          <w:rFonts w:eastAsia="Arial Unicode MS"/>
          <w:noProof/>
        </w:rPr>
      </w:pPr>
      <w:r>
        <w:t>29.</w:t>
      </w:r>
      <w:r>
        <w:tab/>
      </w:r>
      <w:r>
        <w:rPr>
          <w:noProof/>
        </w:rPr>
        <w:t>При оценката обаче бе направен и изводът, че регламентът може да бъде по-ефективен при насърчаването на новаторските торове, и че също така ще са необходими адаптации за по-добра защита на околната среда. Освен това по отношение на органичните торове, които понастоящем са извън обхвата на регламента, оценката показа, че нито икономическите оператори, нито националните органи са сметнали, че взаимното признаване е най-подходящият инструмент за гарантиране на свободното движение, тъй като торовете са продукти, по отношение на които основателните опасения за качеството на продукта, околната среда и човешкото здраве могат да обусловят по-строги правила.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ManualNumPar1"/>
        <w:rPr>
          <w:rFonts w:eastAsia="Arial Unicode MS"/>
          <w:noProof/>
        </w:rPr>
      </w:pPr>
      <w:r>
        <w:t>30.</w:t>
      </w:r>
      <w:r>
        <w:tab/>
      </w:r>
      <w:r>
        <w:rPr>
          <w:noProof/>
        </w:rPr>
        <w:t>По време на подготвителния етап, започнал през 2011 г., бяха проведени задълбочени консултации с държавите членки и с други заинтересовани страни, по-специално в контекста на Работната група по торовете</w:t>
      </w:r>
      <w:r>
        <w:rPr>
          <w:rStyle w:val="FootnoteReference"/>
          <w:noProof/>
        </w:rPr>
        <w:footnoteReference w:id="9"/>
      </w:r>
      <w:r>
        <w:rPr>
          <w:noProof/>
        </w:rPr>
        <w:t>. В публичната консултация за кръговата икономика, публикувана през май 2015 г., също бяха включени въпроси по тази материя</w:t>
      </w:r>
      <w:r>
        <w:rPr>
          <w:rStyle w:val="FootnoteReference"/>
          <w:noProof/>
        </w:rPr>
        <w:footnoteReference w:id="10"/>
      </w:r>
      <w:r>
        <w:rPr>
          <w:noProof/>
        </w:rPr>
        <w:t>. Заинтересованите страни бяха поканени да изпратят отзиви за пътната карта за преразглеждането на регламента за торовете, публикувана на 22 октомври 2015 г.</w:t>
      </w:r>
      <w:r>
        <w:rPr>
          <w:rStyle w:val="FootnoteReference"/>
          <w:noProof/>
        </w:rPr>
        <w:footnoteReference w:id="11"/>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ManualNumPar1"/>
        <w:rPr>
          <w:noProof/>
        </w:rPr>
      </w:pPr>
      <w:r>
        <w:t>31.</w:t>
      </w:r>
      <w:r>
        <w:tab/>
      </w:r>
      <w:r>
        <w:rPr>
          <w:noProof/>
        </w:rPr>
        <w:t>Съществуващият проект на доклад за оценка на въздействието в голяма степен се основава на споменатата последваща оценка от 2010 на регламента за торовете, както и на проучването, проведено през 2011 г. относно вариантите за цялостно хармонизиране на законодателството на ЕС за торовете, включително техническа осъществимост, въздействие върху околната среда, икономическо и социално въздействие</w:t>
      </w:r>
      <w:r>
        <w:rPr>
          <w:rStyle w:val="FootnoteReference"/>
          <w:noProof/>
        </w:rPr>
        <w:footnoteReference w:id="12"/>
      </w:r>
      <w:r>
        <w:rPr>
          <w:noProof/>
        </w:rPr>
        <w:t>.</w:t>
      </w:r>
    </w:p>
    <w:p>
      <w:pPr>
        <w:pStyle w:val="ManualNumPar1"/>
        <w:rPr>
          <w:noProof/>
        </w:rPr>
      </w:pPr>
      <w:r>
        <w:t>32.</w:t>
      </w:r>
      <w:r>
        <w:tab/>
      </w:r>
      <w:r>
        <w:rPr>
          <w:noProof/>
        </w:rPr>
        <w:t>Рециклирането на фосфора беше също разгледано в научноизследователски проекти по FP7, чиито резултати бяха анализирани на работната среща „Подход към фосфора в рамките на кръговата икономика: от научните изследвания към внедряването“, проведена в Берлин на 4 март 2015 г</w:t>
      </w:r>
      <w:r>
        <w:rPr>
          <w:rStyle w:val="FootnoteReference"/>
          <w:noProof/>
        </w:rPr>
        <w:footnoteReference w:id="13"/>
      </w:r>
      <w:r>
        <w:rPr>
          <w:noProof/>
        </w:rPr>
        <w:t>. Един от определените приоритети беше да се преразгледа регламентът за торовете на ЕС с оглед да се разшири неговият обхват до хранителните елементи от вторични източници (</w:t>
      </w:r>
      <w:r>
        <w:rPr>
          <w:i/>
          <w:noProof/>
        </w:rPr>
        <w:t>т.е.</w:t>
      </w:r>
      <w:r>
        <w:rPr>
          <w:noProof/>
        </w:rPr>
        <w:t>, рециклирани фосфати) и органични източници.</w:t>
      </w:r>
    </w:p>
    <w:p>
      <w:pPr>
        <w:pStyle w:val="ManualHeading2"/>
        <w:rPr>
          <w:rFonts w:eastAsia="Arial Unicode MS"/>
          <w:noProof/>
          <w:u w:color="000000"/>
          <w:bdr w:val="nil"/>
        </w:rPr>
      </w:pPr>
      <w:r>
        <w:rPr>
          <w:noProof/>
        </w:rPr>
        <w:t>•</w:t>
      </w:r>
      <w:r>
        <w:rPr>
          <w:noProof/>
        </w:rPr>
        <w:tab/>
        <w:t>Оценка на въздействието</w:t>
      </w:r>
    </w:p>
    <w:p>
      <w:pPr>
        <w:pStyle w:val="ManualNumPar1"/>
        <w:rPr>
          <w:noProof/>
        </w:rPr>
      </w:pPr>
      <w:r>
        <w:t>33.</w:t>
      </w:r>
      <w:r>
        <w:tab/>
      </w:r>
      <w:r>
        <w:rPr>
          <w:noProof/>
        </w:rPr>
        <w:t xml:space="preserve">Предложението се подкрепя от оценка на въздействието, основните документи по която могат да бъдат консултирани [Once the IAR is published, insert link to the summary sheet and to the positive opinion of the Regulatory Scrutiny Board]. Бяха взети под внимание становищата на Комитета по оценка на въздействието, като бяха осигурени по-убедителни доказателства за различаващите се национални стандарти като причина за разпокъсаността на пазара, изясни се съдържанието на различните оценени варианти и бе осигурена по-добра обосновка на главните насоки на въздействието на предложението. </w:t>
      </w:r>
    </w:p>
    <w:p>
      <w:pPr>
        <w:pStyle w:val="ManualNumPar1"/>
        <w:rPr>
          <w:noProof/>
        </w:rPr>
      </w:pPr>
      <w:r>
        <w:t>34.</w:t>
      </w:r>
      <w:r>
        <w:tab/>
      </w:r>
      <w:r>
        <w:rPr>
          <w:noProof/>
        </w:rPr>
        <w:t>В оценката на въздействието се сравнява съществуващото положение, което е описано като „вариант 1“, с четири други варианта на политиката, описани като варианти 2—5. При всички варианти от 2 до 5 обхватът на хармонизирането ще бъде разширен, така че да обхване торовете от органични суровини и други свързани с торовете продукти, като за замърсителите ще бъдат въведени пределно допустими стойности. Вариантите на политиката ще се основават на различни механизми за контрол: при вариант 2 регулаторната техника от регламента за торовете, т.е., одобряване на типа, няма да претърпи изменения; при вариант 3 одобряването на типа ще бъде заменено с изчерпателен списък на разрешените материали, чието преднамерено влагане в торове е допустимо; при вариант 4 необходимата степен на контрол ще бъде постигната с помощта на „Нова законодателна рамка“ („НЗР“), при която за всички продукти ще се прилага една процедура за оценяване на съответствието; и накрая, при вариант 5 за основа също ще се използва НЗР, но процедурата за оценяване на съответствието ще се различава за различните категории материали. За всички варианти от 2 до 5 беше също проучено дали хармонизирането трябва да бъде задължително за всички продукти, притежаващи дадена функция, или съответствието на торовете на хармонизираното законодателство може да не бъде задължително, като алтернатива на приложимото национално законодателство и взаимното признаване, какъвто е случаят при съществуващото положение по отношение на неорганичните торове.</w:t>
      </w:r>
    </w:p>
    <w:p>
      <w:pPr>
        <w:pStyle w:val="ManualNumPar1"/>
        <w:rPr>
          <w:noProof/>
        </w:rPr>
      </w:pPr>
      <w:r>
        <w:t>35.</w:t>
      </w:r>
      <w:r>
        <w:tab/>
      </w:r>
      <w:r>
        <w:rPr>
          <w:noProof/>
        </w:rPr>
        <w:t>Окончателното предложение отговаря на вариант 5, комбиниран с варианта с незадължително хармонизиране. Беше сметнато, че това е най-добрият избор на политика, тъй като той би довел до административно опростяване, по-специално за продукти за наторяване от добре определени първични суровини, и би осигурил гъвкавост, като същевременно гарантира, че използването на хармонизирани продукти за наторяване не излага на неприемливи рискове околната среда.</w:t>
      </w:r>
    </w:p>
    <w:p>
      <w:pPr>
        <w:pStyle w:val="ManualNumPar1"/>
        <w:rPr>
          <w:noProof/>
        </w:rPr>
      </w:pPr>
      <w:r>
        <w:t>36.</w:t>
      </w:r>
      <w:r>
        <w:tab/>
      </w:r>
      <w:r>
        <w:rPr>
          <w:noProof/>
        </w:rPr>
        <w:t>Предложението ще засегне основно онези производители на иновативни торове, произведени от органични или вторични суровини, отговарящи на модела на кръгова икономика, при които е възможно да се достигне критична маса чрез коренно подобряване на достъпа до вътрешния пазар. Такива производители ще имат полза от инициативата, особено в онези държави членки, които не могат да предложат достатъчно голям вътрешен пазар за новите типове торове.</w:t>
      </w:r>
    </w:p>
    <w:p>
      <w:pPr>
        <w:pStyle w:val="ManualNumPar1"/>
        <w:rPr>
          <w:noProof/>
        </w:rPr>
      </w:pPr>
      <w:r>
        <w:t>37.</w:t>
      </w:r>
      <w:r>
        <w:tab/>
      </w:r>
      <w:r>
        <w:rPr>
          <w:noProof/>
        </w:rPr>
        <w:t xml:space="preserve">То ще засегне също и операторите в областта на оползотворяването от частния и обществения сектор (напр. оператори на станции за пречистване на отпадъчни води или обекти за управление на отпадъците, които произвеждат компост или ферментационен продукт) които ще имат възможност да оползотворят своя изходен продукт и по този начин да улеснят инвестициите в подобна инфраструктура. </w:t>
      </w:r>
    </w:p>
    <w:p>
      <w:pPr>
        <w:pStyle w:val="ManualNumPar1"/>
        <w:rPr>
          <w:noProof/>
        </w:rPr>
      </w:pPr>
      <w:r>
        <w:t>38.</w:t>
      </w:r>
      <w:r>
        <w:tab/>
      </w:r>
      <w:r>
        <w:rPr>
          <w:noProof/>
        </w:rPr>
        <w:t xml:space="preserve">Натоварването на много национални администрации ще намалее, когато националните системи за регистрация или за издаване на разрешения частично или изцяло бъдат заменени от контролни механизми, обхващащи целия ЕС. </w:t>
      </w:r>
    </w:p>
    <w:p>
      <w:pPr>
        <w:pStyle w:val="ManualNumPar1"/>
        <w:rPr>
          <w:noProof/>
        </w:rPr>
      </w:pPr>
      <w:r>
        <w:t>39.</w:t>
      </w:r>
      <w:r>
        <w:tab/>
      </w:r>
      <w:r>
        <w:rPr>
          <w:noProof/>
        </w:rPr>
        <w:t>В крайна сметка, земеделските стопани и другите ползватели на торове в ЕС вероятно ще усетят увеличаване на разнообразието от продукти, които им се предлагат, а широката общественост ще бъде по-добре защитена от замърсяване на почвата, водата и храните.</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ManualNumPar1"/>
        <w:rPr>
          <w:noProof/>
        </w:rPr>
      </w:pPr>
      <w:r>
        <w:t>40.</w:t>
      </w:r>
      <w:r>
        <w:tab/>
      </w:r>
      <w:r>
        <w:rPr>
          <w:noProof/>
        </w:rPr>
        <w:t>Предложението ще доведе до опростяване и намаляване на административната тежест за производителите на продукти за наторяване, които се стремят да получат достъп до повече от една национална територия в рамките на вътрешния пазар, тъй като този достъп няма повече да зависи от взаимно признаване. Същевременно, то ще позволи на производителите, които не целят да достигнат съответствие с правила на равнището на ЕС, да избегнат лишаване от достъп до пазара или ограничаване на този достъп, чрез запазване на възможността за достъп до националните пазари при спазване на всички национални правила и съгласно процедурата на взаимно признаване.</w:t>
      </w:r>
    </w:p>
    <w:p>
      <w:pPr>
        <w:pStyle w:val="ManualHeading1"/>
        <w:rPr>
          <w:noProof/>
        </w:rPr>
      </w:pPr>
      <w:r>
        <w:rPr>
          <w:noProof/>
        </w:rPr>
        <w:t>4.</w:t>
      </w:r>
      <w:r>
        <w:rPr>
          <w:noProof/>
        </w:rPr>
        <w:tab/>
        <w:t>ОТРАЖЕНИЕ ВЪРХУ БЮДЖЕТА</w:t>
      </w:r>
    </w:p>
    <w:p>
      <w:pPr>
        <w:pStyle w:val="ManualNumPar1"/>
        <w:rPr>
          <w:noProof/>
        </w:rPr>
      </w:pPr>
      <w:r>
        <w:t>41.</w:t>
      </w:r>
      <w:r>
        <w:tab/>
      </w:r>
      <w:r>
        <w:rPr>
          <w:noProof/>
        </w:rPr>
        <w:t>Предложението няма да има отражение върху бюджета на ЕС. Човешките и административните ресурси в Европейската комисия ще останат без промяна в сравнение с необходимите понастоящем за изпълнението и наблюдението на съществуващия регламент за торовете.</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pStyle w:val="ManualNumPar1"/>
        <w:rPr>
          <w:noProof/>
        </w:rPr>
      </w:pPr>
      <w:r>
        <w:t>42.</w:t>
      </w:r>
      <w:r>
        <w:tab/>
      </w:r>
      <w:r>
        <w:rPr>
          <w:noProof/>
        </w:rPr>
        <w:t xml:space="preserve">Европейската комисия ще подпомага държавите членки при изпълнението на регламента и ще осъществява мониторинг над това изпълнение. Тя ще анализира нуждите от насоки, стандарти или схеми, чрез които се доказва устойчивостта на продуктите за наторяване, като с това ще направи възможно поставянето на претенции за устойчивост върху етикетите на продуктите. </w:t>
      </w:r>
    </w:p>
    <w:p>
      <w:pPr>
        <w:pStyle w:val="ManualNumPar1"/>
        <w:rPr>
          <w:noProof/>
        </w:rPr>
      </w:pPr>
      <w:r>
        <w:t>43.</w:t>
      </w:r>
      <w:r>
        <w:tab/>
      </w:r>
      <w:r>
        <w:rPr>
          <w:noProof/>
        </w:rPr>
        <w:t>Комисията освен това възнамерява да включи в приложенията допълнителни категории съставни материали с цел да следва техническия напредък, и да направи възможно производството на безопасни и ефективни торове от възстановени вторични суровини като напр. биовъглища, пепел и струвит. Накрая, Комисията непрекъснато ще следи изискванията в приложенията и когато е необходимо, ще ги преразглежда с цел да гарантира адекватна защита на човешкото здраве, здравето на животните и растенията или околната среда.</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Style w:val="ManualNumPar1"/>
        <w:rPr>
          <w:noProof/>
        </w:rPr>
      </w:pPr>
      <w:r>
        <w:t>44.</w:t>
      </w:r>
      <w:r>
        <w:tab/>
      </w:r>
      <w:r>
        <w:rPr>
          <w:noProof/>
        </w:rPr>
        <w:t>В глава 1 от предложения регламент се установяват неговият предмет и обхват, дават се определенията, а също така и основните принципи на свободното движение и пригодността за предлагане на пазара на продуктите за наторяване с маркировка „CE“. Разпоредбата за изискванията към продукта препраща към приложения I и II, в които се съдържат изискванията по същество за категориите крайни продукти  в съответствие с тяхната предвидена функция (приложение I), както и за категориите съставни материали, които могат да се влагат в продуктите за наторяване с маркировка „СЕ“ (приложение II). Тя препраща и към приложение III, в което се излагат подробните изисквания за етикетиране.</w:t>
      </w:r>
    </w:p>
    <w:p>
      <w:pPr>
        <w:pStyle w:val="ManualNumPar1"/>
        <w:rPr>
          <w:noProof/>
        </w:rPr>
      </w:pPr>
      <w:r>
        <w:t>45.</w:t>
      </w:r>
      <w:r>
        <w:tab/>
      </w:r>
      <w:r>
        <w:rPr>
          <w:noProof/>
        </w:rPr>
        <w:t xml:space="preserve">В глава 2 се излагат задълженията на икономическите оператори, участващи в предоставянето на продуктите за наторяване с маркировка „СЕ“ на пазара. </w:t>
      </w:r>
    </w:p>
    <w:p>
      <w:pPr>
        <w:pStyle w:val="ManualNumPar1"/>
        <w:rPr>
          <w:noProof/>
        </w:rPr>
      </w:pPr>
      <w:r>
        <w:t>46.</w:t>
      </w:r>
      <w:r>
        <w:tab/>
      </w:r>
      <w:r>
        <w:rPr>
          <w:noProof/>
        </w:rPr>
        <w:t>В глава 3 се установява общият принцип за съответствие на продуктите за наторяване с маркировка „СЕ“. Глава 3 препраща към приложение IV, в което подробно се описват процедурите за оценяване на съответствието, приложими към продуктите за наторяване с маркировка „СЕ“ в зависимост от категориите на техните съставни материали и техните продуктови функционални категории. Тя съдържа и препратка към приложение V, в което се определя структурата на образеца на декларацията за съответствие с изискванията на ЕС.</w:t>
      </w:r>
    </w:p>
    <w:p>
      <w:pPr>
        <w:pStyle w:val="ManualNumPar1"/>
        <w:rPr>
          <w:noProof/>
        </w:rPr>
      </w:pPr>
      <w:r>
        <w:t>47.</w:t>
      </w:r>
      <w:r>
        <w:tab/>
      </w:r>
      <w:r>
        <w:rPr>
          <w:noProof/>
        </w:rPr>
        <w:t>В глава 4 се излагат разпоредбите за нотифицираните органи, а в глава 5 — разпоредбите за надзор на пазара. В глава 6 се определят условията за приемането от страна на Комисията на делегирани актове и актове за изпълнение, докато глава 7 съдържа заключителните разпоредби.</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2016/0084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определяне на правила за предоставяне на пазара на продукти за наторяване с маркировката „СЕ“ и за изменение на Регламент (ЕО) № 1069/2009 и Регламент (ЕО) № 1107/2009</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4"/>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Условията за предоставяне на вътрешния пазар на торове бяха частично хармонизирани с Регламент (ЕО) № 2003/2003 на Европейския парламент и на Съвета</w:t>
      </w:r>
      <w:r>
        <w:rPr>
          <w:rStyle w:val="FootnoteReference"/>
          <w:noProof/>
        </w:rPr>
        <w:footnoteReference w:id="15"/>
      </w:r>
      <w:r>
        <w:rPr>
          <w:noProof/>
        </w:rPr>
        <w:t>, който обхваща почти само торовете, произведени с неорганични материали, получени от полезни изкопаеми или произведени по химичен път. Налице е също така необходимост за целите на наторяването да се използват рециклирани или органични материали. Трябва да се установят хармонизирани условия, за да могат торове, произведени от такива рециклирани или органични материали, да се предлагат на целия вътрешен пазар с оглед на това да се осигури значителен стимул за по-нататъшното им използване. Обхватът на хармонизирането следователно трябва да бъде разширен с цел да включи рециклирани и органични материали.</w:t>
      </w:r>
    </w:p>
    <w:p>
      <w:pPr>
        <w:pStyle w:val="ManualConsidrant"/>
        <w:rPr>
          <w:noProof/>
        </w:rPr>
      </w:pPr>
      <w:r>
        <w:t>(2)</w:t>
      </w:r>
      <w:r>
        <w:tab/>
      </w:r>
      <w:r>
        <w:rPr>
          <w:noProof/>
        </w:rPr>
        <w:t>Някои продукти, които се използват в комбинация с торове с цел да се подобри ефективността на подхранването, оказват благотворно въздействие за намаляване на количеството прилагани торове и с това спомагат да се намали въздействието им върху околната среда. С цел да се улесни тяхното свободно движение на вътрешния пазар, не само торовете, т.е. продуктите, предназначени да доставят на растенията хранителни елементи, но също и продуктите, предназначени да подобряват ефективността на храненето на растенията трябва да бъдат обхванати от хармонизирането.</w:t>
      </w:r>
    </w:p>
    <w:p>
      <w:pPr>
        <w:pStyle w:val="ManualConsidrant"/>
        <w:rPr>
          <w:noProof/>
        </w:rPr>
      </w:pPr>
      <w:r>
        <w:t>(3)</w:t>
      </w:r>
      <w:r>
        <w:tab/>
      </w:r>
      <w:r>
        <w:rPr>
          <w:noProof/>
        </w:rPr>
        <w:t>С Регламент (ЕО) № 765/2008 на Европейския парламент и на Съвета</w:t>
      </w:r>
      <w:r>
        <w:rPr>
          <w:rStyle w:val="FootnoteReference"/>
          <w:noProof/>
        </w:rPr>
        <w:footnoteReference w:id="16"/>
      </w:r>
      <w:r>
        <w:rPr>
          <w:noProof/>
        </w:rPr>
        <w:t xml:space="preserve"> се определят правилата за акредитацията на органите за оценяване на съответствието, предвижда се рамка за надзора на пазара на продукти и за контрола върху продукти от трети държави и се установяват основните принципи относно маркировката „СЕ“. Посоченият регламент трябва да се прилага към продукти, попадащи в обхвата на настоящия регламент с цел да се гарантира, че продуктите, ползващи се от свободното движение на стоки в рамките на Съюза, отговарят на изискванията, с които се осигурява високо ниво на защита на обществените интереси като здраве и безопасност в общ смисъл, защита на потребителите и околната среда.</w:t>
      </w:r>
    </w:p>
    <w:p>
      <w:pPr>
        <w:pStyle w:val="ManualConsidrant"/>
        <w:rPr>
          <w:noProof/>
        </w:rPr>
      </w:pPr>
      <w:r>
        <w:t>(4)</w:t>
      </w:r>
      <w:r>
        <w:tab/>
      </w:r>
      <w:r>
        <w:rPr>
          <w:noProof/>
        </w:rPr>
        <w:t>С Решение № 768/2008/ЕО на Европейския парламент и на Съвета</w:t>
      </w:r>
      <w:r>
        <w:rPr>
          <w:rStyle w:val="FootnoteReference"/>
          <w:noProof/>
        </w:rPr>
        <w:footnoteReference w:id="17"/>
      </w:r>
      <w:r>
        <w:rPr>
          <w:noProof/>
        </w:rPr>
        <w:t xml:space="preserve"> се установяват общи принципи и референтни разпоредби, предназначени да се прилагат в секторното законодателство с цел да се създаде последователна основа за преразглеждането или преработването на това законодателство. Поради това Регламент (ЕО) № 2003/2003 следва да бъде заменен с регламент, подготвен, доколкото е възможно, в съответствие с посоченото решение.</w:t>
      </w:r>
    </w:p>
    <w:p>
      <w:pPr>
        <w:pStyle w:val="ManualConsidrant"/>
        <w:rPr>
          <w:noProof/>
        </w:rPr>
      </w:pPr>
      <w:r>
        <w:t>(5)</w:t>
      </w:r>
      <w:r>
        <w:tab/>
      </w:r>
      <w:r>
        <w:rPr>
          <w:noProof/>
        </w:rPr>
        <w:t>За разлика от повечето други мерки за хармонизиране на продуктите в законодателството на Съюза, Регламент (ЕО) № 2003/2003 не може да  възпрепятства нехармонизираните торове да се предоставят на вътрешния пазар в съответствие с националното законодателство и общите правила за свободно движение от Договора. С оглед на твърде ограничения характер на определени пазари на продукти, тази възможност трябва да се запази. Поради това съответствието с определени хармонизирани правила трябва да запази незадължителния си характер и трябва да се изисква само за продуктите, предназначени да доставят на растенията хранителни елементи или да подобряват ефикасността на храненето на растенията, които са маркирани с маркировката „СЕ“, когато се предоставят на пазара. Поради изложеното следва настоящият регламент да не се прилага за продукти, които не носят маркировката „СЕ“ към момента на предоставянето им на пазара.</w:t>
      </w:r>
    </w:p>
    <w:p>
      <w:pPr>
        <w:pStyle w:val="ManualConsidrant"/>
        <w:rPr>
          <w:noProof/>
        </w:rPr>
      </w:pPr>
      <w:r>
        <w:t>(6)</w:t>
      </w:r>
      <w:r>
        <w:tab/>
      </w:r>
      <w:r>
        <w:rPr>
          <w:noProof/>
        </w:rPr>
        <w:t>Различните функции на продуктите предполагат различни изисквания за безопасността на тези продукти и различни изисквания за качество, адаптирани към различни предвидени видове употреба. Продуктите за наторяване, маркирани с маркировката „СЕ“, следва поради това да се разделят на различни продуктови функционални категории, всяка от които да подлежи на специфични изисквания за безопасност и качество.</w:t>
      </w:r>
    </w:p>
    <w:p>
      <w:pPr>
        <w:pStyle w:val="ManualConsidrant"/>
        <w:rPr>
          <w:noProof/>
        </w:rPr>
      </w:pPr>
      <w:r>
        <w:t>(7)</w:t>
      </w:r>
      <w:r>
        <w:tab/>
      </w:r>
      <w:r>
        <w:rPr>
          <w:noProof/>
        </w:rPr>
        <w:t>Подобно, различните съставни материали предполагат различни изисквания към производствените процеси и към механизмите за контрол, адаптирани към различията в степента им на опасност и и към променливия състав. Поради това съставните материали на маркираните с маркировката „СЕ“ продукти за наторяване трябва да се разделят на различни категории, всяка от които да подлежи на специфични изисквания по отношение на производствения процес и механизмите на контрол. Трябва да бъде възможно да се изработва маркиран с маркировката „СЕ“ продукт за наторяване от няколко категории съставни материали, като всеки съставен материал съответства на изискванията за категорията, към която спада този материал.</w:t>
      </w:r>
    </w:p>
    <w:p>
      <w:pPr>
        <w:pStyle w:val="ManualConsidrant"/>
        <w:rPr>
          <w:noProof/>
        </w:rPr>
      </w:pPr>
      <w:r>
        <w:t>(8)</w:t>
      </w:r>
      <w:r>
        <w:tab/>
      </w:r>
      <w:r>
        <w:rPr>
          <w:noProof/>
        </w:rPr>
        <w:t xml:space="preserve">Замърсителите в продуктите за наторяване, маркирани с маркировката „СЕ“, напр. кадмий, могат да излагат на риск здравето на човека и животните, а също и околната среда, тъй като те се натрупват в околната среда и навлизат в хранителната верига. Във връзка с това съдържанието им в такива продукти трябва да се ограничава. Освен това, наличието на онечиствания в получените от биоотпадъци продукти за наторяване, маркирани с маркировката „СЕ“, по-специално наличието на полимери, а също метал и стъкло, трябва да бъде предотвратено или ограничено до технически възможната степен чрез откриване на подобни онечиствания в разделно събираните биоотпадъци преди обработката им. </w:t>
      </w:r>
    </w:p>
    <w:p>
      <w:pPr>
        <w:pStyle w:val="ManualConsidrant"/>
        <w:rPr>
          <w:noProof/>
        </w:rPr>
      </w:pPr>
      <w:r>
        <w:t>(9)</w:t>
      </w:r>
      <w:r>
        <w:tab/>
      </w:r>
      <w:r>
        <w:rPr>
          <w:noProof/>
        </w:rPr>
        <w:t>Продуктите, които отговарят на всички изисквания на настоящия регламент, трябва да могат да се движат свободно в рамките на вътрешния пазар. Когато един или повече от съставните материали в продуктите за наторяване, маркирани с маркировката „СЕ“, попада в приложното поле на Регламент (ЕО) № 1069/2009 на Европейския парламент и на Съвета</w:t>
      </w:r>
      <w:r>
        <w:rPr>
          <w:rStyle w:val="FootnoteReference"/>
          <w:noProof/>
        </w:rPr>
        <w:footnoteReference w:id="18"/>
      </w:r>
      <w:r>
        <w:rPr>
          <w:noProof/>
        </w:rPr>
        <w:t>, но в определена точка от производствената верига достига до състояние, когато вече не представлява значителен риск за общественото здраве или здравето на животните („крайна точка в производствената верига“), би било ненужна административна тежест към продукта да продължават да се прилагат разпоредбите на посочения регламент. Поради това тези продукти следва да бъдат изключени от изискванията на посочения регламент. Поради това Регламент (ЕО) № 1069/2009 следва да бъде съответно изменен.</w:t>
      </w:r>
    </w:p>
    <w:p>
      <w:pPr>
        <w:pStyle w:val="ManualConsidrant"/>
        <w:rPr>
          <w:noProof/>
        </w:rPr>
      </w:pPr>
      <w:r>
        <w:t>(10)</w:t>
      </w:r>
      <w:r>
        <w:tab/>
      </w:r>
      <w:r>
        <w:rPr>
          <w:noProof/>
        </w:rPr>
        <w:t xml:space="preserve">Крайната точка в производствената верига трябва да се определи за всеки относим съставен материал, който съдържа странични животински продукти, в съответствие с процедурите, посочени в Регламент (ЕО) № 1069/2009. Когато даден производствен процес, попадащ в обхвата на настоящия регламент, започва преди достигането на посочената крайна точка, изискванията към процеса съгласно Регламент (ЕО) № 1069/2009 и настоящия регламент се прилагат кумулативно по отношение на продукта за наторяване, маркиран с маркировката „СЕ“, което означава, че в случай на прилагане на двата регламента към един и същ параметър се прилага по-строгото изискване. </w:t>
      </w:r>
    </w:p>
    <w:p>
      <w:pPr>
        <w:pStyle w:val="ManualConsidrant"/>
        <w:rPr>
          <w:noProof/>
        </w:rPr>
      </w:pPr>
      <w:r>
        <w:t>(11)</w:t>
      </w:r>
      <w:r>
        <w:tab/>
      </w:r>
      <w:r>
        <w:rPr>
          <w:noProof/>
        </w:rPr>
        <w:t>В случай на рискове за общественото здраве или здравето на животните, причинени от продукти за наторяване, маркирани с маркировката „СЕ“, получени от странични животински продукти, трябва да е възможно да се прибегне до предпазните мерки в съответствие с Регламент (ЕО) № 178/2002 на Европейския парламент и на Съвета</w:t>
      </w:r>
      <w:r>
        <w:rPr>
          <w:rStyle w:val="FootnoteReference"/>
          <w:noProof/>
        </w:rPr>
        <w:footnoteReference w:id="19"/>
      </w:r>
      <w:r>
        <w:rPr>
          <w:noProof/>
        </w:rPr>
        <w:t>, както при други категории продукти, получени от странични животински продукти.</w:t>
      </w:r>
    </w:p>
    <w:p>
      <w:pPr>
        <w:pStyle w:val="ManualConsidrant"/>
        <w:rPr>
          <w:noProof/>
        </w:rPr>
      </w:pPr>
      <w:r>
        <w:t>(12)</w:t>
      </w:r>
      <w:r>
        <w:tab/>
      </w:r>
      <w:r>
        <w:rPr>
          <w:noProof/>
        </w:rPr>
        <w:t>Когато един или повече от съставните материали на продукт за наторяване, маркиран с маркировката „СЕ“, попада в приложното поле на Регламент (ЕО) № 1069/2009 и не е достигнал до крайната точка в производствената верига, би било подвеждащо на продукта да се предостави маркировката „СЕ“ съгласно настоящия регламент, тъй като предоставянето на пазара на такъв продукт се извършва съгласно изискванията на Регламент (ЕО) № 1069/2009. Поради това тези продукти следва да бъдат изключени от обхвата на настоящия регламент.</w:t>
      </w:r>
    </w:p>
    <w:p>
      <w:pPr>
        <w:pStyle w:val="ManualConsidrant"/>
        <w:rPr>
          <w:noProof/>
        </w:rPr>
      </w:pPr>
      <w:r>
        <w:t>(13)</w:t>
      </w:r>
      <w:r>
        <w:tab/>
      </w:r>
      <w:r>
        <w:rPr>
          <w:noProof/>
        </w:rPr>
        <w:t>За някои оползотворени отпадъци по смисъла на Директива 2008/98/ЕО на Европейския парламент и на Съвета</w:t>
      </w:r>
      <w:r>
        <w:rPr>
          <w:rStyle w:val="FootnoteReference"/>
          <w:noProof/>
        </w:rPr>
        <w:footnoteReference w:id="20"/>
      </w:r>
      <w:r>
        <w:rPr>
          <w:noProof/>
        </w:rPr>
        <w:t xml:space="preserve"> беше регистрирано пазарно търсене за употребата им като продукти за наторяване. Освен това, необходими са определени изисквания по отношение на отпадъците, използвани като суровина в дейността по оползотворяване, а също по отношение на процесите и техниките на обработка, както и такива за продуктите за наторяване, получени в резултат на оползотворяването, за да се гарантира, че употребата на посочените продукти не води до общо неблагоприятно въздействие върху околната среда и човешкото здраве. За маркираните с маркировката „СЕ“ продукти за наторяване посочените изисквания трябва да се установят в настоящия регламент. Поради това от момента, в който посочените продукти отговарят на всички изисквания на настоящия регламент, те трябва да престанат да се смятат за отпадъци по смисъла на Директива 2008/98/ЕО.</w:t>
      </w:r>
    </w:p>
    <w:p>
      <w:pPr>
        <w:pStyle w:val="ManualConsidrant"/>
        <w:rPr>
          <w:noProof/>
        </w:rPr>
      </w:pPr>
      <w:r>
        <w:t>(14)</w:t>
      </w:r>
      <w:r>
        <w:tab/>
      </w:r>
      <w:r>
        <w:rPr>
          <w:noProof/>
        </w:rPr>
        <w:t>Някои вещества и смеси, които обикновено се наричат „агрономични добавки“, подобряват схемата на освобождаване на хранителните елементи от торовете. Веществата и смесите, които се предлагат на пазара с предназначение да се добавят към маркирани с маркировката „СЕ“ продукти за наторяване с тази цел, трябва да отговарят на определени критерии за ефикасност, за което носят отговорност производителите на посочените вещества или смеси, и поради това тези вещества или смеси по смисъла на настоящия регламент трябва да се разглеждат като продукти за наторяване, маркирани с маркировката „СЕ“. Освен това, продуктите за наторяване, маркирани с маркировката „СЕ“, които съдържат такива вещества или смеси, трябва да са обект на определени критерии за ефикасност и безопасност. Такива вещества и смеси трябва следователно да се регулират също и като съставни материали за торове, маркирани с маркировката „СЕ“.</w:t>
      </w:r>
    </w:p>
    <w:p>
      <w:pPr>
        <w:pStyle w:val="ManualConsidrant"/>
        <w:rPr>
          <w:noProof/>
        </w:rPr>
      </w:pPr>
      <w:r>
        <w:t>(15)</w:t>
      </w:r>
      <w:r>
        <w:tab/>
      </w:r>
      <w:r>
        <w:rPr>
          <w:noProof/>
        </w:rPr>
        <w:t>Определени вещества, смеси и микроорганизми, обикновено наричани ,,биостимулатори за растения“, не са такива хранителни елементи, но независимо от това стимулират процесите на хранене на растенията.  Когато с такива продукти се цели само подобряване на ефикасността на използването на хранителните елементи от страна на растенията, на поносимостта спрямо абиотичен стрес или на качествените характеристики на културата, те са по естеството си по-сходни с продуктите за наторяване, отколкото с повечето категории продукти за растителна защита. Поради това трябва да е допустимо такива продукти да се маркират с маркировката „СЕ“ по силата на настоящия регламент и същите да се изключат от обхвата на Регламент (ЕО) № 1107/2009 на Европейския парламент и на Съвета</w:t>
      </w:r>
      <w:r>
        <w:rPr>
          <w:rStyle w:val="FootnoteReference"/>
          <w:noProof/>
        </w:rPr>
        <w:footnoteReference w:id="21"/>
      </w:r>
      <w:r>
        <w:rPr>
          <w:noProof/>
        </w:rPr>
        <w:t>. Поради това Регламент (ЕО) № 1107/2009 следва да бъде съответно изменен.</w:t>
      </w:r>
    </w:p>
    <w:p>
      <w:pPr>
        <w:pStyle w:val="ManualConsidrant"/>
        <w:rPr>
          <w:noProof/>
        </w:rPr>
      </w:pPr>
      <w:r>
        <w:t>(16)</w:t>
      </w:r>
      <w:r>
        <w:tab/>
      </w:r>
      <w:r>
        <w:rPr>
          <w:noProof/>
        </w:rPr>
        <w:t>Продуктите с една или повече функции, една от които попада в обхвата на Регламент (ЕО) № 1107/2009, трябва да продължат да се контролират по разработения за такива продукти начин, предвиден в посочения регламент. Когато такива продукти имат и функция на продукт за наторяване, би било подвеждащо на продукта да се предостави маркировката „СЕ“ съгласно настоящия регламент, тъй като предоставянето на пазара на продукти за растителна защита зависи от разрешение, издадено от съответната държава членка. Поради това тези продукти следва да бъдат изключени от обхвата на настоящия регламент.</w:t>
      </w:r>
    </w:p>
    <w:p>
      <w:pPr>
        <w:pStyle w:val="ManualConsidrant"/>
        <w:rPr>
          <w:noProof/>
        </w:rPr>
      </w:pPr>
      <w:r>
        <w:t>(17)</w:t>
      </w:r>
      <w:r>
        <w:tab/>
      </w:r>
      <w:r>
        <w:rPr>
          <w:noProof/>
        </w:rPr>
        <w:t>Настоящият регламент не възпрепятства прилагането на съществуващото законодателство на Съюза, регулиращо аспектите на защитата на здравето, безопасността и околната среда, които не са обхванати от настоящия регламент. Настоящият регламент следователно трябва да се прилага, без да се засягат Директива 86/278/ЕИО на Съвета</w:t>
      </w:r>
      <w:r>
        <w:rPr>
          <w:rStyle w:val="FootnoteReference"/>
          <w:noProof/>
        </w:rPr>
        <w:footnoteReference w:id="22"/>
      </w:r>
      <w:r>
        <w:rPr>
          <w:noProof/>
        </w:rPr>
        <w:t>, Директива 89/391/ЕИО на Съвета</w:t>
      </w:r>
      <w:r>
        <w:rPr>
          <w:rStyle w:val="FootnoteReference"/>
          <w:noProof/>
        </w:rPr>
        <w:footnoteReference w:id="23"/>
      </w:r>
      <w:r>
        <w:rPr>
          <w:noProof/>
        </w:rPr>
        <w:t>, Регламент (ЕО) № 1907/2006 на Европейския парламент и на Съвета</w:t>
      </w:r>
      <w:r>
        <w:rPr>
          <w:rStyle w:val="FootnoteReference"/>
          <w:noProof/>
        </w:rPr>
        <w:footnoteReference w:id="24"/>
      </w:r>
      <w:r>
        <w:rPr>
          <w:noProof/>
        </w:rPr>
        <w:t>, Регламент (ЕО) № 1272/2008 на Европейския парламент и на Съвета</w:t>
      </w:r>
      <w:r>
        <w:rPr>
          <w:rStyle w:val="FootnoteReference"/>
          <w:noProof/>
        </w:rPr>
        <w:footnoteReference w:id="25"/>
      </w:r>
      <w:r>
        <w:rPr>
          <w:noProof/>
        </w:rPr>
        <w:t>, Регламент (ЕО) № 1881/2006 на Комисията</w:t>
      </w:r>
      <w:r>
        <w:rPr>
          <w:rStyle w:val="FootnoteReference"/>
          <w:noProof/>
        </w:rPr>
        <w:footnoteReference w:id="26"/>
      </w:r>
      <w:r>
        <w:rPr>
          <w:noProof/>
        </w:rPr>
        <w:t>, Директива 2000/29/ЕО на Съвета</w:t>
      </w:r>
      <w:r>
        <w:rPr>
          <w:rStyle w:val="FootnoteReference"/>
          <w:noProof/>
        </w:rPr>
        <w:footnoteReference w:id="27"/>
      </w:r>
      <w:r>
        <w:rPr>
          <w:noProof/>
        </w:rPr>
        <w:t>, Регламент (ЕС) № 98/2013 на Европейския парламент и на Съвета</w:t>
      </w:r>
      <w:r>
        <w:rPr>
          <w:rStyle w:val="FootnoteReference"/>
          <w:noProof/>
        </w:rPr>
        <w:footnoteReference w:id="28"/>
      </w:r>
      <w:r>
        <w:rPr>
          <w:noProof/>
        </w:rPr>
        <w:t xml:space="preserve"> и Регламент (ЕС) № 1143/2014 на Европейския парламент и на Съвета</w:t>
      </w:r>
      <w:r>
        <w:rPr>
          <w:rStyle w:val="FootnoteReference"/>
          <w:noProof/>
        </w:rPr>
        <w:footnoteReference w:id="29"/>
      </w:r>
      <w:r>
        <w:rPr>
          <w:noProof/>
        </w:rPr>
        <w:t xml:space="preserve">. </w:t>
      </w:r>
    </w:p>
    <w:p>
      <w:pPr>
        <w:pStyle w:val="ManualConsidrant"/>
        <w:rPr>
          <w:noProof/>
        </w:rPr>
      </w:pPr>
      <w:r>
        <w:t>(18)</w:t>
      </w:r>
      <w:r>
        <w:tab/>
      </w:r>
      <w:r>
        <w:rPr>
          <w:noProof/>
        </w:rPr>
        <w:t>Когато продукт за наторяване, маркиран с маркировката „СЕ“, който е регулиран съгласно настоящия Регламент, съдържа вещество или смес по смисъла на Регламент (ЕС) № 1907/2006 на Европейския парламент и на Съвета, безопасността на съставящите го вещества по отношение на предвидената употреба трябва да се установи чрез регистрация съгласно посочения регламент. Изискванията за информация трябва да гарантират, че безопасността на предвидената употреба на продукта за наторяване, маркиран с маркировката „СЕ“, е доказана по начин, сравним с реализирания при други регулаторни режими за продукти, предназначени за употреба върху обработваема земя или култури, по-специално националното законодателство на държавите членки за торовете и Регламент (ЕО) № 1107/2009. Поради това, когато действителните количества, които се пускат на пазара, са по-малки от 10 тона на дружество на година, изискванията за информация, определени в Регламент (ЕО) № 1907/2006 за регистрацията на вещества в количества от 10 до 100 тона, трябва по изключение да се прилагат като условие за предоставяне на пазара съгласно настоящия регламент.</w:t>
      </w:r>
    </w:p>
    <w:p>
      <w:pPr>
        <w:pStyle w:val="ManualConsidrant"/>
        <w:rPr>
          <w:noProof/>
        </w:rPr>
      </w:pPr>
      <w:r>
        <w:t>(19)</w:t>
      </w:r>
      <w:r>
        <w:tab/>
      </w:r>
      <w:r>
        <w:rPr>
          <w:noProof/>
        </w:rPr>
        <w:t>Когато действителните количества на веществата в продуктите за наторяване, маркирани с маркировката „СЕ“, които са регулирани от настоящия регламент, са по-големи от 100 тона, допълнителните изисквания за информация, посочени в Регламент (ЕС) № 1907/2006, трябва да се прилагат пряко по силата на посочения регламент. Прилагането на другите разпоредби на Регламент (ЕО) № 1907/2006 също не трябва да бъде засегнато от настоящия регламент.</w:t>
      </w:r>
    </w:p>
    <w:p>
      <w:pPr>
        <w:pStyle w:val="ManualConsidrant"/>
        <w:rPr>
          <w:noProof/>
        </w:rPr>
      </w:pPr>
      <w:r>
        <w:t>(20)</w:t>
      </w:r>
      <w:r>
        <w:tab/>
      </w:r>
      <w:r>
        <w:rPr>
          <w:noProof/>
        </w:rPr>
        <w:t>Може да се очаква, че смес от различни продукти за наторяване, маркирани с маркировката „СЕ“, всеки от които успешно е преминал оценяване на съответствието с приложимите изисквания за посочения материал, ще бъде подходяща за употреба като продукт за наторяване, маркиран с маркировката „СЕ“, като трябва да отговаря само на определени допълнителни изисквания, наложени от смесването. Поради това, с цел избягване на ненужна административна тежест, такива смеси трябва да спадат към отделна категория, за която оценяването на съответствието следва да бъде ограничено до допълнителните изисквания, наложени от смесването.</w:t>
      </w:r>
    </w:p>
    <w:p>
      <w:pPr>
        <w:pStyle w:val="ManualConsidrant"/>
        <w:rPr>
          <w:noProof/>
        </w:rPr>
      </w:pPr>
      <w:r>
        <w:t>(21)</w:t>
      </w:r>
      <w:r>
        <w:tab/>
      </w:r>
      <w:r>
        <w:rPr>
          <w:noProof/>
        </w:rPr>
        <w:t>Икономическите оператори трябва да отговарят за съответствието с настоящия регламент на продуктите за наторяване, маркирани с маркировката „СЕ“, в зависимост от ролята си във веригата на доставка, за да се осигури високо ниво на защита на аспектите на обществения интерес, попадащи в обхвата на настоящия регламент, и да се гарантира също така лоялна конкуренция на вътрешния пазар.</w:t>
      </w:r>
    </w:p>
    <w:p>
      <w:pPr>
        <w:pStyle w:val="ManualConsidrant"/>
        <w:rPr>
          <w:noProof/>
        </w:rPr>
      </w:pPr>
      <w:r>
        <w:t>(22)</w:t>
      </w:r>
      <w:r>
        <w:tab/>
      </w:r>
      <w:r>
        <w:rPr>
          <w:noProof/>
        </w:rPr>
        <w:t>Необходимо е да се предвиди ясно и пропорционално разпределение на задълженията, което отговаря на ролята на всеки икономически оператор във веригата на доставка и дистрибуция.</w:t>
      </w:r>
    </w:p>
    <w:p>
      <w:pPr>
        <w:pStyle w:val="ManualConsidrant"/>
        <w:rPr>
          <w:noProof/>
        </w:rPr>
      </w:pPr>
      <w:r>
        <w:t>(23)</w:t>
      </w:r>
      <w:r>
        <w:tab/>
      </w:r>
      <w:r>
        <w:rPr>
          <w:noProof/>
        </w:rPr>
        <w:t>Производителят, който има подробни познания за процеса на проектиране и производство, е в най-изгодна позиция да проведе процедурата за оценяване на съответствието. Поради това оценяването на съответствието на маркираните с маркировката „СЕ“ продукти за наторяване следва да остане задължение единствено и само на производителя.</w:t>
      </w:r>
    </w:p>
    <w:p>
      <w:pPr>
        <w:pStyle w:val="ManualConsidrant"/>
        <w:rPr>
          <w:noProof/>
        </w:rPr>
      </w:pPr>
      <w:r>
        <w:t>(24)</w:t>
      </w:r>
      <w:r>
        <w:tab/>
      </w:r>
      <w:r>
        <w:rPr>
          <w:noProof/>
        </w:rPr>
        <w:t>Необходимо е да се гарантира, че маркираните с маркировката „СЕ“ продукти за наторяване от трети държави, които се въвеждат на пазара на Съюза, са в съответствие с настоящия регламент, и по-специално, че производителите са извършили подходящите процедури за оценяване на съответствието по отношение на тези средства за наторяване. Поради това трябва да се предвиди вносителите да се уверят, че продуктите за наторяване, маркирани с маркировката „СЕ“, които пускат на пазара, отговарят на изискванията на настоящия регламент и че не пускат на пазара продукти за наторяване, маркирани с маркировката „СЕ“, които не отговарят на тези изисквания или представляват риск за здравето на човека, животните или растенията, за безопасността или околната среда. Трябва също така да се предвиди такива вносители да се уверят, че процедурите за оценяване на съответствието са били проведени и че маркировката на продуктите за наторяване, маркирани с маркировката „СЕ“, и документацията, изготвена от производителите, са на разположение за проверка от компетентните национални органи.</w:t>
      </w:r>
    </w:p>
    <w:p>
      <w:pPr>
        <w:pStyle w:val="ManualConsidrant"/>
        <w:rPr>
          <w:noProof/>
        </w:rPr>
      </w:pPr>
      <w:r>
        <w:t>(25)</w:t>
      </w:r>
      <w:r>
        <w:tab/>
      </w:r>
      <w:r>
        <w:rPr>
          <w:noProof/>
        </w:rPr>
        <w:t>Когато пуска на пазара продукт за наторяване, маркиран с маркировката „СЕ“, всеки вносител следва да посочи върху опаковката на продукта за наторяване своето име, регистрирано търговско наименование или регистрирана търговска марка и пощенския адрес, на който може да се осъществи връзка с него, за да се даде възможност за надзор на пазара.</w:t>
      </w:r>
    </w:p>
    <w:p>
      <w:pPr>
        <w:pStyle w:val="ManualConsidrant"/>
        <w:rPr>
          <w:noProof/>
        </w:rPr>
      </w:pPr>
      <w:r>
        <w:t>(26)</w:t>
      </w:r>
      <w:r>
        <w:tab/>
      </w:r>
      <w:r>
        <w:rPr>
          <w:noProof/>
        </w:rPr>
        <w:t>Тъй като дистрибуторът предоставя на пазара продукт за наторяване, маркиран с маркировката „СЕ“, след като продуктът е бил пуснат на пазара от производителя или вносителя, той трябва да действа с дължимата грижа, така че да гарантира, че неговите действия спрямо продукта за наторяване не се отразяват неблагоприятно на съответствието на продукта с настоящия регламент.</w:t>
      </w:r>
    </w:p>
    <w:p>
      <w:pPr>
        <w:pStyle w:val="ManualConsidrant"/>
        <w:rPr>
          <w:noProof/>
        </w:rPr>
      </w:pPr>
      <w:r>
        <w:t>(27)</w:t>
      </w:r>
      <w:r>
        <w:tab/>
      </w:r>
      <w:r>
        <w:rPr>
          <w:noProof/>
        </w:rPr>
        <w:t>Всеки икономически оператор, който пуска на пазара продукт за наторяване, маркиран с маркировката „СЕ“, със своето име или търговска марка, или изменя продукт за наторяване, маркиран с маркировката „СЕ“, по начин, който може да засегне съответствието с изискванията на настоящия регламент, трябва да бъде смятан за производител на съответния продукт и трябва да поеме задълженията на производителя.</w:t>
      </w:r>
    </w:p>
    <w:p>
      <w:pPr>
        <w:pStyle w:val="ManualConsidrant"/>
        <w:rPr>
          <w:noProof/>
        </w:rPr>
      </w:pPr>
      <w:r>
        <w:t>(28)</w:t>
      </w:r>
      <w:r>
        <w:tab/>
      </w:r>
      <w:r>
        <w:rPr>
          <w:noProof/>
        </w:rPr>
        <w:t>Тъй като дейността на дистрибуторите и вносителите е в непосредствена връзка с пазара, те трябва да бъдат включени в задачите по надзор на пазара, изпълнявани от компетентните национални органи, и от тях трябва да се изисква да участват активно и да предоставят на тези органи цялата необходима информация, свързана с продукта за наторяване, маркиран с маркировката „СЕ“.</w:t>
      </w:r>
    </w:p>
    <w:p>
      <w:pPr>
        <w:pStyle w:val="ManualConsidrant"/>
        <w:rPr>
          <w:noProof/>
        </w:rPr>
      </w:pPr>
      <w:r>
        <w:t>(29)</w:t>
      </w:r>
      <w:r>
        <w:tab/>
      </w:r>
      <w:r>
        <w:rPr>
          <w:noProof/>
        </w:rPr>
        <w:t>Осигуряването на проследимостта на продукта за наторяване, маркиран с маркировката „СЕ“, по цялата верига на доставка спомага за опростяване на осъществяването на надзора на пазара и за повишаване на неговата ефикасност. Ефикасната система за проследяване улеснява задачата на органите за надзор на пазара да откриват икономическите оператори, които предлагат на пазара несъответстващи продукти за наторяване, маркирани с маркировката „СЕ“. Когато съхраняват информацията, изисквана за идентифициране на други икономически оператори, от икономическите оператори не трябва да се изисква да актуализират тази информация по отношение на други икономически оператори, които са им доставили даден продукт за наторяване, маркиран с маркировката „СЕ“, или на които те са доставили продукт за наторяване, маркиран с маркировката „СЕ“, тъй като обичайно такава актуализирана информация не е достъпна за тях.</w:t>
      </w:r>
    </w:p>
    <w:p>
      <w:pPr>
        <w:pStyle w:val="ManualConsidrant"/>
        <w:rPr>
          <w:noProof/>
        </w:rPr>
      </w:pPr>
      <w:r>
        <w:t>(30)</w:t>
      </w:r>
      <w:r>
        <w:tab/>
      </w:r>
      <w:r>
        <w:rPr>
          <w:noProof/>
        </w:rPr>
        <w:t>С цел да се улесни оценяването на съответствието с изискванията за безопасност и качество, необходимо е да се предвиди презумпция за съответствие по отношение на продуктите за наторяване, маркирани с маркировката „СЕ“, които отговарят на хармонизираните стандарти, приети съгласно Регламент (ЕС) № 1025/2012 на Европейския парламент и на Съвета</w:t>
      </w:r>
      <w:r>
        <w:rPr>
          <w:rStyle w:val="FootnoteReference"/>
          <w:noProof/>
        </w:rPr>
        <w:footnoteReference w:id="30"/>
      </w:r>
      <w:r>
        <w:rPr>
          <w:noProof/>
        </w:rPr>
        <w:t>.</w:t>
      </w:r>
    </w:p>
    <w:p>
      <w:pPr>
        <w:pStyle w:val="ManualConsidrant"/>
        <w:rPr>
          <w:noProof/>
        </w:rPr>
      </w:pPr>
      <w:r>
        <w:t>(31)</w:t>
      </w:r>
      <w:r>
        <w:tab/>
      </w:r>
      <w:r>
        <w:rPr>
          <w:noProof/>
        </w:rPr>
        <w:t>В случаите, когато няма приети хармонизирани стандарти, или когато те не обхващат достатъчно подробно всички елементи на изискванията за качество и безопасност, посочени в настоящия регламент, могат да бъдат необходими единни условия за изпълнение на тези изисквания. Поради това на Комисията трябва да бъдат дадени правомощия да приема актове за изпълнение, с които се установяват посочените условия в общите спецификации. От съображения за правна сигурност е необходимо да се поясни, че маркираните с маркировката „СЕ“ продукти за  наторяване трябва да съответстват на тези спецификации дори ако те се разглеждат като съответстващи на хармонизираните стандарти.</w:t>
      </w:r>
    </w:p>
    <w:p>
      <w:pPr>
        <w:pStyle w:val="ManualConsidrant"/>
        <w:rPr>
          <w:noProof/>
        </w:rPr>
      </w:pPr>
      <w:r>
        <w:t>(32)</w:t>
      </w:r>
      <w:r>
        <w:tab/>
      </w:r>
      <w:r>
        <w:rPr>
          <w:noProof/>
        </w:rPr>
        <w:t>За да се даде възможност на икономическите оператори да докажат, а на компетентните органи да проверят дали предоставените на пазара продукти за наторяване, маркирани с маркировката „СЕ“, отговарят на изискванията, е необходимо да се предвидят процедури за оценяване на съответствието. С Решение № 768/2008/ЕО се определят модули за процедури за оценяване на съответствието, от най-малко ограничителната до процедурата с най-строги изисквания, съобразно степента на риска и необходимото ниво на безопасност. За да се осигури междусекторна последователност и да се избегнат варианти ad hoc, процедурите за оценяване на съответствието следва да бъдат избрани измежду тези модули. Необходимо е обаче тези модули да бъдат адаптирани, за да се отразят специфични аспекти на продуктите за наторяване. По-специално, необходимо е да се подсилят системите за качество и участието на нотифицираните органи за оценяването на съответствието на определени продукти за наторяване, маркирани с маркировката „СЕ“, получени от възстановени отпадъци.</w:t>
      </w:r>
    </w:p>
    <w:p>
      <w:pPr>
        <w:pStyle w:val="ManualConsidrant"/>
        <w:rPr>
          <w:noProof/>
        </w:rPr>
      </w:pPr>
      <w:r>
        <w:t>(33)</w:t>
      </w:r>
      <w:r>
        <w:tab/>
      </w:r>
      <w:r>
        <w:rPr>
          <w:noProof/>
        </w:rPr>
        <w:t>За да се гарантира, че маркираните с маркировката „СЕ“ амониево-нитратни торове с високо съдържание на азот не застрашават безопасността и за да се гарантира, че те не се използват за цели, различни от онези, за които те са предназначени, например за експлозиви, към тези торове трябва да се прилагат специфични изисквания по отношение на изпитванията за устойчивост на детонация и проследимостта.</w:t>
      </w:r>
    </w:p>
    <w:p>
      <w:pPr>
        <w:pStyle w:val="ManualConsidrant"/>
        <w:rPr>
          <w:noProof/>
        </w:rPr>
      </w:pPr>
      <w:r>
        <w:t>(34)</w:t>
      </w:r>
      <w:r>
        <w:tab/>
      </w:r>
      <w:r>
        <w:rPr>
          <w:noProof/>
        </w:rPr>
        <w:t>За да се осигури ефективен достъп до информация за целите на надзора на пазара, трябва да се представи информация за съответствието с всички актове на Съюза, приложими към маркираните с маркировката „СЕ“ продукти за наторяване, под формата на единна декларация за съответствие с изискванията на ЕС. За да се намали административната тежест за икономическите оператори, тази единна декларация за съответствие с изискванията на ЕС може да представлява досие, включващо относимите отделни декларации за съответствие.</w:t>
      </w:r>
    </w:p>
    <w:p>
      <w:pPr>
        <w:pStyle w:val="ManualConsidrant"/>
        <w:rPr>
          <w:noProof/>
        </w:rPr>
      </w:pPr>
      <w:r>
        <w:t>(35)</w:t>
      </w:r>
      <w:r>
        <w:tab/>
      </w:r>
      <w:r>
        <w:rPr>
          <w:noProof/>
        </w:rPr>
        <w:t xml:space="preserve">Маркировката „CE“, указваща съответствието на продукта за наторяване, е видимата последица от цялостен процес, включващ оценяване на съответствието в широк смисъл. Общите принципи, уреждащи маркировката „СЕ“ и нейното отношение към други маркировки, са установени в Регламент (ЕО) № 765/2008. Трябва да бъдат определени специфичните правила, уреждащи нанасянето на маркировката „СЕ“ при продуктите за наторяване. </w:t>
      </w:r>
    </w:p>
    <w:p>
      <w:pPr>
        <w:pStyle w:val="ManualConsidrant"/>
        <w:rPr>
          <w:noProof/>
        </w:rPr>
      </w:pPr>
      <w:r>
        <w:t>(36)</w:t>
      </w:r>
      <w:r>
        <w:tab/>
      </w:r>
      <w:r>
        <w:rPr>
          <w:noProof/>
        </w:rPr>
        <w:t>При някои от процедурите за оценяване на съответствието, определени в настоящия регламент, е необходимо да участват органи за оценяване на съответствието, които се нотифицират до Комисията от държавите членки.</w:t>
      </w:r>
    </w:p>
    <w:p>
      <w:pPr>
        <w:pStyle w:val="ManualConsidrant"/>
        <w:rPr>
          <w:noProof/>
        </w:rPr>
      </w:pPr>
      <w:r>
        <w:t>(37)</w:t>
      </w:r>
      <w:r>
        <w:tab/>
      </w:r>
      <w:r>
        <w:rPr>
          <w:noProof/>
        </w:rPr>
        <w:t>От съществено значение е нотифицираните органи да осъществяват функциите си на едно и също ниво и в условията на лоялна конкуренция. Това налага установяването на задължителни изисквания за органите за оценяване на съответствието, желаещи да бъдат нотифицирани с оглед извършване на услуги по оценяване на съответствието.</w:t>
      </w:r>
    </w:p>
    <w:p>
      <w:pPr>
        <w:pStyle w:val="ManualConsidrant"/>
        <w:rPr>
          <w:noProof/>
        </w:rPr>
      </w:pPr>
      <w:r>
        <w:t>(38)</w:t>
      </w:r>
      <w:r>
        <w:tab/>
      </w:r>
      <w:r>
        <w:rPr>
          <w:noProof/>
        </w:rPr>
        <w:t>Ако даден орган за оценяване на съответствието докаже съответствие с критериите, установени в хармонизираните стандарти, следва да се приеме, че той отговаря на изискванията, посочени в настоящия регламент.</w:t>
      </w:r>
    </w:p>
    <w:p>
      <w:pPr>
        <w:pStyle w:val="ManualConsidrant"/>
        <w:rPr>
          <w:noProof/>
        </w:rPr>
      </w:pPr>
      <w:r>
        <w:t>(39)</w:t>
      </w:r>
      <w:r>
        <w:tab/>
      </w:r>
      <w:r>
        <w:rPr>
          <w:noProof/>
        </w:rPr>
        <w:t>С цел осигуряване на сходно ниво на качеството при оценяването на съответствието на продуктите за наторяване, маркирани с маркировката „СЕ“, е необходимо също така да се определят изискванията за нотифициращите органи и другите органи, участващи в оценката, нотифицирането и наблюдението на нотифицираните органи.</w:t>
      </w:r>
    </w:p>
    <w:p>
      <w:pPr>
        <w:pStyle w:val="ManualConsidrant"/>
        <w:rPr>
          <w:noProof/>
        </w:rPr>
      </w:pPr>
      <w:r>
        <w:t>(40)</w:t>
      </w:r>
      <w:r>
        <w:tab/>
      </w:r>
      <w:r>
        <w:rPr>
          <w:noProof/>
        </w:rPr>
        <w:t>Системата, установена с настоящия регламент, следва да се допълни със системата за акредитация, предвидена в Регламент (ЕО) № 765/2008. Тъй като акредитацията е важно средство за проверка на компетентността на органите за оценяване на съответствието, тя също следва да бъде използвана за целите на нотифицирането.</w:t>
      </w:r>
    </w:p>
    <w:p>
      <w:pPr>
        <w:pStyle w:val="ManualConsidrant"/>
        <w:rPr>
          <w:noProof/>
        </w:rPr>
      </w:pPr>
      <w:r>
        <w:t>(41)</w:t>
      </w:r>
      <w:r>
        <w:tab/>
      </w:r>
      <w:r>
        <w:rPr>
          <w:noProof/>
        </w:rPr>
        <w:t>Поради непостоянното естество на някои съставни материали на продуктите за наторяване и потенциално необратимия характер на някои от щетите, до които експозицията на онечистванията на почвата и културите може да доведе, прозрачната акредитация, предвидена в Регламент (ЕО) № 765/2008, осигуряваща необходимото ниво на доверие в сертификатите за съответствие на продуктите за наторяване, които съдържат такива материали, трябва да бъде единственото средство за доказване на техническата компетентност на органите за оценяване на съответствието.</w:t>
      </w:r>
    </w:p>
    <w:p>
      <w:pPr>
        <w:pStyle w:val="ManualConsidrant"/>
        <w:rPr>
          <w:noProof/>
        </w:rPr>
      </w:pPr>
      <w:r>
        <w:t>(42)</w:t>
      </w:r>
      <w:r>
        <w:tab/>
      </w:r>
      <w:r>
        <w:rPr>
          <w:noProof/>
        </w:rPr>
        <w:t>Органите за оценяване на съответствието често възлагат части от своите дейности, свързани с оценяването на съответствието, на подизпълнители, или използват свои поделения за тази цел. С цел запазване нивото на защита, изисквано за продуктите за наторяване, маркирани с маркировката „СЕ“, които се пускат на пазара, от съществено значение е подизпълнителите и поделенията, извършващи оценяване на съответствието, да отговарят на същите изисквания като нотифицираните органи във връзка с изпълнението на задачи по оценяване на съответствието. Следователно е важно оценката на компетентността и работата на органите, които ще бъдат нотифицирани, както и наблюдението на вече нотифицираните органи, да обхващат също и дейностите, извършвани от подизпълнители и поделения.</w:t>
      </w:r>
    </w:p>
    <w:p>
      <w:pPr>
        <w:pStyle w:val="ManualConsidrant"/>
        <w:rPr>
          <w:noProof/>
        </w:rPr>
      </w:pPr>
      <w:r>
        <w:t>(43)</w:t>
      </w:r>
      <w:r>
        <w:tab/>
      </w:r>
      <w:r>
        <w:rPr>
          <w:noProof/>
        </w:rPr>
        <w:t>Необходимо е да се предвиди ефикасна и прозрачна процедура по нотифициране и по-специално, тя да бъде адаптирана към новите технологии, за да се даде възможност за нотифициране по електронен път.</w:t>
      </w:r>
    </w:p>
    <w:p>
      <w:pPr>
        <w:pStyle w:val="ManualConsidrant"/>
        <w:rPr>
          <w:noProof/>
        </w:rPr>
      </w:pPr>
      <w:r>
        <w:t>(44)</w:t>
      </w:r>
      <w:r>
        <w:tab/>
      </w:r>
      <w:r>
        <w:rPr>
          <w:noProof/>
        </w:rPr>
        <w:t>Тъй като услугите, предлагани от нотифицираните органи, могат да се отнасят до маркирани с маркировката „СЕ“ продукти за наторяване, предоставяни на пазара в целия Съюз, целесъобразно е да се даде възможност на другите държави членки и на Комисията да повдигат възражения относно нотифициран орган. Следователно е важно да се определи срок, през който всякакви съмнения или опасения относно компетентността на органите за оценяване на съответствието да бъдат изяснени, преди те да започнат да функционират като нотифицирани органи.</w:t>
      </w:r>
    </w:p>
    <w:p>
      <w:pPr>
        <w:pStyle w:val="ManualConsidrant"/>
        <w:rPr>
          <w:noProof/>
        </w:rPr>
      </w:pPr>
      <w:r>
        <w:t>(45)</w:t>
      </w:r>
      <w:r>
        <w:tab/>
      </w:r>
      <w:r>
        <w:rPr>
          <w:noProof/>
        </w:rPr>
        <w:t>В интерес на улесняване на достъпа до пазара от съществено значение е нотифицираните органи да прилагат процедурите за оценяване на съответствието, без да се създава ненужна тежест за икономическите оператори. По същата причина, както и за да се гарантира еднаквото третиране на икономическите оператори, трябва да се осигури последователност в техническото прилагане на процедурите за оценяване на съответствието. Това може да се постигне най-добре посредством съответната координация и сътрудничество между нотифицираните органи.</w:t>
      </w:r>
    </w:p>
    <w:p>
      <w:pPr>
        <w:pStyle w:val="ManualConsidrant"/>
        <w:rPr>
          <w:noProof/>
        </w:rPr>
      </w:pPr>
      <w:r>
        <w:t>(46)</w:t>
      </w:r>
      <w:r>
        <w:tab/>
      </w:r>
      <w:r>
        <w:rPr>
          <w:noProof/>
        </w:rPr>
        <w:t xml:space="preserve">С цел гарантиране на правна сигурност е необходимо да се поясни, че предвидените в Регламент (ЕО) № 765/2008 правила за надзора на вътрешния пазар и за контрола на продуктите, въвеждани на вътрешния пазар, се прилагат и по отношение на продуктите за наторяване, маркирани с маркировката „СЕ“, попадащи в обхвата на настоящия регламент. Настоящият регламент не следва да възпрепятства държавите членки при избора на компетентните органи за изпълнението на тези задачи. </w:t>
      </w:r>
    </w:p>
    <w:p>
      <w:pPr>
        <w:pStyle w:val="ManualConsidrant"/>
        <w:rPr>
          <w:noProof/>
        </w:rPr>
      </w:pPr>
      <w:r>
        <w:t>(47)</w:t>
      </w:r>
      <w:r>
        <w:tab/>
      </w:r>
      <w:r>
        <w:rPr>
          <w:noProof/>
        </w:rPr>
        <w:t xml:space="preserve">Маркираните с маркировката „СЕ“ продукти за наторяване трябва да се пускат на пазара само ако са достатъчно ефективни и не представляват неприемлив риск за здравето на човека, животните или растенията, за безопасността или околната среда, когато те са правилно съхранявани и се използват за предвидената им употреба и при разумно предвидими условия, т.е., когато употребата им може да е в резултат от законосъобразно и лесно предвидимо човешко поведение. Поради това трябва да се установят изисквания за безопасност и качество, както и подходящи механизми за контрол. Освен това, предвидената употреба на маркираните с маркировката „СЕ“ продукти за наторяване не трябва да води до намаляване на безопасността на храните или фуражите. </w:t>
      </w:r>
    </w:p>
    <w:p>
      <w:pPr>
        <w:pStyle w:val="ManualConsidrant"/>
        <w:rPr>
          <w:noProof/>
        </w:rPr>
      </w:pPr>
      <w:r>
        <w:t>(48)</w:t>
      </w:r>
      <w:r>
        <w:tab/>
      </w:r>
      <w:r>
        <w:rPr>
          <w:noProof/>
        </w:rPr>
        <w:t>В Регламент (ЕО) № 2003/2003/ЕО е предвидена предпазна процедура, с която се предоставя възможност на Комисията да прецени доколко е оправдана мярка, предприета от държава членка по отношение на ЕО торове, за които е преценено, че представляват риск. С цел повишаване на прозрачността и намаляване на времето за обработка е необходимо усъвършенстване на съществуващата предпазна процедура, за да може тя да се прилага по-ефикасно и да се ползва експертният опит, с който разполагат държавите членки.</w:t>
      </w:r>
    </w:p>
    <w:p>
      <w:pPr>
        <w:pStyle w:val="ManualConsidrant"/>
        <w:rPr>
          <w:noProof/>
        </w:rPr>
      </w:pPr>
      <w:r>
        <w:t>(49)</w:t>
      </w:r>
      <w:r>
        <w:tab/>
      </w:r>
      <w:r>
        <w:rPr>
          <w:noProof/>
        </w:rPr>
        <w:t>Съществуващата система следва да бъде допълнена от процедура, при която заинтересованите страни биват информирани относно планираните мерки по отношение на маркирани с маркировката „СЕ“ продукти за наторяване, представляващи неприемлив риск за здравето на човека, животните и растенията, за безопасността и за околната среда. Тя следва също така да позволява на органите за надзор на пазара в сътрудничество със съответните икономически оператори да предприемат действия на ранен етап по отношение на такива продукти за наторяване.</w:t>
      </w:r>
    </w:p>
    <w:p>
      <w:pPr>
        <w:pStyle w:val="ManualConsidrant"/>
        <w:rPr>
          <w:noProof/>
        </w:rPr>
      </w:pPr>
      <w:r>
        <w:t>(50)</w:t>
      </w:r>
      <w:r>
        <w:tab/>
      </w:r>
      <w:r>
        <w:rPr>
          <w:noProof/>
        </w:rPr>
        <w:t>Когато между държавите членки и Комисията е постигнато съгласие по въпроса дали е оправдана дадена мярка, предприета от държава членка, допълнителна намеса на Комисията се налага само когато несъответствието може да се дължи на недостатъци в хармонизиран стандарт, като в този случай се прилага процедурата за официално възражение срещу хармонизиран стандарт, предвидена в Регламент (ЕС) № 1025/2012. </w:t>
      </w:r>
    </w:p>
    <w:p>
      <w:pPr>
        <w:pStyle w:val="ManualConsidrant"/>
        <w:rPr>
          <w:noProof/>
        </w:rPr>
      </w:pPr>
      <w:r>
        <w:t>(51)</w:t>
      </w:r>
      <w:r>
        <w:tab/>
      </w:r>
      <w:r>
        <w:rPr>
          <w:noProof/>
        </w:rPr>
        <w:t>С цел да се осигурят еднакви условия за изпълнение на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31"/>
      </w:r>
      <w:r>
        <w:rPr>
          <w:noProof/>
        </w:rPr>
        <w:t>.</w:t>
      </w:r>
    </w:p>
    <w:p>
      <w:pPr>
        <w:pStyle w:val="ManualConsidrant"/>
        <w:rPr>
          <w:noProof/>
        </w:rPr>
      </w:pPr>
      <w:r>
        <w:t>(52)</w:t>
      </w:r>
      <w:r>
        <w:tab/>
      </w:r>
      <w:r>
        <w:rPr>
          <w:noProof/>
        </w:rPr>
        <w:t>При приемането на актове за изпълнение, изискващи от нотифициращите държави членки да предприемат необходимите коригиращи мерки спрямо нотифицираните органи, които не изпълняват или са престанали да изпълняват изискванията за нотификацията си, трябва да се използва процедурата на консултиране, тъй като такива актове попадат в обхвата на член 2, параграф 2 от Регламент (ЕС) № 182/2011.</w:t>
      </w:r>
    </w:p>
    <w:p>
      <w:pPr>
        <w:pStyle w:val="ManualConsidrant"/>
        <w:rPr>
          <w:noProof/>
        </w:rPr>
      </w:pPr>
      <w:r>
        <w:t>(53)</w:t>
      </w:r>
      <w:r>
        <w:tab/>
      </w:r>
      <w:r>
        <w:rPr>
          <w:noProof/>
        </w:rPr>
        <w:t>При приемането на актове за изпълнение по отношение на маркираните с маркировката „СЕ“ съответстващи продукти за наторяване, които представляват неприемлив риск за здравето на човека, животните и растенията, за безопасността или за околната среда, трябва да се използва процедурата по разглеждане, тъй като такива актове попадат в обхвата на член 2, параграф 2 от Регламент (ЕС) № 182/2011. По същата причина, тя трябва да се използва за приемане, изменение или отменяне на общите спецификации.</w:t>
      </w:r>
    </w:p>
    <w:p>
      <w:pPr>
        <w:pStyle w:val="ManualConsidrant"/>
        <w:rPr>
          <w:noProof/>
        </w:rPr>
      </w:pPr>
      <w:r>
        <w:t>(54)</w:t>
      </w:r>
      <w:r>
        <w:tab/>
      </w:r>
      <w:r>
        <w:rPr>
          <w:noProof/>
        </w:rPr>
        <w:t>Чрез актове за изменение Комисията трябва да определи дали мерките, предприети от държавите членки по отношение на несъответстващи маркирани с маркировката „СЕ“ продукти за наторяване, са оправдани, или не. Тъй като тези актове ще се отнасят до въпроса дали националните мерки са оправдани, не е необходимо актовете да бъдат обект на контрол от страна на държавите членки.</w:t>
      </w:r>
    </w:p>
    <w:p>
      <w:pPr>
        <w:pStyle w:val="ManualConsidrant"/>
        <w:rPr>
          <w:noProof/>
        </w:rPr>
      </w:pPr>
      <w:r>
        <w:t>(55)</w:t>
      </w:r>
      <w:r>
        <w:tab/>
      </w:r>
      <w:r>
        <w:rPr>
          <w:noProof/>
        </w:rPr>
        <w:t>В областта на рециклирането на отпадъците беше постигнат обещаващ напредък, например рециклиране на фосфора от утайки от отпадъчни води и производство на продукти за наторяване от странични животински продукти, като напр. биовъглища. Трябва да бъде възможно продукти, които съдържат такива материали или са съставени от тях, да имат достъп до вътрешния пазар без излишно забавяне, когато производственият процес е бил обект на научен анализ и изискванията по отношение на процеса са били установени на равнището на Съюза. За целта на Комисията трябва да бъде делегирано правомощието да приема актовете в съответствие с член 290 от Договора за функционирането на Европейския съюз по отношение на определяне на по-широки или допълнителни категории маркирани с маркировката „СЕ“ продукти за наторяване или съставни материали, допустими за употреба при производството на такива продукти. Категориите на съставните материали трябва да бъдат разширени по отношение на страничните животински продукти или да се добавят нови категории само дотолкова, доколкото е била определена крайна точка в производствената верига в съответствие с процедурата, посочена в Регламент (ЕО) № 1069/2009, тъй като страничните животински продукти, за които не е била определена такава крайна точка, са така или иначе изключени от обхвата на настоящия регламент.</w:t>
      </w:r>
    </w:p>
    <w:p>
      <w:pPr>
        <w:pStyle w:val="ManualConsidrant"/>
        <w:rPr>
          <w:noProof/>
        </w:rPr>
      </w:pPr>
      <w:r>
        <w:t>(56)</w:t>
      </w:r>
      <w:r>
        <w:tab/>
      </w:r>
      <w:r>
        <w:rPr>
          <w:noProof/>
        </w:rPr>
        <w:t>Освен това, трябва да е възможно да се реагира незабавно спрямо нови констатации по отношение на условията, изискващи маркираните с маркировката „СЕ“ продукти за наторяване да бъдат достатъчно ефективни, както и спрямо нови оценявания на риска за здравето на човека, животните или растенията, за безопасността или околната среда. За тази цел на Комисията трябва да се делегират правомощията да приема актове в съответствие с член 290 от Договора с цел изменение на изискванията, приложими към различните категории маркирани с маркировката „СЕ“ продукти за наторяване.</w:t>
      </w:r>
    </w:p>
    <w:p>
      <w:pPr>
        <w:pStyle w:val="ManualConsidrant"/>
        <w:rPr>
          <w:noProof/>
        </w:rPr>
      </w:pPr>
      <w:r>
        <w:t>(57)</w:t>
      </w:r>
      <w:r>
        <w:tab/>
      </w:r>
      <w:r>
        <w:rPr>
          <w:noProof/>
        </w:rPr>
        <w:t>От особена важност е при упражняване на правомощията по време на подготвителната си работа Комисията да провежда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p>
      <w:pPr>
        <w:pStyle w:val="ManualConsidrant"/>
        <w:rPr>
          <w:noProof/>
        </w:rPr>
      </w:pPr>
      <w:r>
        <w:t>(58)</w:t>
      </w:r>
      <w:r>
        <w:tab/>
      </w:r>
      <w:r>
        <w:rPr>
          <w:noProof/>
        </w:rPr>
        <w:t>Държавите членки следва да установят правила за санкциите, приложими за нарушенията на настоящия регламент, и да гарантират, че тези правила се прилагат. Предвидените санкции следва да бъдат ефективни, съразмерни и възпиращи.</w:t>
      </w:r>
    </w:p>
    <w:p>
      <w:pPr>
        <w:pStyle w:val="ManualConsidrant"/>
        <w:rPr>
          <w:noProof/>
        </w:rPr>
      </w:pPr>
      <w:r>
        <w:t>(59)</w:t>
      </w:r>
      <w:r>
        <w:tab/>
      </w:r>
      <w:r>
        <w:rPr>
          <w:noProof/>
        </w:rPr>
        <w:t>Необходимо е да се предвидят преходни разпоредби, даващи възможност за предоставяне на пазара на ЕО торовете, които вече са били пускани на пазара в съответствие с Регламент (ЕО) № 2003/2003 преди датата на прилагане на настоящия регламент, без да е необходимо тези продукти да отговарят на допълнителни изисквания. Следователно дистрибуторите следва да могат да доставят ЕО торове, които са били пуснати на пазара, а именно които вече са налични във веригата на дистрибуция преди началната дата на прилагане на настоящия регламент.</w:t>
      </w:r>
    </w:p>
    <w:p>
      <w:pPr>
        <w:pStyle w:val="ManualConsidrant"/>
        <w:rPr>
          <w:noProof/>
        </w:rPr>
      </w:pPr>
      <w:r>
        <w:t>(60)</w:t>
      </w:r>
      <w:r>
        <w:tab/>
      </w:r>
      <w:r>
        <w:rPr>
          <w:noProof/>
        </w:rPr>
        <w:t>Необходимо е да се предвиди достатъчно време, за да могат икономическите оператори да се съобразят със задълженията си по настоящия регламент, а държавите членки да създадат административната инфраструктура, необходима за прилагането му. Поради това началото на прилагането трябва да се отложи до дата, на която е разумно да се очаква, че приготовленията ще бъдат завършени.</w:t>
      </w:r>
    </w:p>
    <w:p>
      <w:pPr>
        <w:pStyle w:val="ManualConsidrant"/>
        <w:rPr>
          <w:noProof/>
        </w:rPr>
      </w:pPr>
      <w:r>
        <w:t>(61)</w:t>
      </w:r>
      <w:r>
        <w:tab/>
      </w:r>
      <w:r>
        <w:rPr>
          <w:noProof/>
        </w:rPr>
        <w:t>Доколкото целта на настоящия регламент, а именно да се гарантира функционирането на вътрешния пазар, като същевременно се създадат условия маркираните с маркировката „СЕ“ продукти за наторяване, които са пуснати на пазара, да отговарят на изискванията, предвиждащи високо равнище на защита на здравето на човека, животните и растенията, безопасността и околната среда, не може да бъде постигната в достатъчна степен от държавите членки, а поради мащаба и последиците си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Formuledadoption"/>
        <w:rPr>
          <w:noProof/>
        </w:rPr>
      </w:pPr>
      <w:r>
        <w:rPr>
          <w:noProof/>
        </w:rPr>
        <w:t>ПРИЕХА НАСТОЯЩИЯ РЕГЛАМЕНТ:</w:t>
      </w:r>
    </w:p>
    <w:p>
      <w:pPr>
        <w:pStyle w:val="ChapterTitle"/>
        <w:rPr>
          <w:noProof/>
        </w:rPr>
      </w:pPr>
      <w:r>
        <w:rPr>
          <w:b w:val="0"/>
          <w:caps/>
          <w:noProof/>
        </w:rPr>
        <w:t>Глава 1</w:t>
      </w:r>
      <w:r>
        <w:rPr>
          <w:noProof/>
        </w:rPr>
        <w:br/>
      </w:r>
      <w:r>
        <w:rPr>
          <w:caps/>
          <w:noProof/>
        </w:rPr>
        <w:t>Общи разпоредби</w:t>
      </w:r>
    </w:p>
    <w:p>
      <w:pPr>
        <w:pStyle w:val="Titrearticle"/>
        <w:rPr>
          <w:b/>
          <w:i w:val="0"/>
          <w:noProof/>
        </w:rPr>
      </w:pPr>
      <w:r>
        <w:rPr>
          <w:noProof/>
        </w:rPr>
        <w:t>Член 1</w:t>
      </w:r>
      <w:r>
        <w:rPr>
          <w:noProof/>
        </w:rPr>
        <w:br/>
      </w:r>
      <w:r>
        <w:rPr>
          <w:b/>
          <w:i w:val="0"/>
          <w:noProof/>
        </w:rPr>
        <w:t>Приложно поле</w:t>
      </w:r>
    </w:p>
    <w:p>
      <w:pPr>
        <w:pStyle w:val="ManualNumPar1"/>
        <w:rPr>
          <w:noProof/>
        </w:rPr>
      </w:pPr>
      <w:r>
        <w:t>1.</w:t>
      </w:r>
      <w:r>
        <w:tab/>
      </w:r>
      <w:r>
        <w:rPr>
          <w:noProof/>
        </w:rPr>
        <w:t>Настоящият регламент се прилага по отношение на маркираните с маркировката „СЕ“ продукти за наторяване.</w:t>
      </w:r>
    </w:p>
    <w:p>
      <w:pPr>
        <w:pStyle w:val="Text1"/>
        <w:keepNext/>
        <w:ind w:left="851"/>
        <w:rPr>
          <w:noProof/>
        </w:rPr>
      </w:pPr>
      <w:r>
        <w:rPr>
          <w:noProof/>
        </w:rPr>
        <w:t>Настоящият регламент обаче не се прилага за следните продукти:</w:t>
      </w:r>
    </w:p>
    <w:p>
      <w:pPr>
        <w:pStyle w:val="Point1"/>
        <w:rPr>
          <w:noProof/>
        </w:rPr>
      </w:pPr>
      <w:r>
        <w:rPr>
          <w:noProof/>
        </w:rPr>
        <w:t>а)</w:t>
      </w:r>
      <w:r>
        <w:rPr>
          <w:noProof/>
        </w:rPr>
        <w:tab/>
        <w:t>страничните животински продукти, които попадат в приложното поле на Регламент (ЕО) № 1069/2009;</w:t>
      </w:r>
    </w:p>
    <w:p>
      <w:pPr>
        <w:pStyle w:val="Point1"/>
        <w:rPr>
          <w:noProof/>
        </w:rPr>
      </w:pPr>
      <w:r>
        <w:rPr>
          <w:noProof/>
        </w:rPr>
        <w:t>б)</w:t>
      </w:r>
      <w:r>
        <w:rPr>
          <w:noProof/>
        </w:rPr>
        <w:tab/>
        <w:t>продуктите за растителна защита, попадащи в приложното поле на Регламент (ЕО) № 1107/2009.</w:t>
      </w:r>
    </w:p>
    <w:p>
      <w:pPr>
        <w:pStyle w:val="ManualNumPar1"/>
        <w:rPr>
          <w:noProof/>
        </w:rPr>
      </w:pPr>
      <w:r>
        <w:t>2.</w:t>
      </w:r>
      <w:r>
        <w:tab/>
      </w:r>
      <w:r>
        <w:rPr>
          <w:noProof/>
        </w:rPr>
        <w:t>Настоящият регламент не нарушава прилагането на следните актове:</w:t>
      </w:r>
    </w:p>
    <w:p>
      <w:pPr>
        <w:pStyle w:val="Point1"/>
        <w:rPr>
          <w:noProof/>
        </w:rPr>
      </w:pPr>
      <w:r>
        <w:rPr>
          <w:noProof/>
        </w:rPr>
        <w:t>а)</w:t>
      </w:r>
      <w:r>
        <w:rPr>
          <w:noProof/>
        </w:rPr>
        <w:tab/>
        <w:t>Директива 86/278/ЕИО;</w:t>
      </w:r>
    </w:p>
    <w:p>
      <w:pPr>
        <w:pStyle w:val="Point1"/>
        <w:rPr>
          <w:noProof/>
        </w:rPr>
      </w:pPr>
      <w:r>
        <w:rPr>
          <w:noProof/>
        </w:rPr>
        <w:t>б)</w:t>
      </w:r>
      <w:r>
        <w:rPr>
          <w:noProof/>
        </w:rPr>
        <w:tab/>
        <w:t xml:space="preserve">Директива 89/391/ЕИО; </w:t>
      </w:r>
    </w:p>
    <w:p>
      <w:pPr>
        <w:pStyle w:val="Point1"/>
        <w:rPr>
          <w:noProof/>
        </w:rPr>
      </w:pPr>
      <w:r>
        <w:rPr>
          <w:noProof/>
        </w:rPr>
        <w:t>в)</w:t>
      </w:r>
      <w:r>
        <w:rPr>
          <w:noProof/>
        </w:rPr>
        <w:tab/>
        <w:t>Регламент (ЕО) № 1907/2006;</w:t>
      </w:r>
    </w:p>
    <w:p>
      <w:pPr>
        <w:pStyle w:val="Point1"/>
        <w:rPr>
          <w:noProof/>
        </w:rPr>
      </w:pPr>
      <w:r>
        <w:rPr>
          <w:noProof/>
        </w:rPr>
        <w:t>г)</w:t>
      </w:r>
      <w:r>
        <w:rPr>
          <w:noProof/>
        </w:rPr>
        <w:tab/>
        <w:t>Регламент (ЕО) № 1272/2008;</w:t>
      </w:r>
    </w:p>
    <w:p>
      <w:pPr>
        <w:pStyle w:val="Point1"/>
        <w:rPr>
          <w:noProof/>
        </w:rPr>
      </w:pPr>
      <w:r>
        <w:rPr>
          <w:noProof/>
        </w:rPr>
        <w:t>д)</w:t>
      </w:r>
      <w:r>
        <w:rPr>
          <w:noProof/>
        </w:rPr>
        <w:tab/>
        <w:t>Регламент (ЕО) № 1881/2006;</w:t>
      </w:r>
    </w:p>
    <w:p>
      <w:pPr>
        <w:pStyle w:val="Point1"/>
        <w:rPr>
          <w:noProof/>
        </w:rPr>
      </w:pPr>
      <w:r>
        <w:rPr>
          <w:noProof/>
        </w:rPr>
        <w:t>е)</w:t>
      </w:r>
      <w:r>
        <w:rPr>
          <w:noProof/>
        </w:rPr>
        <w:tab/>
        <w:t>Директива 2000/29/ЕО;</w:t>
      </w:r>
    </w:p>
    <w:p>
      <w:pPr>
        <w:pStyle w:val="Point1"/>
        <w:rPr>
          <w:noProof/>
        </w:rPr>
      </w:pPr>
      <w:r>
        <w:rPr>
          <w:noProof/>
        </w:rPr>
        <w:t>ж)</w:t>
      </w:r>
      <w:r>
        <w:rPr>
          <w:noProof/>
        </w:rPr>
        <w:tab/>
        <w:t>Регламент (ЕС) № 98/2013;</w:t>
      </w:r>
    </w:p>
    <w:p>
      <w:pPr>
        <w:pStyle w:val="Point1"/>
        <w:rPr>
          <w:noProof/>
        </w:rPr>
      </w:pPr>
      <w:r>
        <w:rPr>
          <w:noProof/>
        </w:rPr>
        <w:t>з)</w:t>
      </w:r>
      <w:r>
        <w:rPr>
          <w:noProof/>
        </w:rPr>
        <w:tab/>
        <w:t>Регламент (ЕС) № 1143/2014.</w:t>
      </w:r>
    </w:p>
    <w:p>
      <w:pPr>
        <w:pStyle w:val="Titrearticle"/>
        <w:rPr>
          <w:noProof/>
        </w:rPr>
      </w:pPr>
      <w:r>
        <w:rPr>
          <w:noProof/>
        </w:rPr>
        <w:t>Член 2</w:t>
      </w:r>
      <w:r>
        <w:rPr>
          <w:noProof/>
        </w:rPr>
        <w:br/>
      </w:r>
      <w:r>
        <w:rPr>
          <w:b/>
          <w:i w:val="0"/>
          <w:noProof/>
        </w:rPr>
        <w:t>Определения</w:t>
      </w:r>
    </w:p>
    <w:p>
      <w:pPr>
        <w:pStyle w:val="Text1"/>
        <w:rPr>
          <w:noProof/>
        </w:rPr>
      </w:pPr>
      <w:r>
        <w:rPr>
          <w:noProof/>
        </w:rPr>
        <w:t>За целите на настоящия регламент се прилагат следните определения:</w:t>
      </w:r>
    </w:p>
    <w:p>
      <w:pPr>
        <w:pStyle w:val="Point1number"/>
        <w:numPr>
          <w:ilvl w:val="2"/>
          <w:numId w:val="46"/>
        </w:numPr>
        <w:rPr>
          <w:noProof/>
        </w:rPr>
      </w:pPr>
      <w:r>
        <w:rPr>
          <w:noProof/>
        </w:rPr>
        <w:t>„продукт за наторяване“ е вещество, смес, микроорганизъм или всякакъв друг материал, който се прилага или се предвижда да се прилага, самостоятелно или смесен с друг материал, върху растения или тяхната ризосфера с цел да се достави на тези растения хранителен елемент или да се подобри ефикасността на храненето им;</w:t>
      </w:r>
    </w:p>
    <w:p>
      <w:pPr>
        <w:pStyle w:val="Point1number"/>
        <w:numPr>
          <w:ilvl w:val="2"/>
          <w:numId w:val="46"/>
        </w:numPr>
        <w:rPr>
          <w:noProof/>
        </w:rPr>
      </w:pPr>
      <w:r>
        <w:rPr>
          <w:noProof/>
        </w:rPr>
        <w:t>„маркиран с маркировката „СЕ“ продукт за наторяване“ е продукт за наторяване, който при предоставянето на пазара има маркировка „СЕ“;</w:t>
      </w:r>
    </w:p>
    <w:p>
      <w:pPr>
        <w:pStyle w:val="Point1number"/>
        <w:rPr>
          <w:noProof/>
        </w:rPr>
      </w:pPr>
      <w:r>
        <w:rPr>
          <w:noProof/>
        </w:rPr>
        <w:t>„вещество“ е вещество по смисъла на член 3, параграф 1 от Регламент (ЕО) № 1907/2006;</w:t>
      </w:r>
    </w:p>
    <w:p>
      <w:pPr>
        <w:pStyle w:val="Point1number"/>
        <w:rPr>
          <w:noProof/>
        </w:rPr>
      </w:pPr>
      <w:r>
        <w:rPr>
          <w:noProof/>
        </w:rPr>
        <w:t>„смес“ е смес по смисъла на член 3, параграф 2 от Регламент (ЕО) № 1907/2006;</w:t>
      </w:r>
    </w:p>
    <w:p>
      <w:pPr>
        <w:pStyle w:val="Point1number"/>
        <w:rPr>
          <w:noProof/>
        </w:rPr>
      </w:pPr>
      <w:r>
        <w:rPr>
          <w:noProof/>
        </w:rPr>
        <w:t>„микроорганизъм“ е микроорганизъм по смисъла на член 3, параграф 15 от Регламент (ЕО) № 1107/2009;</w:t>
      </w:r>
    </w:p>
    <w:p>
      <w:pPr>
        <w:pStyle w:val="Point1number"/>
        <w:rPr>
          <w:noProof/>
        </w:rPr>
      </w:pPr>
      <w:r>
        <w:rPr>
          <w:noProof/>
        </w:rPr>
        <w:t>„предоставяне на пазара“ е всяка доставка на маркиран с маркировката „СЕ“ продукт за наторяване за дистрибуция или използване на пазара на Съюза в процеса на търговска дейност срещу заплащане или безплатно;</w:t>
      </w:r>
    </w:p>
    <w:p>
      <w:pPr>
        <w:pStyle w:val="Point1number"/>
        <w:rPr>
          <w:noProof/>
        </w:rPr>
      </w:pPr>
      <w:r>
        <w:rPr>
          <w:noProof/>
        </w:rPr>
        <w:t>„пускане на пазара“ е първото предоставяне на продукт за наторяване, маркиран с маркировката „СЕ“, на пазара на Съюза;</w:t>
      </w:r>
    </w:p>
    <w:p>
      <w:pPr>
        <w:pStyle w:val="Point1number"/>
        <w:rPr>
          <w:noProof/>
        </w:rPr>
      </w:pPr>
      <w:r>
        <w:rPr>
          <w:noProof/>
        </w:rPr>
        <w:t>„производител“ е физическо или юридическо лице, което произвежда маркиран с маркировката „СЕ“ продукт за наторяване или което възлага проектирането или производството маркиран с маркировката „СЕ“ на продукт за наторяване и предлага този продукт за наторяване на пазара със своето име или търговска марка;</w:t>
      </w:r>
    </w:p>
    <w:p>
      <w:pPr>
        <w:pStyle w:val="Point1number"/>
        <w:rPr>
          <w:noProof/>
        </w:rPr>
      </w:pPr>
      <w:r>
        <w:rPr>
          <w:noProof/>
        </w:rPr>
        <w:t>„упълномощен представител“ е физическо или юридическо лице, установено в Съюза, което е упълномощено писмено от производител да действа от негово/нейно име във връзка с определени задачи;</w:t>
      </w:r>
    </w:p>
    <w:p>
      <w:pPr>
        <w:pStyle w:val="Point1number"/>
        <w:rPr>
          <w:noProof/>
        </w:rPr>
      </w:pPr>
      <w:r>
        <w:rPr>
          <w:noProof/>
        </w:rPr>
        <w:t>„вносител“ е всяко физическо или юридическо лице, установено в Съюза, което пуска на пазара на Съюза маркиран с маркировката „СЕ“ продукт за наторяване от трета държава;</w:t>
      </w:r>
    </w:p>
    <w:p>
      <w:pPr>
        <w:pStyle w:val="Point1number"/>
        <w:rPr>
          <w:noProof/>
        </w:rPr>
      </w:pPr>
      <w:r>
        <w:rPr>
          <w:noProof/>
        </w:rPr>
        <w:t>„дистрибутор“ е всяко физическо или юридическо лице във веригата на доставка, различно от производителя или вносителя, което предоставя определен маркиран с маркировката „СЕ“ продукт за наторяване на пазара;</w:t>
      </w:r>
    </w:p>
    <w:p>
      <w:pPr>
        <w:pStyle w:val="Point1number"/>
        <w:rPr>
          <w:noProof/>
        </w:rPr>
      </w:pPr>
      <w:r>
        <w:rPr>
          <w:noProof/>
        </w:rPr>
        <w:t>„икономически оператори“ са производителите, упълномощените представители, вносителите и дистрибуторите;</w:t>
      </w:r>
    </w:p>
    <w:p>
      <w:pPr>
        <w:pStyle w:val="Point1number"/>
        <w:rPr>
          <w:noProof/>
        </w:rPr>
      </w:pPr>
      <w:r>
        <w:rPr>
          <w:noProof/>
        </w:rPr>
        <w:t>„техническа спецификация“ е документ, определящ техническите изисквания, които трябва да са изпълнени за определен маркиран с маркировката „СЕ“ продукт за наторяване;</w:t>
      </w:r>
    </w:p>
    <w:p>
      <w:pPr>
        <w:pStyle w:val="Point1number"/>
        <w:rPr>
          <w:noProof/>
        </w:rPr>
      </w:pPr>
      <w:r>
        <w:rPr>
          <w:noProof/>
        </w:rPr>
        <w:t>„хармонизиран стандарт“ е хармонизиран стандарт по смисъла на член 2, параграф 1, буква в) от Регламент (ЕС) № 1025/2012;</w:t>
      </w:r>
    </w:p>
    <w:p>
      <w:pPr>
        <w:pStyle w:val="Point1number"/>
        <w:rPr>
          <w:noProof/>
        </w:rPr>
      </w:pPr>
      <w:r>
        <w:rPr>
          <w:noProof/>
        </w:rPr>
        <w:t>„акредитация“ е акредитация по смисъла на член 2, параграф 10 от Регламент (ЕО) № 765/2008;</w:t>
      </w:r>
    </w:p>
    <w:p>
      <w:pPr>
        <w:pStyle w:val="Point1number"/>
        <w:rPr>
          <w:noProof/>
        </w:rPr>
      </w:pPr>
      <w:r>
        <w:rPr>
          <w:noProof/>
        </w:rPr>
        <w:t xml:space="preserve">„национален орган по акредитация“ е национален орган по акредитация по смисъла на член 2, параграф 11 от Регламент (ЕО) № 765/2008; </w:t>
      </w:r>
    </w:p>
    <w:p>
      <w:pPr>
        <w:pStyle w:val="Point1number"/>
        <w:rPr>
          <w:noProof/>
        </w:rPr>
      </w:pPr>
      <w:r>
        <w:rPr>
          <w:noProof/>
        </w:rPr>
        <w:t>„оценяване на съответствието“ е процес, чрез който се доказва дали са изпълнени изискванията на настоящия регламент, свързани с даден маркиран с маркировката „СЕ“ продукт за наторяване;</w:t>
      </w:r>
    </w:p>
    <w:p>
      <w:pPr>
        <w:pStyle w:val="Point1number"/>
        <w:rPr>
          <w:noProof/>
        </w:rPr>
      </w:pPr>
      <w:r>
        <w:rPr>
          <w:noProof/>
        </w:rPr>
        <w:t>„орган за оценяване на съответствието“ е орган, осъществяващ дейности по оценяване на съответствието, включително изпитване, сертификация и проверка;</w:t>
      </w:r>
    </w:p>
    <w:p>
      <w:pPr>
        <w:pStyle w:val="Point1number"/>
        <w:rPr>
          <w:noProof/>
        </w:rPr>
      </w:pPr>
      <w:r>
        <w:rPr>
          <w:noProof/>
        </w:rPr>
        <w:t>„изземване“ е всяка мярка, целяща да постигне връщане на маркиран с маркировката „СЕ“ продукт за наторяване, който вече е бил предоставен на крайния ползвател;</w:t>
      </w:r>
    </w:p>
    <w:p>
      <w:pPr>
        <w:pStyle w:val="Point1number"/>
        <w:rPr>
          <w:noProof/>
        </w:rPr>
      </w:pPr>
      <w:r>
        <w:rPr>
          <w:noProof/>
        </w:rPr>
        <w:t>„изтегляне“ е всяка мярка, целяща предотвратяване на предоставянето на пазара на маркиран с маркировката „СЕ“ продукт за наторяване, който е във веригата на доставка;</w:t>
      </w:r>
    </w:p>
    <w:p>
      <w:pPr>
        <w:pStyle w:val="Point1number"/>
        <w:rPr>
          <w:noProof/>
        </w:rPr>
      </w:pPr>
      <w:r>
        <w:rPr>
          <w:noProof/>
        </w:rPr>
        <w:t>„маркировка „CE““ е маркировка, чрез която производителят указва, че продуктът за наторяване е в съответствие с приложимите изисквания, установени в законодателството на Съюза за хармонизация, предвиждащо нейното нанасяне;</w:t>
      </w:r>
    </w:p>
    <w:p>
      <w:pPr>
        <w:pStyle w:val="Point1number"/>
        <w:rPr>
          <w:noProof/>
        </w:rPr>
      </w:pPr>
      <w:r>
        <w:rPr>
          <w:noProof/>
        </w:rPr>
        <w:t>„законодателство на Съюза за хармонизация“ е законодателството на Съюза, което хармонизира условията за предлагане на продукти на пазара;</w:t>
      </w:r>
    </w:p>
    <w:p>
      <w:pPr>
        <w:pStyle w:val="Titrearticle"/>
        <w:rPr>
          <w:b/>
          <w:i w:val="0"/>
          <w:noProof/>
        </w:rPr>
      </w:pPr>
      <w:r>
        <w:rPr>
          <w:noProof/>
        </w:rPr>
        <w:t>Член 3</w:t>
      </w:r>
      <w:r>
        <w:rPr>
          <w:noProof/>
        </w:rPr>
        <w:br/>
      </w:r>
      <w:r>
        <w:rPr>
          <w:b/>
          <w:i w:val="0"/>
          <w:noProof/>
        </w:rPr>
        <w:t>Свободно движение</w:t>
      </w:r>
    </w:p>
    <w:p>
      <w:pPr>
        <w:pStyle w:val="Text1"/>
        <w:rPr>
          <w:noProof/>
        </w:rPr>
      </w:pPr>
      <w:r>
        <w:rPr>
          <w:noProof/>
        </w:rPr>
        <w:t>Държавите членки не възпрепятстват предоставянето на пазара на продукти за наторяване, маркирани с маркировката „СЕ“, които съответстват на настоящия регламент.</w:t>
      </w:r>
    </w:p>
    <w:p>
      <w:pPr>
        <w:pStyle w:val="Titrearticle"/>
        <w:rPr>
          <w:b/>
          <w:i w:val="0"/>
          <w:noProof/>
        </w:rPr>
      </w:pPr>
      <w:r>
        <w:rPr>
          <w:noProof/>
        </w:rPr>
        <w:t>Член 4</w:t>
      </w:r>
      <w:r>
        <w:rPr>
          <w:noProof/>
        </w:rPr>
        <w:br/>
      </w:r>
      <w:r>
        <w:rPr>
          <w:b/>
          <w:i w:val="0"/>
          <w:noProof/>
        </w:rPr>
        <w:t>Изисквания по отношение на продуктите</w:t>
      </w:r>
    </w:p>
    <w:p>
      <w:pPr>
        <w:pStyle w:val="ManualNumPar1"/>
        <w:rPr>
          <w:noProof/>
        </w:rPr>
      </w:pPr>
      <w:r>
        <w:t>1.</w:t>
      </w:r>
      <w:r>
        <w:tab/>
      </w:r>
      <w:r>
        <w:rPr>
          <w:noProof/>
        </w:rPr>
        <w:t xml:space="preserve">Продуктът за наторяване, маркиран с маркировката „СЕ“ трябва: </w:t>
      </w:r>
    </w:p>
    <w:p>
      <w:pPr>
        <w:pStyle w:val="Point1"/>
        <w:rPr>
          <w:noProof/>
        </w:rPr>
      </w:pPr>
      <w:r>
        <w:rPr>
          <w:noProof/>
        </w:rPr>
        <w:t>а)</w:t>
      </w:r>
      <w:r>
        <w:rPr>
          <w:noProof/>
        </w:rPr>
        <w:tab/>
        <w:t>да отговаря на изискванията, посочени в приложение I за съответната продуктова функционална категория;</w:t>
      </w:r>
    </w:p>
    <w:p>
      <w:pPr>
        <w:pStyle w:val="Point1"/>
        <w:rPr>
          <w:noProof/>
        </w:rPr>
      </w:pPr>
      <w:r>
        <w:rPr>
          <w:noProof/>
        </w:rPr>
        <w:t>б)</w:t>
      </w:r>
      <w:r>
        <w:rPr>
          <w:noProof/>
        </w:rPr>
        <w:tab/>
        <w:t xml:space="preserve">да отговаря на изискванията, посочени в приложение II за съответната категория или категории на съставните материали; </w:t>
      </w:r>
    </w:p>
    <w:p>
      <w:pPr>
        <w:pStyle w:val="Point1"/>
        <w:rPr>
          <w:noProof/>
        </w:rPr>
      </w:pPr>
      <w:r>
        <w:rPr>
          <w:noProof/>
        </w:rPr>
        <w:t>в)</w:t>
      </w:r>
      <w:r>
        <w:rPr>
          <w:noProof/>
        </w:rPr>
        <w:tab/>
        <w:t>да бъде етикетиран в съответствие с изискванията за етикетиране, предвидени в приложение III.</w:t>
      </w:r>
    </w:p>
    <w:p>
      <w:pPr>
        <w:pStyle w:val="ManualNumPar1"/>
        <w:rPr>
          <w:noProof/>
        </w:rPr>
      </w:pPr>
      <w:r>
        <w:t>2.</w:t>
      </w:r>
      <w:r>
        <w:tab/>
      </w:r>
      <w:r>
        <w:rPr>
          <w:noProof/>
        </w:rPr>
        <w:t>По отношение на всички аспекти, които не са обхванати от приложение I или II, маркираните с маркировката „СЕ“ продукти за наторяване трябва да отговарят на изискванията, според които употребата им, както е посочено в инструкциите за употреба, не трябва да води до това храните или фуражите да не са безопасни по смисъла съответно на членове 14 и 15 от Регламент (ЕО) № 178/2002.</w:t>
      </w:r>
    </w:p>
    <w:p>
      <w:pPr>
        <w:pStyle w:val="Titrearticle"/>
        <w:rPr>
          <w:b/>
          <w:i w:val="0"/>
          <w:noProof/>
        </w:rPr>
      </w:pPr>
      <w:r>
        <w:rPr>
          <w:noProof/>
        </w:rPr>
        <w:t>Член 5</w:t>
      </w:r>
      <w:r>
        <w:rPr>
          <w:noProof/>
        </w:rPr>
        <w:br/>
      </w:r>
      <w:r>
        <w:rPr>
          <w:b/>
          <w:i w:val="0"/>
          <w:noProof/>
        </w:rPr>
        <w:t>Предоставяне на пазара</w:t>
      </w:r>
    </w:p>
    <w:p>
      <w:pPr>
        <w:pStyle w:val="Text1"/>
        <w:rPr>
          <w:noProof/>
        </w:rPr>
      </w:pPr>
      <w:r>
        <w:rPr>
          <w:noProof/>
        </w:rPr>
        <w:t>Продуктите за наторяване, маркирани с маркировката „СЕ“,  могат да се предоставят на пазара само ако отговарят на изискванията на настоящия регламент.</w:t>
      </w:r>
    </w:p>
    <w:p>
      <w:pPr>
        <w:pStyle w:val="ChapterTitle"/>
        <w:rPr>
          <w:noProof/>
        </w:rPr>
      </w:pPr>
      <w:r>
        <w:rPr>
          <w:b w:val="0"/>
          <w:caps/>
          <w:noProof/>
        </w:rPr>
        <w:t>Глава 2</w:t>
      </w:r>
      <w:r>
        <w:rPr>
          <w:noProof/>
        </w:rPr>
        <w:br/>
      </w:r>
      <w:r>
        <w:rPr>
          <w:caps/>
          <w:noProof/>
        </w:rPr>
        <w:t>Задължения на икономическите оператори</w:t>
      </w:r>
    </w:p>
    <w:p>
      <w:pPr>
        <w:pStyle w:val="Titrearticle"/>
        <w:rPr>
          <w:b/>
          <w:i w:val="0"/>
          <w:noProof/>
        </w:rPr>
      </w:pPr>
      <w:r>
        <w:rPr>
          <w:noProof/>
        </w:rPr>
        <w:t>Член 6</w:t>
      </w:r>
      <w:r>
        <w:rPr>
          <w:noProof/>
        </w:rPr>
        <w:br/>
      </w:r>
      <w:r>
        <w:rPr>
          <w:b/>
          <w:i w:val="0"/>
          <w:noProof/>
        </w:rPr>
        <w:t>Задължения на производителите</w:t>
      </w:r>
    </w:p>
    <w:p>
      <w:pPr>
        <w:pStyle w:val="ManualNumPar1"/>
        <w:rPr>
          <w:noProof/>
        </w:rPr>
      </w:pPr>
      <w:r>
        <w:t>1.</w:t>
      </w:r>
      <w:r>
        <w:tab/>
      </w:r>
      <w:r>
        <w:rPr>
          <w:noProof/>
        </w:rPr>
        <w:t>Когато пускат на пазара своите маркирани с маркировката „СЕ“ продукти за наторяване, производителите трябва да гарантират, че те са разработени и произведени в съответствие с изискванията, предвидени в приложение I за съответната продуктова функционална категория, а също и с изискванията, предвидени в приложение II за съответната категория/категории съставен материал.</w:t>
      </w:r>
    </w:p>
    <w:p>
      <w:pPr>
        <w:pStyle w:val="ManualNumPar1"/>
        <w:rPr>
          <w:noProof/>
        </w:rPr>
      </w:pPr>
      <w:r>
        <w:t>2.</w:t>
      </w:r>
      <w:r>
        <w:tab/>
      </w:r>
      <w:r>
        <w:rPr>
          <w:noProof/>
        </w:rPr>
        <w:t xml:space="preserve">Преди да пуснат на пазара маркирани с маркировката „СЕ“ продукти за наторяване, производителите изготвят техническата документация и провеждат съответната процедура за оценяване на съответствието по член 14 или организират нейното провеждане. Когато съответствието на такъв продукт за наторяване с приложимите изисквания, посочени в настоящия регламент, е доказано по посочената процедура, производителите поставят маркировката „СЕ“, изготвят декларация за съответствие с изискванията на ЕС и гарантират, че тя придружава продукта за наторяване, когато той се пуска на пазара. </w:t>
      </w:r>
    </w:p>
    <w:p>
      <w:pPr>
        <w:pStyle w:val="ManualNumPar1"/>
        <w:rPr>
          <w:noProof/>
        </w:rPr>
      </w:pPr>
      <w:r>
        <w:t>3.</w:t>
      </w:r>
      <w:r>
        <w:tab/>
      </w:r>
      <w:r>
        <w:rPr>
          <w:noProof/>
        </w:rPr>
        <w:t>Производителите съхраняват техническата документация и декларацията за съответствие с изискванията на ЕС в продължение на 10 години след като маркираният с маркировката „СЕ“ продукт за наторяване, който е обхванат от посочената документация, е бил пуснат на пазара.</w:t>
      </w:r>
    </w:p>
    <w:p>
      <w:pPr>
        <w:pStyle w:val="ManualNumPar1"/>
        <w:rPr>
          <w:noProof/>
        </w:rPr>
      </w:pPr>
      <w:r>
        <w:t>4.</w:t>
      </w:r>
      <w:r>
        <w:tab/>
      </w:r>
      <w:r>
        <w:rPr>
          <w:noProof/>
        </w:rPr>
        <w:t xml:space="preserve">Производителите гарантират, че са въведени процедури, чрез които маркираните с маркировката „СЕ“ продукти за наторяване, които са обект на серийно производство, се поддържат в съответствие с настоящия регламент. Промените на начина на производство или на характеристиките на посочените продукти за наторяване и измененията в хармонизираните стандарти, в общите спецификации, посочени в член 13, или в други технически спецификации, чрез позоваване на които е декларирано съответствието на маркирания с маркировката „СЕ“ продукт за наторяване, трябва да бъдат взети предвид по подходящ начин. </w:t>
      </w:r>
    </w:p>
    <w:p>
      <w:pPr>
        <w:pStyle w:val="Text1"/>
        <w:rPr>
          <w:noProof/>
        </w:rPr>
      </w:pPr>
      <w:r>
        <w:rPr>
          <w:noProof/>
        </w:rPr>
        <w:t xml:space="preserve">Когато се смята за целесъобразно с оглед на характеристиките и рисковете, които представлява даден продукт за наторяване, маркиран с маркировката „СЕ“, производителите изследват проби от предоставения на пазара продукт за наторяване, разследват и, ако е необходимо, поддържат </w:t>
      </w:r>
      <w:r>
        <w:rPr>
          <w:noProof/>
          <w:highlight w:val="yellow"/>
        </w:rPr>
        <w:t xml:space="preserve">регистър </w:t>
      </w:r>
      <w:r>
        <w:rPr>
          <w:noProof/>
        </w:rPr>
        <w:t xml:space="preserve">за оплаквания за несъответстващите на изискванията продукти за наторяване, маркирани с маркировката „СЕ“, и за изземванията на такива продукти, а също и информират дистрибуторите за такова наблюдение. </w:t>
      </w:r>
    </w:p>
    <w:p>
      <w:pPr>
        <w:pStyle w:val="ManualNumPar1"/>
        <w:rPr>
          <w:noProof/>
        </w:rPr>
      </w:pPr>
      <w:r>
        <w:t>5.</w:t>
      </w:r>
      <w:r>
        <w:tab/>
      </w:r>
      <w:r>
        <w:rPr>
          <w:noProof/>
        </w:rPr>
        <w:t>Производителите гарантират, че върху опаковката на маркирания с маркировката „СЕ“ продукт за наторяване, който са пуснали на пазара, са отбелязани типът, партидата или серийният номер, или някакъв друг елемент, който позволява идентификацията на продукта, или — когато продуктите за наторяване се доставят без опаковка — че необходимата информация е представена в документ, който придружава всеки продукт за наторяване.</w:t>
      </w:r>
    </w:p>
    <w:p>
      <w:pPr>
        <w:pStyle w:val="ManualNumPar1"/>
        <w:rPr>
          <w:noProof/>
        </w:rPr>
      </w:pPr>
      <w:r>
        <w:t>6.</w:t>
      </w:r>
      <w:r>
        <w:tab/>
      </w:r>
      <w:r>
        <w:rPr>
          <w:noProof/>
        </w:rPr>
        <w:t>Производителите посочват своето име, регистрирано търговско наименование или регистрирана търговска марка и пощенския адрес, на който може да се осъществи връзка с тях, върху опаковката на продукта за наторяване, маркиран с маркировката „СЕ“, или, когато продуктът за наторяване се доставя без опаковка, в документ, който придружава продукта за наторяване. В пощенския адрес се посочва едно-единствено място, където може да бъде осъществена връзка с производителя. Данните за връзка са на език, лесно разбираем за крайните ползватели и органите за надзор на пазара.</w:t>
      </w:r>
    </w:p>
    <w:p>
      <w:pPr>
        <w:pStyle w:val="ManualNumPar1"/>
        <w:rPr>
          <w:noProof/>
        </w:rPr>
      </w:pPr>
      <w:r>
        <w:t>7.</w:t>
      </w:r>
      <w:r>
        <w:tab/>
      </w:r>
      <w:r>
        <w:rPr>
          <w:noProof/>
        </w:rPr>
        <w:t>Производителите гарантират, че продуктите за наторяване, маркирани с маркировката „СЕ“, са етикетирани в съответствие с приложение III, или, ако продуктът за наторяване се доставя без опаковка, че указанията върху етикетите са предоставени в документ, който придружава продукта за наторяване и са достъпни за проверка, когато продуктът се пуска на пазара. Указанието върху етикета трябва да бъде на език, който е лесен за разбиране от крайните ползватели, определен е от съответната държава членка и трябва да бъде ясен, разбираем и четлив.</w:t>
      </w:r>
    </w:p>
    <w:p>
      <w:pPr>
        <w:pStyle w:val="ManualNumPar1"/>
        <w:rPr>
          <w:noProof/>
        </w:rPr>
      </w:pPr>
      <w:r>
        <w:t>8.</w:t>
      </w:r>
      <w:r>
        <w:tab/>
      </w:r>
      <w:r>
        <w:rPr>
          <w:noProof/>
        </w:rPr>
        <w:t xml:space="preserve">Производители, които смятат или имат основание да смятат, че даден продукт за наторяване, маркиран с маркировката „СЕ“, който са пуснали на пазара, не съответства на настоящия регламент, незабавно предприемат необходимите коригиращи мерки, за да приведат продукта за наторяване в съответствие, да го изтеглят или да го изземат, ако това е целесъобразно. </w:t>
      </w:r>
    </w:p>
    <w:p>
      <w:pPr>
        <w:pStyle w:val="Text1"/>
        <w:rPr>
          <w:noProof/>
        </w:rPr>
      </w:pPr>
      <w:r>
        <w:rPr>
          <w:noProof/>
        </w:rPr>
        <w:t>Освен това, когато производителите смятат или имат основания да смятат, че продуктите за наторяване, маркирани с маркировката „СЕ“, които са пуснали на пазара, са източник на неприемливи рискове за здравето на човека, животните и растенията, за безопасността или за околната среда, те незабавно информират за това компетентните национални органи на държавата членка, в която продуктите за наторяване са предоставени на пазара, като посочват подробности, по-специално за всякакво несъответствие и за всякакви предприети коригиращи мерки.</w:t>
      </w:r>
    </w:p>
    <w:p>
      <w:pPr>
        <w:pStyle w:val="ManualNumPar1"/>
        <w:rPr>
          <w:noProof/>
        </w:rPr>
      </w:pPr>
      <w:r>
        <w:t>9.</w:t>
      </w:r>
      <w:r>
        <w:tab/>
      </w:r>
      <w:r>
        <w:rPr>
          <w:noProof/>
        </w:rPr>
        <w:t>При обосновано искане от компетентен национален орган, производителите му предоставят на хартиен или на електронен носител цялата информация и документация, необходима за доказване на съответствието на даден продукт за наторяване, маркиран с маркировката „СЕ“, с настоящия регламент, на език, лесно разбираем за този орган. Те си сътрудничат с този орган, по негово искане, при всяко действие, предприето за отстраняване на рисковете, свързани с продуктите за наторяване, маркирани с маркировката „СЕ“, които са пуснали на пазара.</w:t>
      </w:r>
    </w:p>
    <w:p>
      <w:pPr>
        <w:pStyle w:val="ManualNumPar1"/>
        <w:rPr>
          <w:noProof/>
        </w:rPr>
      </w:pPr>
      <w:r>
        <w:t>10.</w:t>
      </w:r>
      <w:r>
        <w:tab/>
      </w:r>
      <w:r>
        <w:rPr>
          <w:noProof/>
        </w:rPr>
        <w:t>Производителят предоставя на компетентния орган на държавата членка на местоназначение доклад за изпитване на устойчивостта на детонация, предписан в приложение IV за следните продукти за наторяване, маркирани с маркировката „СЕ“:</w:t>
      </w:r>
    </w:p>
    <w:p>
      <w:pPr>
        <w:pStyle w:val="Point1"/>
        <w:rPr>
          <w:noProof/>
        </w:rPr>
      </w:pPr>
      <w:r>
        <w:rPr>
          <w:noProof/>
        </w:rPr>
        <w:t>а)</w:t>
      </w:r>
      <w:r>
        <w:rPr>
          <w:noProof/>
        </w:rPr>
        <w:tab/>
        <w:t>еднокомпонентни или сложни твърди неорганични амониево-нитратни торове с високо съдържание на азот, с макроелементи, както е посочено в продуктовата функционална категория 1(В)(I)(а)(i-ii)(А) в приложение I;</w:t>
      </w:r>
    </w:p>
    <w:p>
      <w:pPr>
        <w:pStyle w:val="Point1"/>
        <w:rPr>
          <w:noProof/>
        </w:rPr>
      </w:pPr>
      <w:r>
        <w:rPr>
          <w:noProof/>
        </w:rPr>
        <w:t>б)</w:t>
      </w:r>
      <w:r>
        <w:rPr>
          <w:noProof/>
        </w:rPr>
        <w:tab/>
        <w:t xml:space="preserve">смеси от продукти за наторяване, както е посочено в продуктова функционална категория 7 в приложение I, които съдържат тор, посочен в буква а). </w:t>
      </w:r>
    </w:p>
    <w:p>
      <w:pPr>
        <w:pStyle w:val="Text1"/>
        <w:rPr>
          <w:noProof/>
        </w:rPr>
      </w:pPr>
      <w:r>
        <w:rPr>
          <w:noProof/>
        </w:rPr>
        <w:t>Докладът се представя най-малко пет дни преди пускането на пазара на тези продукти.</w:t>
      </w:r>
    </w:p>
    <w:p>
      <w:pPr>
        <w:pStyle w:val="Titrearticle"/>
        <w:rPr>
          <w:b/>
          <w:i w:val="0"/>
          <w:noProof/>
        </w:rPr>
      </w:pPr>
      <w:r>
        <w:rPr>
          <w:noProof/>
        </w:rPr>
        <w:t>Член 7</w:t>
      </w:r>
      <w:r>
        <w:rPr>
          <w:noProof/>
        </w:rPr>
        <w:br/>
      </w:r>
      <w:r>
        <w:rPr>
          <w:b/>
          <w:i w:val="0"/>
          <w:noProof/>
        </w:rPr>
        <w:t>Упълномощен представител</w:t>
      </w:r>
    </w:p>
    <w:p>
      <w:pPr>
        <w:pStyle w:val="ManualNumPar1"/>
        <w:rPr>
          <w:noProof/>
        </w:rPr>
      </w:pPr>
      <w:r>
        <w:t>1.</w:t>
      </w:r>
      <w:r>
        <w:tab/>
      </w:r>
      <w:r>
        <w:rPr>
          <w:noProof/>
        </w:rPr>
        <w:t xml:space="preserve">Производителят може писмено да упълномощи упълномощен представител. </w:t>
      </w:r>
    </w:p>
    <w:p>
      <w:pPr>
        <w:pStyle w:val="Text1"/>
        <w:rPr>
          <w:noProof/>
        </w:rPr>
      </w:pPr>
      <w:r>
        <w:rPr>
          <w:noProof/>
        </w:rPr>
        <w:t>Задълженията по член 6, параграф 1 и задължението за изготвяне на техническа документация по член 6, параграф 2 не са част от пълномощието на упълномощения представител.</w:t>
      </w:r>
    </w:p>
    <w:p>
      <w:pPr>
        <w:pStyle w:val="ManualNumPar1"/>
        <w:rPr>
          <w:noProof/>
        </w:rPr>
      </w:pPr>
      <w:r>
        <w:t>2.</w:t>
      </w:r>
      <w:r>
        <w:tab/>
      </w:r>
      <w:r>
        <w:rPr>
          <w:noProof/>
        </w:rPr>
        <w:t>Упълномощеният представител изпълнява задачите, определени в пълномощието от страна на производителя. Пълномощието позволява на упълномощения представител да извършва най-малко следното:</w:t>
      </w:r>
    </w:p>
    <w:p>
      <w:pPr>
        <w:pStyle w:val="Point1"/>
        <w:rPr>
          <w:noProof/>
        </w:rPr>
      </w:pPr>
      <w:r>
        <w:rPr>
          <w:noProof/>
        </w:rPr>
        <w:t>а)</w:t>
      </w:r>
      <w:r>
        <w:rPr>
          <w:noProof/>
        </w:rPr>
        <w:tab/>
        <w:t>да съхранява декларацията за съответствие с изискванията на ЕС и техническата документация на разположение на националните органи за надзор на пазара в продължение на 10 години след пускането на пазара на маркирания с маркировката „СЕ“ продукт за наторяване, попадащ в приложното поле на тези документи;</w:t>
      </w:r>
    </w:p>
    <w:p>
      <w:pPr>
        <w:pStyle w:val="Point1"/>
        <w:rPr>
          <w:noProof/>
        </w:rPr>
      </w:pPr>
      <w:r>
        <w:rPr>
          <w:noProof/>
        </w:rPr>
        <w:t>б)</w:t>
      </w:r>
      <w:r>
        <w:rPr>
          <w:noProof/>
        </w:rPr>
        <w:tab/>
        <w:t>при обосновано искане от страна на компетентен национален орган да предостави на този орган цялата информация и документация, необходима за доказване на съответствието на даден маркиран с маркировката „СЕ“ продукт за наторяване;</w:t>
      </w:r>
    </w:p>
    <w:p>
      <w:pPr>
        <w:pStyle w:val="Point1"/>
        <w:rPr>
          <w:noProof/>
        </w:rPr>
      </w:pPr>
      <w:r>
        <w:rPr>
          <w:noProof/>
        </w:rPr>
        <w:t>в)</w:t>
      </w:r>
      <w:r>
        <w:rPr>
          <w:noProof/>
        </w:rPr>
        <w:tab/>
        <w:t>да сътрудничи на компетентните национални органи, по тяхно искане, при всяко действие, предприето за отстраняване на рисковете, свързани с маркираните с маркировката „СЕ“ продукти за наторяване, обхванати от пълномощието на упълномощения представител.</w:t>
      </w:r>
    </w:p>
    <w:p>
      <w:pPr>
        <w:pStyle w:val="Titrearticle"/>
        <w:rPr>
          <w:b/>
          <w:i w:val="0"/>
          <w:noProof/>
        </w:rPr>
      </w:pPr>
      <w:r>
        <w:rPr>
          <w:noProof/>
        </w:rPr>
        <w:t>Член 8</w:t>
      </w:r>
      <w:r>
        <w:rPr>
          <w:noProof/>
        </w:rPr>
        <w:br/>
      </w:r>
      <w:r>
        <w:rPr>
          <w:b/>
          <w:i w:val="0"/>
          <w:noProof/>
        </w:rPr>
        <w:t>Задължения на вносителите</w:t>
      </w:r>
    </w:p>
    <w:p>
      <w:pPr>
        <w:pStyle w:val="ManualNumPar1"/>
        <w:rPr>
          <w:noProof/>
        </w:rPr>
      </w:pPr>
      <w:r>
        <w:t>1.</w:t>
      </w:r>
      <w:r>
        <w:tab/>
      </w:r>
      <w:r>
        <w:rPr>
          <w:noProof/>
        </w:rPr>
        <w:t>Вносителите пускат на пазара само маркирани с маркировката „СЕ“ продукти за наторяване, съответстващи на изискванията.</w:t>
      </w:r>
    </w:p>
    <w:p>
      <w:pPr>
        <w:pStyle w:val="ManualNumPar1"/>
        <w:rPr>
          <w:noProof/>
        </w:rPr>
      </w:pPr>
      <w:r>
        <w:t>2.</w:t>
      </w:r>
      <w:r>
        <w:tab/>
      </w:r>
      <w:r>
        <w:rPr>
          <w:noProof/>
        </w:rPr>
        <w:t>Преди да пуснат на пазара маркиран с маркировката „СЕ“ продукт за наторяване, вносителите гарантират, че съответната процедура за оценяване на съответствието, посочена в член 14, е била проведена от производителя. Те гарантират, че производителят е изготвил техническата документация, че маркираният с маркировката „СЕ“ продукт за наторяване е придружен от декларацията за съответствие с изискванията на ЕС и изискваните документи, както и че производителят е спазил изискванията, установени в член 6, параграфи 5 и 6. Когато вносител смята или има основание да смята, че даден продукт за наторяване, маркиран с маркировката „СЕ“, не съответства на приложимите изисквания за безопасност, установени в приложение I, приложение II или приложение III, той/тя не пуска продукта за наторяване на пазара, докато той не бъде приведен в съответствие. Освен това, когато продуктът за наторяване, маркиран с маркировката „СЕ“, е източник на неприемливи рискове за здравето на човека, животните и растенията, за безопасността или за околната среда, вносителят информира за това производителя и органите за надзор на пазара.</w:t>
      </w:r>
    </w:p>
    <w:p>
      <w:pPr>
        <w:pStyle w:val="ManualNumPar1"/>
        <w:rPr>
          <w:noProof/>
        </w:rPr>
      </w:pPr>
      <w:r>
        <w:t>3.</w:t>
      </w:r>
      <w:r>
        <w:tab/>
      </w:r>
      <w:r>
        <w:rPr>
          <w:noProof/>
        </w:rPr>
        <w:t>Производителите посочват своето име, регистрирано търговско наименование или регистрирана търговска марка и пощенския адрес, на който може да се осъществи връзка с тях, върху опаковката на продукта за наторяване, маркиран с маркировката „СЕ“, или, когато продуктът за наторяване, маркиран с маркировката „СЕ“, се доставя без опаковка, в документ, който придружава продукта за наторяване. Данните за връзка са на език, лесно разбираем за крайните ползватели и органите за надзор на пазара.</w:t>
      </w:r>
    </w:p>
    <w:p>
      <w:pPr>
        <w:pStyle w:val="ManualNumPar1"/>
        <w:rPr>
          <w:noProof/>
        </w:rPr>
      </w:pPr>
      <w:r>
        <w:t>4.</w:t>
      </w:r>
      <w:r>
        <w:tab/>
      </w:r>
      <w:r>
        <w:rPr>
          <w:noProof/>
        </w:rPr>
        <w:t>Вносителите гарантират, че продуктът за наторяване, маркиран с маркировката „СЕ“, е етикетиран в съответствие с приложение III на език, лесноразбираем за крайните ползватели, определен от съответната държава членка.</w:t>
      </w:r>
    </w:p>
    <w:p>
      <w:pPr>
        <w:pStyle w:val="ManualNumPar1"/>
        <w:rPr>
          <w:noProof/>
        </w:rPr>
      </w:pPr>
      <w:r>
        <w:t>5.</w:t>
      </w:r>
      <w:r>
        <w:tab/>
      </w:r>
      <w:r>
        <w:rPr>
          <w:noProof/>
        </w:rPr>
        <w:t>Вносителите гарантират, че докато отговарят за даден продукт за наторяване, маркиран с маркировката „СЕ“, условията на съхранението или транспортирането му не застрашават съответствието му с изискванията за безопасност и качество, установени в приложение I, или с изискванията за етикетиране, установени в приложение III.</w:t>
      </w:r>
    </w:p>
    <w:p>
      <w:pPr>
        <w:pStyle w:val="ManualNumPar1"/>
        <w:rPr>
          <w:noProof/>
        </w:rPr>
      </w:pPr>
      <w:r>
        <w:t>6.</w:t>
      </w:r>
      <w:r>
        <w:tab/>
      </w:r>
      <w:r>
        <w:rPr>
          <w:noProof/>
        </w:rPr>
        <w:t xml:space="preserve">Когато се смята за целесъобразно с оглед на характеристиките или рисковете, които представлява даден продукт за наторяване, маркиран с маркировката „СЕ“, вносителите изследват проби от предоставения на пазара продукт за наторяване, разследват и, ако е необходимо, поддържат регистър за оплаквания за несъответстващите на изискванията продукти за наторяване, маркирани с маркировката „СЕ“, и за изземванията на такива продукти, а също и информират дистрибуторите за такова наблюдение. </w:t>
      </w:r>
    </w:p>
    <w:p>
      <w:pPr>
        <w:pStyle w:val="ManualNumPar1"/>
        <w:rPr>
          <w:noProof/>
        </w:rPr>
      </w:pPr>
      <w:r>
        <w:t>7.</w:t>
      </w:r>
      <w:r>
        <w:tab/>
      </w:r>
      <w:r>
        <w:rPr>
          <w:noProof/>
        </w:rPr>
        <w:t xml:space="preserve">Вносителите, които смятат или имат основание да смятат, че даден продукт за наторяване, маркиран с маркировката „СЕ“, който са пуснали на пазара, не съответства на настоящия регламент, незабавно предприемат необходимите коригиращи мерки, за да приведат продукта за наторяване в съответствие, да го изтеглят или да го изземат, ако това е целесъобразно. </w:t>
      </w:r>
    </w:p>
    <w:p>
      <w:pPr>
        <w:pStyle w:val="Text1"/>
        <w:rPr>
          <w:noProof/>
        </w:rPr>
      </w:pPr>
      <w:r>
        <w:rPr>
          <w:noProof/>
        </w:rPr>
        <w:t>Освен това, когато вносителите смятат или имат основания да смятат, че продуктите за наторяване, маркирани с маркировката „СЕ“, които са пуснали на пазара, са източник на неприемливи рискове за здравето на човека, животните и растенията, за безопасността или за околната среда, те незабавно информират за това компетентните национални органи на държавата членка, в която продуктите за наторяване са предоставени на пазара, като посочват подробности, по-специално за всякакво несъответствие и за всякакви предприети коригиращи мерки.</w:t>
      </w:r>
    </w:p>
    <w:p>
      <w:pPr>
        <w:pStyle w:val="ManualNumPar1"/>
        <w:rPr>
          <w:noProof/>
        </w:rPr>
      </w:pPr>
      <w:r>
        <w:t>8.</w:t>
      </w:r>
      <w:r>
        <w:tab/>
      </w:r>
      <w:r>
        <w:rPr>
          <w:noProof/>
        </w:rPr>
        <w:t>В продължение на 10 години след пускането на пазара на маркирания с маркировката „СЕ“ продукт за наторяване вносителите съхраняват копие от декларацията за съответствие с изискванията на ЕС на разположение на органите за надзор на пазара и гарантират, че при поискване техническата документация може да бъде предоставена на тези органи.</w:t>
      </w:r>
    </w:p>
    <w:p>
      <w:pPr>
        <w:pStyle w:val="ManualNumPar1"/>
        <w:rPr>
          <w:noProof/>
        </w:rPr>
      </w:pPr>
      <w:r>
        <w:t>9.</w:t>
      </w:r>
      <w:r>
        <w:tab/>
      </w:r>
      <w:r>
        <w:rPr>
          <w:noProof/>
        </w:rPr>
        <w:t>При обосновано искане от компетентен национален орган вносителите му предоставят на хартиен или на електронен носител цялата информация и документация, необходима за доказване на съответствието на даден продукт, на език, лесноразбираем за този орган. По искане на този орган те си сътрудничат с него при всяко действие, предприето за отстраняване на рисковете, свързани с продуктите за наторяване, маркирани с маркировката „СЕ“, които са пуснали на пазара.</w:t>
      </w:r>
    </w:p>
    <w:p>
      <w:pPr>
        <w:pStyle w:val="ManualNumPar1"/>
        <w:rPr>
          <w:noProof/>
        </w:rPr>
      </w:pPr>
      <w:r>
        <w:t>10.</w:t>
      </w:r>
      <w:r>
        <w:tab/>
      </w:r>
      <w:r>
        <w:rPr>
          <w:noProof/>
        </w:rPr>
        <w:t>Вносителят предоставя на компетентния орган на държавата членка на местоназначение доклад за изпитване на устойчивостта на детонация, предписан в приложение IV, за следните продукти за наторяване, маркирани с маркировката „СЕ“:</w:t>
      </w:r>
    </w:p>
    <w:p>
      <w:pPr>
        <w:pStyle w:val="Point1"/>
        <w:rPr>
          <w:noProof/>
        </w:rPr>
      </w:pPr>
      <w:r>
        <w:rPr>
          <w:noProof/>
        </w:rPr>
        <w:t>а)</w:t>
      </w:r>
      <w:r>
        <w:rPr>
          <w:noProof/>
        </w:rPr>
        <w:tab/>
        <w:t>еднокомпонентни или сложни твърди неорганични амониево-нитратни торове с високо съдържание на азот, с макроелементи, както е посочено в продуктовата функционална категория 1(В)(I)(а)(i-ii)(А) в приложение I;</w:t>
      </w:r>
    </w:p>
    <w:p>
      <w:pPr>
        <w:pStyle w:val="Point1"/>
        <w:rPr>
          <w:noProof/>
        </w:rPr>
      </w:pPr>
      <w:r>
        <w:rPr>
          <w:noProof/>
        </w:rPr>
        <w:t>б)</w:t>
      </w:r>
      <w:r>
        <w:rPr>
          <w:noProof/>
        </w:rPr>
        <w:tab/>
        <w:t>смеси от продукти за наторяване, както е посочено в продуктова функционална категория 7 в приложение I, които съдържат тор, посочен в буква а).</w:t>
      </w:r>
    </w:p>
    <w:p>
      <w:pPr>
        <w:pStyle w:val="Text1"/>
        <w:rPr>
          <w:noProof/>
        </w:rPr>
      </w:pPr>
      <w:r>
        <w:rPr>
          <w:noProof/>
        </w:rPr>
        <w:t>Докладът се представя най-малко пет дни преди пускането на пазара на тези продукти.</w:t>
      </w:r>
    </w:p>
    <w:p>
      <w:pPr>
        <w:pStyle w:val="Titrearticle"/>
        <w:rPr>
          <w:b/>
          <w:i w:val="0"/>
          <w:noProof/>
        </w:rPr>
      </w:pPr>
      <w:r>
        <w:rPr>
          <w:noProof/>
        </w:rPr>
        <w:t>Член 9</w:t>
      </w:r>
      <w:r>
        <w:rPr>
          <w:noProof/>
        </w:rPr>
        <w:br/>
      </w:r>
      <w:r>
        <w:rPr>
          <w:b/>
          <w:i w:val="0"/>
          <w:noProof/>
        </w:rPr>
        <w:t>Задължения на дистрибуторите</w:t>
      </w:r>
    </w:p>
    <w:p>
      <w:pPr>
        <w:pStyle w:val="ManualNumPar1"/>
        <w:rPr>
          <w:noProof/>
        </w:rPr>
      </w:pPr>
      <w:r>
        <w:t>1.</w:t>
      </w:r>
      <w:r>
        <w:tab/>
      </w:r>
      <w:r>
        <w:rPr>
          <w:noProof/>
        </w:rPr>
        <w:t>Когато предоставят  на пазара маркиран с маркировката „СЕ“ продукт за наторяване, дистрибуторите действат с дължимата грижа по отношение на изискванията на настоящия регламент.</w:t>
      </w:r>
    </w:p>
    <w:p>
      <w:pPr>
        <w:pStyle w:val="ManualNumPar1"/>
        <w:rPr>
          <w:noProof/>
        </w:rPr>
      </w:pPr>
      <w:r>
        <w:t>2.</w:t>
      </w:r>
      <w:r>
        <w:tab/>
      </w:r>
      <w:r>
        <w:rPr>
          <w:noProof/>
        </w:rPr>
        <w:t xml:space="preserve">Преди да предоставят на пазара маркиран с маркировката „СЕ“ продукт за наторяване, дистрибуторите се уверяват, че той е придружен от декларацията за съответствие с изискванията на ЕС и от необходимите документи, че е етикетиран в съответствие с приложение III на език, който е лесноразбираем за крайните ползватели в държавата членка, в която продуктът за наторяване, маркиран с маркировката „СЕ“, ще бъде предоставен на пазара, както и че производителят и вносителят са спазили изискванията, установени съответно в член 6, параграфи 5 и 6, и член 8, параграф 3. </w:t>
      </w:r>
    </w:p>
    <w:p>
      <w:pPr>
        <w:pStyle w:val="Text1"/>
        <w:rPr>
          <w:noProof/>
        </w:rPr>
      </w:pPr>
      <w:r>
        <w:rPr>
          <w:noProof/>
        </w:rPr>
        <w:t>Когато дистрибутор смята или има основание да смята, че даден продукт за наторяване, маркиран с маркировката „СЕ“, не съответства на приложимите изисквания за безопасност, установени в приложение I, приложение II или приложение III, той/тя не предоставя продукта за наторяване на пазара, докато той не бъде приведен в съответствие. Освен това, когато продуктът за наторяване, маркиран с маркировката „СЕ“, е източник на неприемливи рискове за здравето на човека, животните и растенията, за безопасността или за околната среда, дистрибуторът информира за това производителя или вносителя, а също и органите за надзор на пазара.</w:t>
      </w:r>
    </w:p>
    <w:p>
      <w:pPr>
        <w:pStyle w:val="ManualNumPar1"/>
        <w:rPr>
          <w:noProof/>
        </w:rPr>
      </w:pPr>
      <w:r>
        <w:t>3.</w:t>
      </w:r>
      <w:r>
        <w:tab/>
      </w:r>
      <w:r>
        <w:rPr>
          <w:noProof/>
        </w:rPr>
        <w:t>Дистрибуторите гарантират, че докато отговарят за даден продукт за наторяване, маркиран с маркировката „СЕ“, условията на съхранението или транспортирането му не застрашават съответствието му с изискванията за безопасност и качество, установени в приложение I, или с изискванията за етикетиране, установени в приложение III.</w:t>
      </w:r>
    </w:p>
    <w:p>
      <w:pPr>
        <w:pStyle w:val="ManualNumPar1"/>
        <w:rPr>
          <w:noProof/>
        </w:rPr>
      </w:pPr>
      <w:r>
        <w:t>4.</w:t>
      </w:r>
      <w:r>
        <w:tab/>
      </w:r>
      <w:r>
        <w:rPr>
          <w:noProof/>
        </w:rPr>
        <w:t xml:space="preserve">Дистрибуторите, които смятат или имат основание да смятат, че даден продукт, маркиран с маркировката „СЕ“, който са предоставили на пазара, не е в съответствие с настоящия регламент, трябва да се уверят, че са предприети необходимите коригиращи мерки, за да се приведе продуктът за наторяване в съответствие, да го изтеглят или да го изземат, ако е целесъобразно. </w:t>
      </w:r>
    </w:p>
    <w:p>
      <w:pPr>
        <w:pStyle w:val="Text1"/>
        <w:rPr>
          <w:noProof/>
        </w:rPr>
      </w:pPr>
      <w:r>
        <w:rPr>
          <w:noProof/>
        </w:rPr>
        <w:t>Освен това, когато дистрибуторите смятат или имат основания да смятат, че продуктите за наторяване, маркирани с маркировката „СЕ“, които са предоставили на пазара, са източник на неприемливи рискове за здравето на човека, животните и растенията, за безопасността или за околната среда, те незабавно информират за това компетентните национални органи на държавата членка, в която маркираните с маркировката „СЕ“ продукти за наторяване са предоставени на пазара, като посочват подробности, по-специално за всякакво несъответствие и за всякакви предприети коригиращи мерки.</w:t>
      </w:r>
    </w:p>
    <w:p>
      <w:pPr>
        <w:pStyle w:val="ManualNumPar1"/>
        <w:rPr>
          <w:noProof/>
        </w:rPr>
      </w:pPr>
      <w:r>
        <w:t>5.</w:t>
      </w:r>
      <w:r>
        <w:tab/>
      </w:r>
      <w:r>
        <w:rPr>
          <w:noProof/>
        </w:rPr>
        <w:t>При обосновано искане от компетентен национален орган дистрибуторите му предоставят на хартиен или на електронен носител цялата информация и документация, необходима за доказване на съответствието на продукта за наторяване, маркиран с маркировката „СЕ“. Те си сътрудничат с този орган, по негово искане, при всяко действие, предприето за отстраняване на рисковете, свързани с маркираните с маркировката „СЕ“ продукти за наторяване, които те са предоставили на пазара.</w:t>
      </w:r>
    </w:p>
    <w:p>
      <w:pPr>
        <w:pStyle w:val="Titrearticle"/>
        <w:rPr>
          <w:b/>
          <w:i w:val="0"/>
          <w:noProof/>
        </w:rPr>
      </w:pPr>
      <w:r>
        <w:rPr>
          <w:noProof/>
        </w:rPr>
        <w:t>Член 10</w:t>
      </w:r>
      <w:r>
        <w:rPr>
          <w:noProof/>
        </w:rPr>
        <w:br/>
      </w:r>
      <w:r>
        <w:rPr>
          <w:b/>
          <w:i w:val="0"/>
          <w:noProof/>
        </w:rPr>
        <w:t>Случаи, при които задълженията на производителите се прилагат и към вносителите и дистрибуторите</w:t>
      </w:r>
    </w:p>
    <w:p>
      <w:pPr>
        <w:pStyle w:val="Text1"/>
        <w:rPr>
          <w:noProof/>
        </w:rPr>
      </w:pPr>
      <w:r>
        <w:rPr>
          <w:noProof/>
        </w:rPr>
        <w:t>Вносител или дистрибутор се смята за производител за целите на настоящия регламент и е носител на задълженията на производителя по член 6, когато пуска на пазара маркиран с маркировката „СЕ“ продукт със своето име или търговска марка или променя маркиран с маркировката „СЕ“ продукт за наторяване, който е вече пуснат на пазара, по такъв начин, че съответствието с изискванията по настоящия регламент може да бъде засегнато.</w:t>
      </w:r>
    </w:p>
    <w:p>
      <w:pPr>
        <w:pStyle w:val="Titrearticle"/>
        <w:rPr>
          <w:b/>
          <w:i w:val="0"/>
          <w:noProof/>
        </w:rPr>
      </w:pPr>
      <w:r>
        <w:rPr>
          <w:noProof/>
        </w:rPr>
        <w:t>Член 11</w:t>
      </w:r>
      <w:r>
        <w:rPr>
          <w:noProof/>
        </w:rPr>
        <w:br/>
      </w:r>
      <w:r>
        <w:rPr>
          <w:b/>
          <w:i w:val="0"/>
          <w:noProof/>
        </w:rPr>
        <w:t>Идентификация на икономическите оператори</w:t>
      </w:r>
    </w:p>
    <w:p>
      <w:pPr>
        <w:pStyle w:val="ManualNumPar1"/>
        <w:rPr>
          <w:noProof/>
        </w:rPr>
      </w:pPr>
      <w:r>
        <w:t>1.</w:t>
      </w:r>
      <w:r>
        <w:tab/>
      </w:r>
      <w:r>
        <w:rPr>
          <w:noProof/>
        </w:rPr>
        <w:t>При съответно искане, икономическите оператори са длъжни да идентифицират пред органите за надзор на пазара:</w:t>
      </w:r>
    </w:p>
    <w:p>
      <w:pPr>
        <w:pStyle w:val="Point1"/>
        <w:rPr>
          <w:noProof/>
        </w:rPr>
      </w:pPr>
      <w:r>
        <w:rPr>
          <w:noProof/>
        </w:rPr>
        <w:t>а)</w:t>
      </w:r>
      <w:r>
        <w:rPr>
          <w:noProof/>
        </w:rPr>
        <w:tab/>
        <w:t xml:space="preserve">всеки икономически оператор, който им е доставил маркиран с маркировката „СЕ“ продукт за наторяване; </w:t>
      </w:r>
    </w:p>
    <w:p>
      <w:pPr>
        <w:pStyle w:val="Point1"/>
        <w:rPr>
          <w:noProof/>
        </w:rPr>
      </w:pPr>
      <w:r>
        <w:rPr>
          <w:noProof/>
        </w:rPr>
        <w:t>б)</w:t>
      </w:r>
      <w:r>
        <w:rPr>
          <w:noProof/>
        </w:rPr>
        <w:tab/>
        <w:t xml:space="preserve">всеки икономически оператор, на когото са доставили маркиран с маркировката „СЕ“ продукт за наторяване. </w:t>
      </w:r>
    </w:p>
    <w:p>
      <w:pPr>
        <w:pStyle w:val="ManualNumPar1"/>
        <w:rPr>
          <w:noProof/>
        </w:rPr>
      </w:pPr>
      <w:r>
        <w:t>2.</w:t>
      </w:r>
      <w:r>
        <w:tab/>
      </w:r>
      <w:r>
        <w:rPr>
          <w:noProof/>
        </w:rPr>
        <w:t>Икономическите оператори трябва да могат да предоставят информацията, посочена в първа алинея, в продължение на 10 години след като маркираните с маркировката „СЕ“ продукти за наторяване са им били доставени, и в продължение на 10 години, след като те са доставили маркирани с маркировката „СЕ“ продукти за наторяване.</w:t>
      </w:r>
    </w:p>
    <w:p>
      <w:pPr>
        <w:pStyle w:val="ChapterTitle"/>
        <w:rPr>
          <w:noProof/>
        </w:rPr>
      </w:pPr>
      <w:r>
        <w:rPr>
          <w:b w:val="0"/>
          <w:caps/>
          <w:noProof/>
        </w:rPr>
        <w:t>Глава 3</w:t>
      </w:r>
      <w:r>
        <w:rPr>
          <w:noProof/>
        </w:rPr>
        <w:br/>
      </w:r>
      <w:r>
        <w:rPr>
          <w:caps/>
          <w:noProof/>
        </w:rPr>
        <w:t>Съответствие на продуктите за наторяване</w:t>
      </w:r>
    </w:p>
    <w:p>
      <w:pPr>
        <w:pStyle w:val="Titrearticle"/>
        <w:rPr>
          <w:b/>
          <w:i w:val="0"/>
          <w:noProof/>
        </w:rPr>
      </w:pPr>
      <w:r>
        <w:rPr>
          <w:noProof/>
        </w:rPr>
        <w:t>Член 12</w:t>
      </w:r>
      <w:r>
        <w:rPr>
          <w:noProof/>
        </w:rPr>
        <w:br/>
      </w:r>
      <w:r>
        <w:rPr>
          <w:b/>
          <w:i w:val="0"/>
          <w:noProof/>
        </w:rPr>
        <w:t>Презумпция за съответствие</w:t>
      </w:r>
    </w:p>
    <w:p>
      <w:pPr>
        <w:pStyle w:val="Text1"/>
        <w:rPr>
          <w:noProof/>
        </w:rPr>
      </w:pPr>
      <w:r>
        <w:rPr>
          <w:noProof/>
        </w:rPr>
        <w:t xml:space="preserve">Без да се засягат общите спецификации, посочени в член 13, маркираните с маркировката „СЕ“ продукти за наторяване, които съответстват на хармонизираните стандарти или на части от тях, данните за които са публикувани в </w:t>
      </w:r>
      <w:r>
        <w:rPr>
          <w:i/>
          <w:noProof/>
        </w:rPr>
        <w:t>Официален вестник на Европейския съюз</w:t>
      </w:r>
      <w:r>
        <w:rPr>
          <w:noProof/>
        </w:rPr>
        <w:t>, се смятат за съответстващи на изискванията, установени в приложения I, II и III, обхванати от посочените стандарти или части от тях.</w:t>
      </w:r>
    </w:p>
    <w:p>
      <w:pPr>
        <w:pStyle w:val="Titrearticle"/>
        <w:rPr>
          <w:b/>
          <w:i w:val="0"/>
          <w:noProof/>
        </w:rPr>
      </w:pPr>
      <w:r>
        <w:rPr>
          <w:noProof/>
        </w:rPr>
        <w:t>Член 13</w:t>
      </w:r>
      <w:r>
        <w:rPr>
          <w:noProof/>
        </w:rPr>
        <w:br/>
      </w:r>
      <w:r>
        <w:rPr>
          <w:b/>
          <w:i w:val="0"/>
          <w:noProof/>
        </w:rPr>
        <w:t xml:space="preserve">Общи спецификации </w:t>
      </w:r>
    </w:p>
    <w:p>
      <w:pPr>
        <w:pStyle w:val="Text1"/>
        <w:rPr>
          <w:noProof/>
        </w:rPr>
      </w:pPr>
      <w:r>
        <w:rPr>
          <w:noProof/>
        </w:rPr>
        <w:t>Комисията може да приема актове за изпълнение, с които се установяват общи спецификации, съответствието с които гарантира съответствието с изискванията, посочени в приложения I, II и III, обхванати от тези спецификации или части от тях. Тези актове за изпълнение се приемат в съответствие с процедурата по разглеждане, посочена в член 41, параграф 3.</w:t>
      </w:r>
    </w:p>
    <w:p>
      <w:pPr>
        <w:pStyle w:val="Titrearticle"/>
        <w:rPr>
          <w:b/>
          <w:i w:val="0"/>
          <w:noProof/>
        </w:rPr>
      </w:pPr>
      <w:r>
        <w:rPr>
          <w:noProof/>
        </w:rPr>
        <w:t>Член 14</w:t>
      </w:r>
      <w:r>
        <w:rPr>
          <w:noProof/>
        </w:rPr>
        <w:br/>
      </w:r>
      <w:r>
        <w:rPr>
          <w:b/>
          <w:i w:val="0"/>
          <w:noProof/>
        </w:rPr>
        <w:t>Процедури за оценяване на съответствието</w:t>
      </w:r>
    </w:p>
    <w:p>
      <w:pPr>
        <w:pStyle w:val="ManualNumPar1"/>
        <w:rPr>
          <w:noProof/>
        </w:rPr>
      </w:pPr>
      <w:r>
        <w:t>1.</w:t>
      </w:r>
      <w:r>
        <w:tab/>
      </w:r>
      <w:r>
        <w:rPr>
          <w:noProof/>
        </w:rPr>
        <w:t>Оценяването на съответствието на маркиран с маркировката „СЕ“ продукт за наторяване с изискванията на настоящия регламент се извършва, като се прилага процедурата за оценяване на съответствието, посочена в приложение IV.</w:t>
      </w:r>
    </w:p>
    <w:p>
      <w:pPr>
        <w:pStyle w:val="ManualNumPar1"/>
        <w:rPr>
          <w:noProof/>
        </w:rPr>
      </w:pPr>
      <w:r>
        <w:t>2.</w:t>
      </w:r>
      <w:r>
        <w:tab/>
      </w:r>
      <w:r>
        <w:rPr>
          <w:noProof/>
        </w:rPr>
        <w:t>Документите и кореспонденцията във връзка с процедурите за оценяване на съответствието се изготвят на официалния език или официалните езици на държавата членка, където е установен нотифицираният орган, който извършва процедурите за оценяване на съответствието, или на език, приемлив за този орган.</w:t>
      </w:r>
    </w:p>
    <w:p>
      <w:pPr>
        <w:pStyle w:val="Titrearticle"/>
        <w:rPr>
          <w:b/>
          <w:i w:val="0"/>
          <w:noProof/>
        </w:rPr>
      </w:pPr>
      <w:r>
        <w:rPr>
          <w:noProof/>
        </w:rPr>
        <w:t>Член 15</w:t>
      </w:r>
      <w:r>
        <w:rPr>
          <w:noProof/>
        </w:rPr>
        <w:br/>
      </w:r>
      <w:r>
        <w:rPr>
          <w:b/>
          <w:i w:val="0"/>
          <w:noProof/>
        </w:rPr>
        <w:t>Декларация за съответствие с изискванията на ЕС</w:t>
      </w:r>
    </w:p>
    <w:p>
      <w:pPr>
        <w:pStyle w:val="ManualNumPar1"/>
        <w:rPr>
          <w:noProof/>
        </w:rPr>
      </w:pPr>
      <w:r>
        <w:t>1.</w:t>
      </w:r>
      <w:r>
        <w:tab/>
      </w:r>
      <w:r>
        <w:rPr>
          <w:noProof/>
        </w:rPr>
        <w:t>Декларацията за съответствие с изискванията на ЕС удостоверява, че е доказано изпълнението на изискванията, предвидени в приложения I, II и III.</w:t>
      </w:r>
    </w:p>
    <w:p>
      <w:pPr>
        <w:pStyle w:val="ManualNumPar1"/>
        <w:rPr>
          <w:noProof/>
        </w:rPr>
      </w:pPr>
      <w:r>
        <w:t>2.</w:t>
      </w:r>
      <w:r>
        <w:tab/>
      </w:r>
      <w:r>
        <w:rPr>
          <w:noProof/>
        </w:rPr>
        <w:t>Декларацията за съответствие с изискванията на ЕС се съставя по образеца, установен в приложение V, съдържа елементите, определени в съответните модули, установени в приложение IV, и се актуализира редовно. Тя се превежда на езика или езиците, изисквани от държавата членка, в която маркираният с маркировката „СЕ“ продукт за наторяване се пуска или се предоставя на пазара.</w:t>
      </w:r>
    </w:p>
    <w:p>
      <w:pPr>
        <w:pStyle w:val="ManualNumPar1"/>
        <w:rPr>
          <w:noProof/>
        </w:rPr>
      </w:pPr>
      <w:r>
        <w:t>3.</w:t>
      </w:r>
      <w:r>
        <w:tab/>
      </w:r>
      <w:r>
        <w:rPr>
          <w:noProof/>
        </w:rPr>
        <w:t>Когато актовете на Съюза, приложими към маркирания с маркировката „СЕ“ продукт за наторяване, които изискват декларация за съответствие с изискванията на ЕС, са повече от един, се изготвя само една декларация за съответствие с изискванията на ЕС във връзка с всички такива актове на Съюза. В тази декларация се посочват съответните актове на Съюза и данните за публикуването им. Тя може да представлява досие, в което са включени относимите индивидуални декларации за съответствие.</w:t>
      </w:r>
    </w:p>
    <w:p>
      <w:pPr>
        <w:pStyle w:val="ManualNumPar1"/>
        <w:rPr>
          <w:noProof/>
        </w:rPr>
      </w:pPr>
      <w:r>
        <w:t>4.</w:t>
      </w:r>
      <w:r>
        <w:tab/>
      </w:r>
      <w:r>
        <w:rPr>
          <w:noProof/>
        </w:rPr>
        <w:t>С изготвянето на декларацията за съответствие с изискванията на ЕС, производителят поема отговорност за съответствието на продукта за наторяване, маркиран с маркировката „СЕ“, с изискванията, определени в настоящия регламент.</w:t>
      </w:r>
    </w:p>
    <w:p>
      <w:pPr>
        <w:pStyle w:val="Titrearticle"/>
        <w:rPr>
          <w:b/>
          <w:i w:val="0"/>
          <w:noProof/>
        </w:rPr>
      </w:pPr>
      <w:r>
        <w:rPr>
          <w:noProof/>
        </w:rPr>
        <w:t>Член 16</w:t>
      </w:r>
      <w:r>
        <w:rPr>
          <w:noProof/>
        </w:rPr>
        <w:br/>
      </w:r>
      <w:r>
        <w:rPr>
          <w:b/>
          <w:i w:val="0"/>
          <w:noProof/>
        </w:rPr>
        <w:t>Основни принципи за маркировката „СЕ“</w:t>
      </w:r>
    </w:p>
    <w:p>
      <w:pPr>
        <w:pStyle w:val="Text1"/>
        <w:rPr>
          <w:noProof/>
        </w:rPr>
      </w:pPr>
      <w:r>
        <w:rPr>
          <w:noProof/>
        </w:rPr>
        <w:t xml:space="preserve">За маркировката „СЕ“ се прилагат основните принципи, определени в член 30 от Регламент (ЕО) № 765/2008. </w:t>
      </w:r>
    </w:p>
    <w:p>
      <w:pPr>
        <w:pStyle w:val="Titrearticle"/>
        <w:rPr>
          <w:b/>
          <w:i w:val="0"/>
          <w:noProof/>
        </w:rPr>
      </w:pPr>
      <w:r>
        <w:rPr>
          <w:noProof/>
        </w:rPr>
        <w:t>Член 17</w:t>
      </w:r>
      <w:r>
        <w:rPr>
          <w:noProof/>
        </w:rPr>
        <w:br/>
      </w:r>
      <w:r>
        <w:rPr>
          <w:b/>
          <w:i w:val="0"/>
          <w:noProof/>
        </w:rPr>
        <w:t>Правила и условия за нанасянето на маркировката „СЕ“</w:t>
      </w:r>
    </w:p>
    <w:p>
      <w:pPr>
        <w:pStyle w:val="ManualNumPar1"/>
        <w:rPr>
          <w:noProof/>
        </w:rPr>
      </w:pPr>
      <w:r>
        <w:t>1.</w:t>
      </w:r>
      <w:r>
        <w:tab/>
      </w:r>
      <w:r>
        <w:rPr>
          <w:noProof/>
        </w:rPr>
        <w:t xml:space="preserve">Маркировката „СЕ“ трябва да е нанесена ясно, четливо и незаличимо на придружаващите документи, а когато маркираният с маркировката „СЕ“ продукт за наторяване се доставя пакетиран — на опаковката. </w:t>
      </w:r>
    </w:p>
    <w:p>
      <w:pPr>
        <w:pStyle w:val="ManualNumPar1"/>
        <w:rPr>
          <w:noProof/>
        </w:rPr>
      </w:pPr>
      <w:r>
        <w:t>2.</w:t>
      </w:r>
      <w:r>
        <w:tab/>
      </w:r>
      <w:r>
        <w:rPr>
          <w:noProof/>
        </w:rPr>
        <w:t>Маркировката „СЕ“ се нанася преди продуктът за наторяване, маркиран с маркировката „СЕ“, да бъде пуснат на пазара.</w:t>
      </w:r>
    </w:p>
    <w:p>
      <w:pPr>
        <w:pStyle w:val="ManualNumPar1"/>
        <w:rPr>
          <w:noProof/>
        </w:rPr>
      </w:pPr>
      <w:r>
        <w:t>3.</w:t>
      </w:r>
      <w:r>
        <w:tab/>
      </w:r>
      <w:r>
        <w:rPr>
          <w:noProof/>
        </w:rPr>
        <w:t>Маркировката „CE“ е следвана от идентификационния номер на нотифицирания орган, който участва в оценяването на съответствието, посочено в приложение IV, Модул Г1.</w:t>
      </w:r>
    </w:p>
    <w:p>
      <w:pPr>
        <w:pStyle w:val="Text1"/>
        <w:rPr>
          <w:noProof/>
        </w:rPr>
      </w:pPr>
      <w:r>
        <w:rPr>
          <w:noProof/>
        </w:rPr>
        <w:t>Идентификационният номер на нотифицирания орган се нанася от самия орган или, по негови указания, от производителя или от негов/неин упълномощен представител.</w:t>
      </w:r>
    </w:p>
    <w:p>
      <w:pPr>
        <w:pStyle w:val="ManualNumPar1"/>
        <w:rPr>
          <w:noProof/>
        </w:rPr>
      </w:pPr>
      <w:r>
        <w:t>4.</w:t>
      </w:r>
      <w:r>
        <w:tab/>
      </w:r>
      <w:r>
        <w:rPr>
          <w:noProof/>
        </w:rPr>
        <w:t>Държавите членки доразвиват съществуващите механизми, за да гарантират правилното прилагане на режима, уреждащ маркировката „СЕ“, и предприемат подходящи действия в случай на неправилна употреба на тази маркировка.</w:t>
      </w:r>
    </w:p>
    <w:p>
      <w:pPr>
        <w:pStyle w:val="Titrearticle"/>
        <w:rPr>
          <w:b/>
          <w:i w:val="0"/>
          <w:noProof/>
        </w:rPr>
      </w:pPr>
      <w:r>
        <w:rPr>
          <w:noProof/>
        </w:rPr>
        <w:t>Член 18</w:t>
      </w:r>
      <w:r>
        <w:rPr>
          <w:noProof/>
        </w:rPr>
        <w:br/>
      </w:r>
      <w:r>
        <w:rPr>
          <w:b/>
          <w:i w:val="0"/>
          <w:noProof/>
        </w:rPr>
        <w:t>Статус за край на отпадъка</w:t>
      </w:r>
    </w:p>
    <w:p>
      <w:pPr>
        <w:pStyle w:val="Text1"/>
        <w:rPr>
          <w:noProof/>
        </w:rPr>
      </w:pPr>
      <w:r>
        <w:rPr>
          <w:noProof/>
        </w:rPr>
        <w:t>Продукт за наторяване, маркиран с маркировката „СЕ“, който е претърпял дейност по оползотворяване и съответства на изискванията, установени в настоящия регламент, се приема за отговарящ на условията, установени в член 6, параграф 1 от Директива 2008/98/ЕО, и поради това трябва да се смята, че е престанал да бъде отпадък.</w:t>
      </w:r>
    </w:p>
    <w:p>
      <w:pPr>
        <w:pStyle w:val="ChapterTitle"/>
        <w:rPr>
          <w:noProof/>
        </w:rPr>
      </w:pPr>
      <w:r>
        <w:rPr>
          <w:b w:val="0"/>
          <w:caps/>
          <w:noProof/>
        </w:rPr>
        <w:t>Глава 4</w:t>
      </w:r>
      <w:r>
        <w:rPr>
          <w:noProof/>
        </w:rPr>
        <w:br/>
      </w:r>
      <w:r>
        <w:rPr>
          <w:caps/>
          <w:noProof/>
        </w:rPr>
        <w:t>Нотифициране на органите за оценяване на съответствието</w:t>
      </w:r>
    </w:p>
    <w:p>
      <w:pPr>
        <w:pStyle w:val="Titrearticle"/>
        <w:rPr>
          <w:b/>
          <w:i w:val="0"/>
          <w:noProof/>
        </w:rPr>
      </w:pPr>
      <w:r>
        <w:rPr>
          <w:noProof/>
        </w:rPr>
        <w:t>Член 19</w:t>
      </w:r>
      <w:r>
        <w:rPr>
          <w:noProof/>
        </w:rPr>
        <w:br/>
      </w:r>
      <w:r>
        <w:rPr>
          <w:b/>
          <w:i w:val="0"/>
          <w:noProof/>
        </w:rPr>
        <w:t>Нотифициране</w:t>
      </w:r>
    </w:p>
    <w:p>
      <w:pPr>
        <w:pStyle w:val="Text1"/>
        <w:rPr>
          <w:noProof/>
        </w:rPr>
      </w:pPr>
      <w:r>
        <w:rPr>
          <w:noProof/>
        </w:rPr>
        <w:t xml:space="preserve">Държавите членки нотифицират Комисията и другите държави членки за органите, оправомощени да изпълняват задачи като трета страна по оценяване на съответствието съгласно настоящия регламент. </w:t>
      </w:r>
    </w:p>
    <w:p>
      <w:pPr>
        <w:pStyle w:val="Titrearticle"/>
        <w:rPr>
          <w:b/>
          <w:i w:val="0"/>
          <w:noProof/>
        </w:rPr>
      </w:pPr>
      <w:r>
        <w:rPr>
          <w:noProof/>
        </w:rPr>
        <w:t>Член 20</w:t>
      </w:r>
      <w:r>
        <w:rPr>
          <w:noProof/>
        </w:rPr>
        <w:br/>
      </w:r>
      <w:r>
        <w:rPr>
          <w:b/>
          <w:i w:val="0"/>
          <w:noProof/>
        </w:rPr>
        <w:t>Нотифициращи органи</w:t>
      </w:r>
    </w:p>
    <w:p>
      <w:pPr>
        <w:pStyle w:val="ManualNumPar1"/>
        <w:rPr>
          <w:noProof/>
        </w:rPr>
      </w:pPr>
      <w:r>
        <w:t>1.</w:t>
      </w:r>
      <w:r>
        <w:tab/>
      </w:r>
      <w:r>
        <w:rPr>
          <w:noProof/>
        </w:rPr>
        <w:t>Държавите членки определят нотифициращ орган, отговорен за установяването и провеждането на необходимите процедури за оценяване и нотифициране на органите за оценяване на съответствието, както и за наблюдението на нотифицираните органи, включително съответствието с разпоредбите на член 25.</w:t>
      </w:r>
    </w:p>
    <w:p>
      <w:pPr>
        <w:pStyle w:val="ManualNumPar1"/>
        <w:rPr>
          <w:noProof/>
        </w:rPr>
      </w:pPr>
      <w:r>
        <w:t>2.</w:t>
      </w:r>
      <w:r>
        <w:tab/>
      </w:r>
      <w:r>
        <w:rPr>
          <w:noProof/>
        </w:rPr>
        <w:t>Държавите членки могат да решат, че оценяването и наблюдението, посочени в параграф 1, се провеждат от национален орган по акредитация по смисъла на Регламент (ЕО) № 765/2008 и в съответствие с него.</w:t>
      </w:r>
    </w:p>
    <w:p>
      <w:pPr>
        <w:pStyle w:val="ManualNumPar1"/>
        <w:rPr>
          <w:noProof/>
        </w:rPr>
      </w:pPr>
      <w:r>
        <w:t>3.</w:t>
      </w:r>
      <w:r>
        <w:tab/>
      </w:r>
      <w:r>
        <w:rPr>
          <w:noProof/>
        </w:rPr>
        <w:t xml:space="preserve">Когато нотифициращият орган делегира или възлага по друг начин провеждането на оценяването, нотификацията или наблюдението, посочени в параграф 1, на орган, който не е правителствена структура, този орган е юридическо лице и отговаря </w:t>
      </w:r>
      <w:r>
        <w:rPr>
          <w:i/>
          <w:noProof/>
        </w:rPr>
        <w:t>mutatis mutandis</w:t>
      </w:r>
      <w:r>
        <w:rPr>
          <w:noProof/>
        </w:rPr>
        <w:t xml:space="preserve"> на изискванията, установени в член 21. Освен това този орган разполага с механизми за покриване на отговорността, произтичаща от неговата дейност.</w:t>
      </w:r>
    </w:p>
    <w:p>
      <w:pPr>
        <w:pStyle w:val="ManualNumPar1"/>
        <w:rPr>
          <w:noProof/>
        </w:rPr>
      </w:pPr>
      <w:r>
        <w:t>4.</w:t>
      </w:r>
      <w:r>
        <w:tab/>
      </w:r>
      <w:r>
        <w:rPr>
          <w:noProof/>
        </w:rPr>
        <w:t>Нотифициращият орган поема пълната отговорност за задачите, изпълнявани от органа, посочен в параграф 3.</w:t>
      </w:r>
    </w:p>
    <w:p>
      <w:pPr>
        <w:pStyle w:val="Titrearticle"/>
        <w:rPr>
          <w:b/>
          <w:i w:val="0"/>
          <w:noProof/>
        </w:rPr>
      </w:pPr>
      <w:r>
        <w:rPr>
          <w:noProof/>
        </w:rPr>
        <w:t>Член 21</w:t>
      </w:r>
      <w:r>
        <w:rPr>
          <w:noProof/>
        </w:rPr>
        <w:br/>
      </w:r>
      <w:r>
        <w:rPr>
          <w:b/>
          <w:i w:val="0"/>
          <w:noProof/>
        </w:rPr>
        <w:t>Изисквания, свързани с нотифициращите органи</w:t>
      </w:r>
    </w:p>
    <w:p>
      <w:pPr>
        <w:pStyle w:val="ManualNumPar1"/>
        <w:rPr>
          <w:noProof/>
        </w:rPr>
      </w:pPr>
      <w:r>
        <w:t>1.</w:t>
      </w:r>
      <w:r>
        <w:tab/>
      </w:r>
      <w:r>
        <w:rPr>
          <w:noProof/>
        </w:rPr>
        <w:t>Нотифициращият орган се създава по такъв начин, че да няма конфликт на интереси с органите за оценяване на съответствието.</w:t>
      </w:r>
    </w:p>
    <w:p>
      <w:pPr>
        <w:pStyle w:val="ManualNumPar1"/>
        <w:rPr>
          <w:noProof/>
        </w:rPr>
      </w:pPr>
      <w:r>
        <w:t>2.</w:t>
      </w:r>
      <w:r>
        <w:tab/>
      </w:r>
      <w:r>
        <w:rPr>
          <w:noProof/>
        </w:rPr>
        <w:t>Нотифициращият орган е организиран и работи по такъв начин, че да бъдат запазени обективността и безпристрастността на неговата дейност.</w:t>
      </w:r>
    </w:p>
    <w:p>
      <w:pPr>
        <w:pStyle w:val="ManualNumPar1"/>
        <w:rPr>
          <w:noProof/>
        </w:rPr>
      </w:pPr>
      <w:r>
        <w:t>3.</w:t>
      </w:r>
      <w:r>
        <w:tab/>
      </w:r>
      <w:r>
        <w:rPr>
          <w:noProof/>
        </w:rPr>
        <w:t>Нотифициращият орган е организиран по такъв начин, че всяко решение, свързано с нотифицирането на орган за оценяване на съответствието, да бъде взето от компетентни лица, различни от тези, които са извършили оценяването.</w:t>
      </w:r>
    </w:p>
    <w:p>
      <w:pPr>
        <w:pStyle w:val="ManualNumPar1"/>
        <w:rPr>
          <w:noProof/>
        </w:rPr>
      </w:pPr>
      <w:r>
        <w:t>4.</w:t>
      </w:r>
      <w:r>
        <w:tab/>
      </w:r>
      <w:r>
        <w:rPr>
          <w:noProof/>
        </w:rPr>
        <w:t>Нотифициращият орган не предлага и не извършва дейности, осъществявани от органите за оценяване на съответствието, или консултантски услуги с търговска цел или на конкурентна основа.</w:t>
      </w:r>
    </w:p>
    <w:p>
      <w:pPr>
        <w:pStyle w:val="ManualNumPar1"/>
        <w:rPr>
          <w:noProof/>
        </w:rPr>
      </w:pPr>
      <w:r>
        <w:t>5.</w:t>
      </w:r>
      <w:r>
        <w:tab/>
      </w:r>
      <w:r>
        <w:rPr>
          <w:noProof/>
        </w:rPr>
        <w:t>Нотифициращият орган запазва поверителността на получената от него информация.</w:t>
      </w:r>
    </w:p>
    <w:p>
      <w:pPr>
        <w:pStyle w:val="ManualNumPar1"/>
        <w:rPr>
          <w:noProof/>
        </w:rPr>
      </w:pPr>
      <w:r>
        <w:t>6.</w:t>
      </w:r>
      <w:r>
        <w:tab/>
      </w:r>
      <w:r>
        <w:rPr>
          <w:noProof/>
        </w:rPr>
        <w:t>Нотифициращият орган разполага с достатъчен брой компетентен персонал за правилното изпълнение на своите задачи.</w:t>
      </w:r>
    </w:p>
    <w:p>
      <w:pPr>
        <w:pStyle w:val="Titrearticle"/>
        <w:rPr>
          <w:b/>
          <w:i w:val="0"/>
          <w:noProof/>
        </w:rPr>
      </w:pPr>
      <w:r>
        <w:rPr>
          <w:noProof/>
        </w:rPr>
        <w:t>Член 22</w:t>
      </w:r>
      <w:r>
        <w:rPr>
          <w:noProof/>
        </w:rPr>
        <w:br/>
      </w:r>
      <w:r>
        <w:rPr>
          <w:b/>
          <w:i w:val="0"/>
          <w:noProof/>
        </w:rPr>
        <w:t>Задължение за предоставяне на информация относно нотифициращите органи</w:t>
      </w:r>
    </w:p>
    <w:p>
      <w:pPr>
        <w:rPr>
          <w:noProof/>
        </w:rPr>
      </w:pPr>
      <w:r>
        <w:rPr>
          <w:noProof/>
        </w:rPr>
        <w:t>Държавите членки информират Комисията за своите процедури за оценяване и нотифициране на органите за оценяване на съответствието и за наблюдението на нотифицираните органи, както и за всякакви промени в тази връзка.</w:t>
      </w:r>
    </w:p>
    <w:p>
      <w:pPr>
        <w:rPr>
          <w:noProof/>
        </w:rPr>
      </w:pPr>
      <w:r>
        <w:rPr>
          <w:noProof/>
        </w:rPr>
        <w:t>Комисията прави тази информация обществено достояние.</w:t>
      </w:r>
    </w:p>
    <w:p>
      <w:pPr>
        <w:pStyle w:val="Titrearticle"/>
        <w:rPr>
          <w:b/>
          <w:i w:val="0"/>
          <w:noProof/>
        </w:rPr>
      </w:pPr>
      <w:r>
        <w:rPr>
          <w:noProof/>
        </w:rPr>
        <w:t>Член 23</w:t>
      </w:r>
      <w:r>
        <w:rPr>
          <w:noProof/>
        </w:rPr>
        <w:br/>
      </w:r>
      <w:r>
        <w:rPr>
          <w:b/>
          <w:i w:val="0"/>
          <w:noProof/>
        </w:rPr>
        <w:t>Изисквания, свързани с нотифицираните органи</w:t>
      </w:r>
    </w:p>
    <w:p>
      <w:pPr>
        <w:pStyle w:val="ManualNumPar1"/>
        <w:rPr>
          <w:noProof/>
        </w:rPr>
      </w:pPr>
      <w:r>
        <w:t>1.</w:t>
      </w:r>
      <w:r>
        <w:tab/>
      </w:r>
      <w:r>
        <w:rPr>
          <w:noProof/>
        </w:rPr>
        <w:t>За целите на нотифицирането органите за оценяване на съответствието трябва да отговарят на изискванията, установени в параграфи 2—11.</w:t>
      </w:r>
    </w:p>
    <w:p>
      <w:pPr>
        <w:pStyle w:val="ManualNumPar1"/>
        <w:rPr>
          <w:noProof/>
        </w:rPr>
      </w:pPr>
      <w:r>
        <w:t>2.</w:t>
      </w:r>
      <w:r>
        <w:tab/>
      </w:r>
      <w:r>
        <w:rPr>
          <w:noProof/>
        </w:rPr>
        <w:t>Органът за оценяване на съответствието се създава съгласно националното право на дадена държава членка и притежава юридическа правосубектност.</w:t>
      </w:r>
    </w:p>
    <w:p>
      <w:pPr>
        <w:pStyle w:val="ManualNumPar1"/>
        <w:rPr>
          <w:noProof/>
        </w:rPr>
      </w:pPr>
      <w:r>
        <w:t>3.</w:t>
      </w:r>
      <w:r>
        <w:tab/>
      </w:r>
      <w:r>
        <w:rPr>
          <w:noProof/>
        </w:rPr>
        <w:t xml:space="preserve">Органът за оценяване на съответствието е трета страна, независима от организацията или от маркирания с маркировката „СЕ“ продукт, които оценява. </w:t>
      </w:r>
    </w:p>
    <w:p>
      <w:pPr>
        <w:pStyle w:val="Text1"/>
        <w:rPr>
          <w:noProof/>
        </w:rPr>
      </w:pPr>
      <w:r>
        <w:rPr>
          <w:noProof/>
        </w:rPr>
        <w:t>Орган, който принадлежи към стопанска асоциация и/или професионална федерация, представляващи предприятия, участващи в проектирането, производството, доставката или използването на продуктите за наторяване, които този орган оценява, може да се счита за такъв орган, при условие че са доказани неговата независимост и липсата на конфликт на интереси.</w:t>
      </w:r>
    </w:p>
    <w:p>
      <w:pPr>
        <w:pStyle w:val="ManualNumPar1"/>
        <w:rPr>
          <w:noProof/>
        </w:rPr>
      </w:pPr>
      <w:r>
        <w:t>4.</w:t>
      </w:r>
      <w:r>
        <w:tab/>
      </w:r>
      <w:r>
        <w:rPr>
          <w:noProof/>
        </w:rPr>
        <w:t xml:space="preserve">Органът за оценяване на съответствието, неговото висше ръководство и персоналът, отговорен за изпълнение на задачите по оценяване на съответствието, не могат да бъдат проектант, производител, доставчик, купувач, собственик или потребител на продукти за наторяване, нито представител на някое от тези лица. Това не изключва употребата на продукти за наторяване, които са необходими за дейностите на органа за оценяване на съответствието, или употребата на такива продукти за наторяване за лични цели. </w:t>
      </w:r>
    </w:p>
    <w:p>
      <w:pPr>
        <w:pStyle w:val="Text1"/>
        <w:rPr>
          <w:noProof/>
        </w:rPr>
      </w:pPr>
      <w:r>
        <w:rPr>
          <w:noProof/>
        </w:rPr>
        <w:t xml:space="preserve">Органът за оценяване на съответствието, неговото висше ръководство и персоналът, отговорен за изпълнение на задачите по оценяване на съответствието, не вземат пряко участие в проектирането, производството, продажбата или използването на продукти за наторяване, нито представляват лицата, ангажирани в тези дейности. Те не се включват в никаква дейност, която може да е в противоречие с тяхната независимост на преценката или почтеност по отношение на дейностите по оценяване на съответствието, за които са нотифицирани. Това се прилага по-конкретно към консултантски услуги. </w:t>
      </w:r>
    </w:p>
    <w:p>
      <w:pPr>
        <w:pStyle w:val="Text1"/>
        <w:rPr>
          <w:noProof/>
        </w:rPr>
      </w:pPr>
      <w:r>
        <w:rPr>
          <w:noProof/>
        </w:rPr>
        <w:t xml:space="preserve">Органите за оценяване на съответствието трябва да гарантират, че дейността на свързаните с тях поделения или подизпълнители не влияе върху поверителността, обективността и безпристрастността на тяхната дейност по оценяване на съответствието. </w:t>
      </w:r>
    </w:p>
    <w:p>
      <w:pPr>
        <w:pStyle w:val="ManualNumPar1"/>
        <w:rPr>
          <w:noProof/>
        </w:rPr>
      </w:pPr>
      <w:r>
        <w:t>5.</w:t>
      </w:r>
      <w:r>
        <w:tab/>
      </w:r>
      <w:r>
        <w:rPr>
          <w:noProof/>
        </w:rPr>
        <w:t>Органите за оценяване на съответствието и техният персонал осъществяват дейностите по оценяване на съответствието с най-висока степен на професионална почтеност и необходимата техническа компетентност в определената област и са напълно освободени от всякакъв натиск и стимули, в частност финансови, които могат да повлияят на тяхната преценка или на резултатите от техните дейности по оценяване на съответствието, особено по отношение на лица или групи лица с интереси от резултатите от тези дейности.</w:t>
      </w:r>
    </w:p>
    <w:p>
      <w:pPr>
        <w:pStyle w:val="ManualNumPar1"/>
        <w:rPr>
          <w:noProof/>
        </w:rPr>
      </w:pPr>
      <w:r>
        <w:t>6.</w:t>
      </w:r>
      <w:r>
        <w:tab/>
      </w:r>
      <w:r>
        <w:rPr>
          <w:noProof/>
        </w:rPr>
        <w:t>Органът за оценяване на съответствието трябва да бъде в състояние да осъществява всички задачи по оценяване на съответствието, предвидени за него съгласно приложение IV и по отношение на които органът е бил нотифициран, независимо дали тези задачи се изпълняват от самия орган за оценяване на съответствието или от негово име и на негова отговорност.</w:t>
      </w:r>
    </w:p>
    <w:p>
      <w:pPr>
        <w:pStyle w:val="Text1"/>
        <w:rPr>
          <w:noProof/>
        </w:rPr>
      </w:pPr>
      <w:r>
        <w:rPr>
          <w:noProof/>
        </w:rPr>
        <w:t>По всяко време и за всяка процедура за оценяване на съответствието, и за всеки вид или категория маркирани с маркировката „СЕ“ продукти за наторяване, за които органът за оценяване на съответствието е нотифициран, той трябва да разполага с необходимите:</w:t>
      </w:r>
    </w:p>
    <w:p>
      <w:pPr>
        <w:pStyle w:val="Point1"/>
        <w:rPr>
          <w:noProof/>
        </w:rPr>
      </w:pPr>
      <w:r>
        <w:rPr>
          <w:noProof/>
        </w:rPr>
        <w:t>а)</w:t>
      </w:r>
      <w:r>
        <w:rPr>
          <w:noProof/>
        </w:rPr>
        <w:tab/>
        <w:t>персонал с технически знания и достатъчен и подходящ опит за изпълнение на задачите за оценяване на съответствието;</w:t>
      </w:r>
    </w:p>
    <w:p>
      <w:pPr>
        <w:pStyle w:val="Point1"/>
        <w:rPr>
          <w:noProof/>
        </w:rPr>
      </w:pPr>
      <w:r>
        <w:rPr>
          <w:noProof/>
        </w:rPr>
        <w:t>б)</w:t>
      </w:r>
      <w:r>
        <w:rPr>
          <w:noProof/>
        </w:rPr>
        <w:tab/>
        <w:t>описания на процедурите, в съответствие с които се извършва оценяването на съответствието, гарантиращи прозрачността и способността за повтаряне на тези процедури. Той трябва да прилага подходящи политики и процедури, които да позволяват разграничение между задачите, които изпълнява като нотифициран орган, и всички други дейности;</w:t>
      </w:r>
    </w:p>
    <w:p>
      <w:pPr>
        <w:pStyle w:val="Point1"/>
        <w:rPr>
          <w:noProof/>
        </w:rPr>
      </w:pPr>
      <w:r>
        <w:rPr>
          <w:noProof/>
        </w:rPr>
        <w:t>в)</w:t>
      </w:r>
      <w:r>
        <w:rPr>
          <w:noProof/>
        </w:rPr>
        <w:tab/>
        <w:t>процедури за изпълнение на дейности, които надлежно отчитат размера на дадено предприятие, отрасъла, в който осъществява дейността си, неговата структура, степента на сложност на съответната технология на продукта и масовия или сериен характер на производството.</w:t>
      </w:r>
    </w:p>
    <w:p>
      <w:pPr>
        <w:pStyle w:val="Text1"/>
        <w:rPr>
          <w:noProof/>
        </w:rPr>
      </w:pPr>
      <w:r>
        <w:rPr>
          <w:noProof/>
        </w:rPr>
        <w:t>Органът за оценяване на съответствието трябва да разполага със средствата, необходими за изпълнение по подходящ начин на техническите и административните задачи, свързани с дейностите по оценяване на съответствието, както и с достъп до нужното оборудване или съоръжения.</w:t>
      </w:r>
    </w:p>
    <w:p>
      <w:pPr>
        <w:pStyle w:val="ManualNumPar1"/>
        <w:rPr>
          <w:noProof/>
        </w:rPr>
      </w:pPr>
      <w:r>
        <w:t>7.</w:t>
      </w:r>
      <w:r>
        <w:tab/>
      </w:r>
      <w:r>
        <w:rPr>
          <w:noProof/>
        </w:rPr>
        <w:t>Персоналът, отговорен за провеждането на задачите по оценяване на съответствието, трябва да разполага със следното:</w:t>
      </w:r>
    </w:p>
    <w:p>
      <w:pPr>
        <w:pStyle w:val="Point1"/>
        <w:rPr>
          <w:noProof/>
        </w:rPr>
      </w:pPr>
      <w:r>
        <w:rPr>
          <w:noProof/>
        </w:rPr>
        <w:t>а)</w:t>
      </w:r>
      <w:r>
        <w:rPr>
          <w:noProof/>
        </w:rPr>
        <w:tab/>
        <w:t>добро техническо и професионално обучение, обхващащо цялата дейност по оценяване на съответствието, във връзка с която е нотифициран органът за оценяване на съответствието;</w:t>
      </w:r>
    </w:p>
    <w:p>
      <w:pPr>
        <w:pStyle w:val="Point1"/>
        <w:rPr>
          <w:noProof/>
        </w:rPr>
      </w:pPr>
      <w:r>
        <w:rPr>
          <w:noProof/>
        </w:rPr>
        <w:t>б)</w:t>
      </w:r>
      <w:r>
        <w:rPr>
          <w:noProof/>
        </w:rPr>
        <w:tab/>
        <w:t xml:space="preserve">задоволително познаване на изискванията за оценяването, което персоналът извършва, както и подходящи правомощия за осъществяване на такова оценяване; </w:t>
      </w:r>
    </w:p>
    <w:p>
      <w:pPr>
        <w:pStyle w:val="Point1"/>
        <w:rPr>
          <w:noProof/>
        </w:rPr>
      </w:pPr>
      <w:r>
        <w:rPr>
          <w:noProof/>
        </w:rPr>
        <w:t>в)</w:t>
      </w:r>
      <w:r>
        <w:rPr>
          <w:noProof/>
        </w:rPr>
        <w:tab/>
        <w:t xml:space="preserve">подходящи знания и разбиране на изискванията по приложения І, II и III, на приложимите хармонизирани стандарти и на относимите разпоредби на законодателството на Съюза за хармонизация, както и на съответното национално законодателство; </w:t>
      </w:r>
    </w:p>
    <w:p>
      <w:pPr>
        <w:pStyle w:val="Point1"/>
        <w:rPr>
          <w:noProof/>
        </w:rPr>
      </w:pPr>
      <w:r>
        <w:rPr>
          <w:noProof/>
        </w:rPr>
        <w:t>г)</w:t>
      </w:r>
      <w:r>
        <w:rPr>
          <w:noProof/>
        </w:rPr>
        <w:tab/>
        <w:t>способност да изготвя сертификати, записи и доклади, доказващи, че оценките са били направени.</w:t>
      </w:r>
    </w:p>
    <w:p>
      <w:pPr>
        <w:pStyle w:val="ManualNumPar1"/>
        <w:rPr>
          <w:noProof/>
        </w:rPr>
      </w:pPr>
      <w:r>
        <w:t>8.</w:t>
      </w:r>
      <w:r>
        <w:tab/>
      </w:r>
      <w:r>
        <w:rPr>
          <w:noProof/>
        </w:rPr>
        <w:t xml:space="preserve">Необходимо е да бъде осигурена безпристрастност на органите за оценяване на съответствието, на тяхното висше ръководство и на персонала, отговорен за изпълнението на задачите по оценяване на съответствието. </w:t>
      </w:r>
    </w:p>
    <w:p>
      <w:pPr>
        <w:pStyle w:val="Text1"/>
        <w:rPr>
          <w:noProof/>
        </w:rPr>
      </w:pPr>
      <w:r>
        <w:rPr>
          <w:noProof/>
        </w:rPr>
        <w:t>Възнаграждението на висшето ръководство и на отговорния за изпълнението на задачите по оценяване на съответствието персонал на органа за оценяване на съответствието не трябва да зависи от броя на извършените оценки или от резултатите от тях.</w:t>
      </w:r>
    </w:p>
    <w:p>
      <w:pPr>
        <w:pStyle w:val="ManualNumPar1"/>
        <w:rPr>
          <w:noProof/>
        </w:rPr>
      </w:pPr>
      <w:r>
        <w:t>9.</w:t>
      </w:r>
      <w:r>
        <w:tab/>
      </w:r>
      <w:r>
        <w:rPr>
          <w:noProof/>
        </w:rPr>
        <w:t>Органите за оценяване на съответствието сключват застраховка за покриване на отговорността им, освен ако отговорността се поема от държавата съгласно националното законодателство или ако държавата членка е пряко отговорна за оценяване на съответствието.</w:t>
      </w:r>
    </w:p>
    <w:p>
      <w:pPr>
        <w:pStyle w:val="ManualNumPar1"/>
        <w:rPr>
          <w:noProof/>
        </w:rPr>
      </w:pPr>
      <w:r>
        <w:t>10.</w:t>
      </w:r>
      <w:r>
        <w:tab/>
      </w:r>
      <w:r>
        <w:rPr>
          <w:noProof/>
        </w:rPr>
        <w:t>Персоналът на органа за оценяване на съответствието трябва да спазва задължение за служебна тайна по отношение на цялата информация, получена при изпълнение на своите задачи съгласно приложение IV, освен по отношение на компетентните органи на държавата членка, в която се осъществява дейността му. Осигурява се защита на правата на собственост.</w:t>
      </w:r>
    </w:p>
    <w:p>
      <w:pPr>
        <w:pStyle w:val="ManualNumPar1"/>
        <w:rPr>
          <w:noProof/>
        </w:rPr>
      </w:pPr>
      <w:r>
        <w:t>11.</w:t>
      </w:r>
      <w:r>
        <w:tab/>
      </w:r>
      <w:r>
        <w:rPr>
          <w:noProof/>
        </w:rPr>
        <w:t>Органите за оценяване на съответствието участват в съответните дейности по стандартизация и дейностите на групата за координация на нотифицираните органи, създадена съгласно член 35, или гарантират, че техният персонал, отговарящ за извършването на дейности по оценяване на съответствието, е информиран за такива дейности, и прилагат като общи насоки административните решения и документи, изготвени в резултат от работата на посочената група.</w:t>
      </w:r>
    </w:p>
    <w:p>
      <w:pPr>
        <w:pStyle w:val="Titrearticle"/>
        <w:rPr>
          <w:b/>
          <w:i w:val="0"/>
          <w:noProof/>
        </w:rPr>
      </w:pPr>
      <w:r>
        <w:rPr>
          <w:noProof/>
        </w:rPr>
        <w:t>Член 24</w:t>
      </w:r>
      <w:r>
        <w:rPr>
          <w:noProof/>
        </w:rPr>
        <w:br/>
      </w:r>
      <w:r>
        <w:rPr>
          <w:b/>
          <w:i w:val="0"/>
          <w:noProof/>
        </w:rPr>
        <w:t>Презумпция за съответствие на нотифицираните органи</w:t>
      </w:r>
    </w:p>
    <w:p>
      <w:pPr>
        <w:rPr>
          <w:noProof/>
        </w:rPr>
      </w:pPr>
      <w:r>
        <w:rPr>
          <w:noProof/>
        </w:rPr>
        <w:t>Когато органът за оценяване на съответствието докаже своето съответствие с критериите, определени в съответните хармонизирани стандарти или части от тях, данните за които са били публикувани в</w:t>
      </w:r>
      <w:r>
        <w:rPr>
          <w:i/>
          <w:noProof/>
        </w:rPr>
        <w:t xml:space="preserve"> Официален вестник на Европейския съюз</w:t>
      </w:r>
      <w:r>
        <w:rPr>
          <w:noProof/>
        </w:rPr>
        <w:t>, се приема, че той отговаря на изискванията, посочени в член 23, доколкото приложимите хармонизирани стандарти обхващат тези изисквания.</w:t>
      </w:r>
    </w:p>
    <w:p>
      <w:pPr>
        <w:pStyle w:val="Titrearticle"/>
        <w:rPr>
          <w:b/>
          <w:i w:val="0"/>
          <w:noProof/>
        </w:rPr>
      </w:pPr>
      <w:r>
        <w:rPr>
          <w:noProof/>
        </w:rPr>
        <w:t>Член 25</w:t>
      </w:r>
      <w:r>
        <w:rPr>
          <w:noProof/>
        </w:rPr>
        <w:br/>
      </w:r>
      <w:r>
        <w:rPr>
          <w:b/>
          <w:i w:val="0"/>
          <w:noProof/>
        </w:rPr>
        <w:t>Поделения на нотифицираните органи и възлагане от тях на задачи на подизпълнители</w:t>
      </w:r>
    </w:p>
    <w:p>
      <w:pPr>
        <w:pStyle w:val="ManualNumPar1"/>
        <w:rPr>
          <w:noProof/>
        </w:rPr>
      </w:pPr>
      <w:r>
        <w:t>1.</w:t>
      </w:r>
      <w:r>
        <w:tab/>
      </w:r>
      <w:r>
        <w:rPr>
          <w:noProof/>
        </w:rPr>
        <w:t>В случаите, в които нотифициран орган възлага конкретни задачи, свързани с оценяване на съответствието, на подизпълнители, или използва свое поделение, той гарантира, че подизпълнителят или поделението отговаря на изискванията, посочени в член 23, и надлежно информира нотифициращия орган за това.</w:t>
      </w:r>
    </w:p>
    <w:p>
      <w:pPr>
        <w:pStyle w:val="ManualNumPar1"/>
        <w:rPr>
          <w:noProof/>
        </w:rPr>
      </w:pPr>
      <w:r>
        <w:t>2.</w:t>
      </w:r>
      <w:r>
        <w:tab/>
      </w:r>
      <w:r>
        <w:rPr>
          <w:noProof/>
        </w:rPr>
        <w:t>Нотифицираните органи поемат пълната отговорност за задачите, изпълнявани от подизпълнители или поделения, без значение къде са установени те.</w:t>
      </w:r>
    </w:p>
    <w:p>
      <w:pPr>
        <w:pStyle w:val="ManualNumPar1"/>
        <w:rPr>
          <w:noProof/>
        </w:rPr>
      </w:pPr>
      <w:r>
        <w:t>3.</w:t>
      </w:r>
      <w:r>
        <w:tab/>
      </w:r>
      <w:r>
        <w:rPr>
          <w:noProof/>
        </w:rPr>
        <w:t>Дейностите могат да бъдат възлагани на подизпълнители или изпълнявани от поделения само със съгласието на клиента.</w:t>
      </w:r>
    </w:p>
    <w:p>
      <w:pPr>
        <w:pStyle w:val="ManualNumPar1"/>
        <w:rPr>
          <w:noProof/>
        </w:rPr>
      </w:pPr>
      <w:r>
        <w:t>4.</w:t>
      </w:r>
      <w:r>
        <w:tab/>
      </w:r>
      <w:r>
        <w:rPr>
          <w:noProof/>
        </w:rPr>
        <w:t>Нотифицираните органи съхраняват на разположение на нотифициращия орган съответните документи относно оценката на квалификацията на подизпълнителя или на поделението и работата, извършена от тях съгласно приложение IV.</w:t>
      </w:r>
    </w:p>
    <w:p>
      <w:pPr>
        <w:pStyle w:val="Titrearticle"/>
        <w:rPr>
          <w:b/>
          <w:i w:val="0"/>
          <w:noProof/>
        </w:rPr>
      </w:pPr>
      <w:r>
        <w:rPr>
          <w:noProof/>
        </w:rPr>
        <w:t>Член 26</w:t>
      </w:r>
      <w:r>
        <w:rPr>
          <w:noProof/>
        </w:rPr>
        <w:br/>
      </w:r>
      <w:r>
        <w:rPr>
          <w:b/>
          <w:i w:val="0"/>
          <w:noProof/>
        </w:rPr>
        <w:t>Заявление за нотифициране</w:t>
      </w:r>
    </w:p>
    <w:p>
      <w:pPr>
        <w:pStyle w:val="ManualNumPar1"/>
        <w:rPr>
          <w:noProof/>
        </w:rPr>
      </w:pPr>
      <w:r>
        <w:t>1.</w:t>
      </w:r>
      <w:r>
        <w:tab/>
      </w:r>
      <w:r>
        <w:rPr>
          <w:noProof/>
        </w:rPr>
        <w:t>Органът за оценяване на съответствието подава заявление за нотифициране до нотифициращия орган на държавата членка, в която е установен.</w:t>
      </w:r>
    </w:p>
    <w:p>
      <w:pPr>
        <w:pStyle w:val="ManualNumPar1"/>
        <w:rPr>
          <w:noProof/>
        </w:rPr>
      </w:pPr>
      <w:r>
        <w:t>2.</w:t>
      </w:r>
      <w:r>
        <w:tab/>
      </w:r>
      <w:r>
        <w:rPr>
          <w:noProof/>
        </w:rPr>
        <w:t>Заявлението за нотифициране се придружава от описание на дейностите по оценяване на съответствието, на модула или модулите за оценяване на съответствието и на продукта или маркирания с маркировката „СЕ“ продукт или продукти за наторяване, за които този орган твърди, че е компетентен, както и от сертификат за акредитация, издаден от национален орган по акредитация, който удостоверява, че органът за оценяване на съответствието отговаря на изискванията, определени в член 23.</w:t>
      </w:r>
    </w:p>
    <w:p>
      <w:pPr>
        <w:pStyle w:val="Titrearticle"/>
        <w:rPr>
          <w:b/>
          <w:i w:val="0"/>
          <w:noProof/>
        </w:rPr>
      </w:pPr>
      <w:r>
        <w:rPr>
          <w:noProof/>
        </w:rPr>
        <w:t>Член 27</w:t>
      </w:r>
      <w:r>
        <w:rPr>
          <w:noProof/>
        </w:rPr>
        <w:br/>
      </w:r>
      <w:r>
        <w:rPr>
          <w:b/>
          <w:i w:val="0"/>
          <w:noProof/>
        </w:rPr>
        <w:t>Процедура по нотифициране</w:t>
      </w:r>
    </w:p>
    <w:p>
      <w:pPr>
        <w:pStyle w:val="ManualNumPar1"/>
        <w:rPr>
          <w:noProof/>
        </w:rPr>
      </w:pPr>
      <w:r>
        <w:t>1.</w:t>
      </w:r>
      <w:r>
        <w:tab/>
      </w:r>
      <w:r>
        <w:rPr>
          <w:noProof/>
        </w:rPr>
        <w:t>Нотифициращите органи могат да нотифицират само органи за оценяване на съответствието, които отговарят на изискванията, определени в член 23.</w:t>
      </w:r>
    </w:p>
    <w:p>
      <w:pPr>
        <w:pStyle w:val="ManualNumPar1"/>
        <w:rPr>
          <w:noProof/>
        </w:rPr>
      </w:pPr>
      <w:r>
        <w:t>2.</w:t>
      </w:r>
      <w:r>
        <w:tab/>
      </w:r>
      <w:r>
        <w:rPr>
          <w:noProof/>
        </w:rPr>
        <w:t>Те нотифицират Комисията и другите държави членки, като използват средството за електронно нотифициране, създадено и поддържано от Комисията.</w:t>
      </w:r>
    </w:p>
    <w:p>
      <w:pPr>
        <w:pStyle w:val="ManualNumPar1"/>
        <w:rPr>
          <w:noProof/>
        </w:rPr>
      </w:pPr>
      <w:r>
        <w:t>3.</w:t>
      </w:r>
      <w:r>
        <w:tab/>
      </w:r>
      <w:r>
        <w:rPr>
          <w:noProof/>
        </w:rPr>
        <w:t>Нотифицирането включва всички подробности за дейностите по оценяване на съответствието, модула или модулите за оценяване на съответствието и маркирания с маркировката „СЕ“ продукт или продукти за наторяване, както и сертификата за акредитация, посочен в член 26, параграф 2.</w:t>
      </w:r>
    </w:p>
    <w:p>
      <w:pPr>
        <w:pStyle w:val="ManualNumPar1"/>
        <w:rPr>
          <w:noProof/>
        </w:rPr>
      </w:pPr>
      <w:r>
        <w:t>4.</w:t>
      </w:r>
      <w:r>
        <w:tab/>
      </w:r>
      <w:r>
        <w:rPr>
          <w:noProof/>
        </w:rPr>
        <w:t>Съответният орган може да изпълнява дейностите на нотифициран орган само ако в срок от две седмици след нотифицирането не са направени възражения от Комисията или от другите държави-членки.</w:t>
      </w:r>
    </w:p>
    <w:p>
      <w:pPr>
        <w:pStyle w:val="Text1"/>
        <w:rPr>
          <w:noProof/>
        </w:rPr>
      </w:pPr>
      <w:r>
        <w:rPr>
          <w:noProof/>
        </w:rPr>
        <w:t>Само такъв орган се счита за нотифициран орган за целите на настоящия регламент.</w:t>
      </w:r>
    </w:p>
    <w:p>
      <w:pPr>
        <w:pStyle w:val="ManualNumPar1"/>
        <w:rPr>
          <w:noProof/>
        </w:rPr>
      </w:pPr>
      <w:r>
        <w:t>5.</w:t>
      </w:r>
      <w:r>
        <w:tab/>
      </w:r>
      <w:r>
        <w:rPr>
          <w:noProof/>
        </w:rPr>
        <w:t>Нотифициращият орган уведомява Комисията и другите държави членки за всякакви последващи промени, свързани с нотифицирането.</w:t>
      </w:r>
    </w:p>
    <w:p>
      <w:pPr>
        <w:pStyle w:val="Titrearticle"/>
        <w:rPr>
          <w:b/>
          <w:i w:val="0"/>
          <w:noProof/>
        </w:rPr>
      </w:pPr>
      <w:r>
        <w:rPr>
          <w:noProof/>
        </w:rPr>
        <w:t>Член 28</w:t>
      </w:r>
      <w:r>
        <w:rPr>
          <w:noProof/>
        </w:rPr>
        <w:br/>
      </w:r>
      <w:r>
        <w:rPr>
          <w:b/>
          <w:i w:val="0"/>
          <w:noProof/>
        </w:rPr>
        <w:t>Идентификационни номера и списъци на нотифицираните органи</w:t>
      </w:r>
    </w:p>
    <w:p>
      <w:pPr>
        <w:pStyle w:val="ManualNumPar1"/>
        <w:rPr>
          <w:noProof/>
        </w:rPr>
      </w:pPr>
      <w:r>
        <w:t>1.</w:t>
      </w:r>
      <w:r>
        <w:tab/>
      </w:r>
      <w:r>
        <w:rPr>
          <w:noProof/>
        </w:rPr>
        <w:t>Комисията присвоява идентификационен номер на нотифицирания орган.</w:t>
      </w:r>
    </w:p>
    <w:p>
      <w:pPr>
        <w:pStyle w:val="Text1"/>
        <w:rPr>
          <w:noProof/>
        </w:rPr>
      </w:pPr>
      <w:r>
        <w:rPr>
          <w:noProof/>
        </w:rPr>
        <w:t>Тя определя само един такъв номер, дори когато органът е нотифициран съгласно няколко акта на Съюза.</w:t>
      </w:r>
    </w:p>
    <w:p>
      <w:pPr>
        <w:pStyle w:val="ManualNumPar1"/>
        <w:rPr>
          <w:noProof/>
        </w:rPr>
      </w:pPr>
      <w:r>
        <w:t>2.</w:t>
      </w:r>
      <w:r>
        <w:tab/>
      </w:r>
      <w:r>
        <w:rPr>
          <w:noProof/>
        </w:rPr>
        <w:t>Комисията прави публично достъпен списъка на органите, нотифицирани съгласно настоящия регламент, включително идентификационните номера, които са им присвоени, както и дейностите, за които са нотифицирани.</w:t>
      </w:r>
    </w:p>
    <w:p>
      <w:pPr>
        <w:pStyle w:val="Text1"/>
        <w:rPr>
          <w:noProof/>
        </w:rPr>
      </w:pPr>
      <w:r>
        <w:rPr>
          <w:noProof/>
        </w:rPr>
        <w:t>Комисията осигурява актуализирането на списъка.</w:t>
      </w:r>
    </w:p>
    <w:p>
      <w:pPr>
        <w:pStyle w:val="Titrearticle"/>
        <w:rPr>
          <w:b/>
          <w:i w:val="0"/>
          <w:noProof/>
        </w:rPr>
      </w:pPr>
      <w:r>
        <w:rPr>
          <w:noProof/>
        </w:rPr>
        <w:t>Член 29</w:t>
      </w:r>
      <w:r>
        <w:rPr>
          <w:noProof/>
        </w:rPr>
        <w:br/>
      </w:r>
      <w:r>
        <w:rPr>
          <w:b/>
          <w:i w:val="0"/>
          <w:noProof/>
        </w:rPr>
        <w:t>Промени в нотификацията</w:t>
      </w:r>
    </w:p>
    <w:p>
      <w:pPr>
        <w:pStyle w:val="ManualNumPar1"/>
        <w:rPr>
          <w:noProof/>
        </w:rPr>
      </w:pPr>
      <w:r>
        <w:t>1.</w:t>
      </w:r>
      <w:r>
        <w:tab/>
      </w:r>
      <w:r>
        <w:rPr>
          <w:noProof/>
        </w:rPr>
        <w:t>Когато нотифициращият орган се е уверил или е бил информиран, че даден нотифициран орган вече не отговаря на изискванията, установени в член 23, или че не изпълнява задълженията си, нотифициращият орган ограничава, спира временно действието или оттегля нотификацията, според случая, в зависимост от сериозността на неспазването на тези изисквания или на неизпълнението на задълженията. Той незабавно информира Комисията и другите държави членки за това.</w:t>
      </w:r>
    </w:p>
    <w:p>
      <w:pPr>
        <w:pStyle w:val="ManualNumPar1"/>
        <w:rPr>
          <w:noProof/>
        </w:rPr>
      </w:pPr>
      <w:r>
        <w:t>2.</w:t>
      </w:r>
      <w:r>
        <w:tab/>
      </w:r>
      <w:r>
        <w:rPr>
          <w:noProof/>
        </w:rPr>
        <w:t>В случай на ограничаване, спиране на действието или оттегляне на нотификацията или в случай че нотифицираният орган преустанови дейността си, нотифициращата държава членка предприема подходящите стъпки, за да гарантира, че досиетата на този орган се обработват от друг нотифициран орган или се съхраняват на разположение на отговорните нотифициращи органи и на органите за надзор на пазара, при искане от тяхна страна.</w:t>
      </w:r>
    </w:p>
    <w:p>
      <w:pPr>
        <w:pStyle w:val="Titrearticle"/>
        <w:rPr>
          <w:b/>
          <w:i w:val="0"/>
          <w:noProof/>
        </w:rPr>
      </w:pPr>
      <w:r>
        <w:rPr>
          <w:noProof/>
        </w:rPr>
        <w:t>Член 30</w:t>
      </w:r>
      <w:r>
        <w:rPr>
          <w:noProof/>
        </w:rPr>
        <w:br/>
      </w:r>
      <w:r>
        <w:rPr>
          <w:b/>
          <w:i w:val="0"/>
          <w:noProof/>
        </w:rPr>
        <w:t>Оспорване на компетентността на нотифицирани органи</w:t>
      </w:r>
    </w:p>
    <w:p>
      <w:pPr>
        <w:pStyle w:val="ManualNumPar1"/>
        <w:rPr>
          <w:noProof/>
        </w:rPr>
      </w:pPr>
      <w:r>
        <w:t>1.</w:t>
      </w:r>
      <w:r>
        <w:tab/>
      </w:r>
      <w:r>
        <w:rPr>
          <w:noProof/>
        </w:rPr>
        <w:t>Комисията проучва всички случаи, за които изразява съмнения или за които пред нея са изразени съмнения относно компетентността на нотифицирания орган или относно продължаващото спазване от страна на нотифицирания орган на изискванията и възложените му отговорности.</w:t>
      </w:r>
    </w:p>
    <w:p>
      <w:pPr>
        <w:pStyle w:val="ManualNumPar1"/>
        <w:rPr>
          <w:noProof/>
        </w:rPr>
      </w:pPr>
      <w:r>
        <w:t>2.</w:t>
      </w:r>
      <w:r>
        <w:tab/>
      </w:r>
      <w:r>
        <w:rPr>
          <w:noProof/>
        </w:rPr>
        <w:t>Нотифициращата държава членка предоставя на Комисията, при поискване, цялата информация, свързана с основанията за нотификацията или за поддържане компетентността на съответния нотифициран орган.</w:t>
      </w:r>
    </w:p>
    <w:p>
      <w:pPr>
        <w:pStyle w:val="ManualNumPar1"/>
        <w:rPr>
          <w:noProof/>
        </w:rPr>
      </w:pPr>
      <w:r>
        <w:t>3.</w:t>
      </w:r>
      <w:r>
        <w:tab/>
      </w:r>
      <w:r>
        <w:rPr>
          <w:noProof/>
        </w:rPr>
        <w:t>Комисията гарантира цялата чувствителна информация, получена по време на тези проучвания, да бъде третирана като поверителна.</w:t>
      </w:r>
    </w:p>
    <w:p>
      <w:pPr>
        <w:pStyle w:val="ManualNumPar1"/>
        <w:rPr>
          <w:noProof/>
        </w:rPr>
      </w:pPr>
      <w:r>
        <w:t>4.</w:t>
      </w:r>
      <w:r>
        <w:tab/>
      </w:r>
      <w:r>
        <w:rPr>
          <w:noProof/>
        </w:rPr>
        <w:t>Когато Комисията се увери, че нотифициран орган не отговаря или е престанал да отговаря на изискванията за нотифицирането му, тя приема акт за изпълнение, с който от нотифициращата държава членка се изисква да предприеме необходимите коригиращи мерки, включително, ако е необходимо, оттегляне на нотификацията.</w:t>
      </w:r>
    </w:p>
    <w:p>
      <w:pPr>
        <w:pStyle w:val="Text1"/>
        <w:rPr>
          <w:noProof/>
        </w:rPr>
      </w:pPr>
      <w:r>
        <w:rPr>
          <w:noProof/>
        </w:rPr>
        <w:t>Този акт за изпълнение се приема в съответствие с процедурата по консултиране, посочена в член 41, параграф 2.</w:t>
      </w:r>
    </w:p>
    <w:p>
      <w:pPr>
        <w:pStyle w:val="Titrearticle"/>
        <w:rPr>
          <w:b/>
          <w:i w:val="0"/>
          <w:noProof/>
        </w:rPr>
      </w:pPr>
      <w:r>
        <w:rPr>
          <w:noProof/>
        </w:rPr>
        <w:t>Член 31</w:t>
      </w:r>
      <w:r>
        <w:rPr>
          <w:noProof/>
        </w:rPr>
        <w:br/>
      </w:r>
      <w:r>
        <w:rPr>
          <w:b/>
          <w:i w:val="0"/>
          <w:noProof/>
        </w:rPr>
        <w:t>Задължения на нотифицираните органи при осъществяване на дейността им</w:t>
      </w:r>
    </w:p>
    <w:p>
      <w:pPr>
        <w:pStyle w:val="ManualNumPar1"/>
        <w:rPr>
          <w:noProof/>
        </w:rPr>
      </w:pPr>
      <w:r>
        <w:t>1.</w:t>
      </w:r>
      <w:r>
        <w:tab/>
      </w:r>
      <w:r>
        <w:rPr>
          <w:noProof/>
        </w:rPr>
        <w:t>Нотифицираните органи извършват оценяване на съответствието съгласно процедурите за оценяване на съответствието, предвидени в приложение IV.</w:t>
      </w:r>
    </w:p>
    <w:p>
      <w:pPr>
        <w:pStyle w:val="ManualNumPar1"/>
        <w:rPr>
          <w:noProof/>
        </w:rPr>
      </w:pPr>
      <w:r>
        <w:t>2.</w:t>
      </w:r>
      <w:r>
        <w:tab/>
      </w:r>
      <w:r>
        <w:rPr>
          <w:noProof/>
        </w:rPr>
        <w:t>Оценяването на съответствието се осъществява по пропорционален начин, като се избягва ненужната тежест за икономическите оператори. Нотифицираните органи осъществяват дейностите си, като надлежно отчитат размера на дадено предприятие, отрасъла, в който то осъществява дейността си, неговата структура, степента на сложност на съответната технология на продукта и масовия или серийния характер на производството.</w:t>
      </w:r>
    </w:p>
    <w:p>
      <w:pPr>
        <w:pStyle w:val="Text1"/>
        <w:rPr>
          <w:noProof/>
        </w:rPr>
      </w:pPr>
      <w:r>
        <w:rPr>
          <w:noProof/>
        </w:rPr>
        <w:t>Като правят това, те все пак спазват степента на взискателност и нивото на защита, изисквани за съответствието на продукта, маркиран с маркировката „СЕ“, с разпоредбите на настоящия регламент.</w:t>
      </w:r>
    </w:p>
    <w:p>
      <w:pPr>
        <w:pStyle w:val="ManualNumPar1"/>
        <w:rPr>
          <w:noProof/>
        </w:rPr>
      </w:pPr>
      <w:r>
        <w:t>3.</w:t>
      </w:r>
      <w:r>
        <w:tab/>
      </w:r>
      <w:r>
        <w:rPr>
          <w:noProof/>
        </w:rPr>
        <w:t>Когато нотифицираният орган прецени, че определен производител не е изпълнил изискванията, установени в приложения I, II или III, или в съответстващите хармонизирани стандарти, общи спецификации, посочени в член 13, или други технически спецификации, той изисква от този производител да предприеме подходящите коригиращи мерки и не издава сертификат.</w:t>
      </w:r>
    </w:p>
    <w:p>
      <w:pPr>
        <w:pStyle w:val="ManualNumPar1"/>
        <w:rPr>
          <w:noProof/>
        </w:rPr>
      </w:pPr>
      <w:r>
        <w:t>4.</w:t>
      </w:r>
      <w:r>
        <w:tab/>
      </w:r>
      <w:r>
        <w:rPr>
          <w:noProof/>
        </w:rPr>
        <w:t>Когато в процеса на наблюдение на съответствието след издаването на сертификата нотифицираният орган установи, че даден продукт за наторяване, маркиран с маркировката „СЕ“, вече не отговаря на изискванията, той изисква от производителя да предприеме подходящи коригиращи мерки и спира временно действието или отнема сертификата, ако това се налага.</w:t>
      </w:r>
    </w:p>
    <w:p>
      <w:pPr>
        <w:pStyle w:val="ManualNumPar1"/>
        <w:rPr>
          <w:noProof/>
        </w:rPr>
      </w:pPr>
      <w:r>
        <w:t>5.</w:t>
      </w:r>
      <w:r>
        <w:tab/>
      </w:r>
      <w:r>
        <w:rPr>
          <w:noProof/>
        </w:rPr>
        <w:t>Ако не са предприети коригиращи мерки или те не дадат необходимия резултат, нотифицираният орган ограничава, спира временно действието или отнема всякакви сертификати, в зависимост от случая.</w:t>
      </w:r>
    </w:p>
    <w:p>
      <w:pPr>
        <w:pStyle w:val="Titrearticle"/>
        <w:rPr>
          <w:b/>
          <w:i w:val="0"/>
          <w:noProof/>
        </w:rPr>
      </w:pPr>
      <w:r>
        <w:rPr>
          <w:noProof/>
        </w:rPr>
        <w:t>Член 32</w:t>
      </w:r>
      <w:r>
        <w:rPr>
          <w:noProof/>
        </w:rPr>
        <w:br/>
      </w:r>
      <w:r>
        <w:rPr>
          <w:b/>
          <w:i w:val="0"/>
          <w:noProof/>
        </w:rPr>
        <w:t>Обжалване на решенията на нотифицираните органи</w:t>
      </w:r>
    </w:p>
    <w:p>
      <w:pPr>
        <w:pStyle w:val="Text1"/>
        <w:rPr>
          <w:noProof/>
        </w:rPr>
      </w:pPr>
      <w:r>
        <w:rPr>
          <w:noProof/>
        </w:rPr>
        <w:t>Държавите членки гарантират, че съществува процедура за обжалване на решенията на нотифицираните органи.</w:t>
      </w:r>
    </w:p>
    <w:p>
      <w:pPr>
        <w:pStyle w:val="Titrearticle"/>
        <w:rPr>
          <w:b/>
          <w:i w:val="0"/>
          <w:noProof/>
        </w:rPr>
      </w:pPr>
      <w:r>
        <w:rPr>
          <w:noProof/>
        </w:rPr>
        <w:t>Член 33</w:t>
      </w:r>
      <w:r>
        <w:rPr>
          <w:noProof/>
        </w:rPr>
        <w:br/>
      </w:r>
      <w:r>
        <w:rPr>
          <w:b/>
          <w:i w:val="0"/>
          <w:noProof/>
        </w:rPr>
        <w:t>Задължения на нотифицираните органи за предоставяне на информация</w:t>
      </w:r>
    </w:p>
    <w:p>
      <w:pPr>
        <w:pStyle w:val="ManualNumPar1"/>
        <w:rPr>
          <w:noProof/>
        </w:rPr>
      </w:pPr>
      <w:r>
        <w:t>1.</w:t>
      </w:r>
      <w:r>
        <w:tab/>
      </w:r>
      <w:r>
        <w:rPr>
          <w:noProof/>
        </w:rPr>
        <w:t>Нотифицираните органи информират нотифициращия орган за следното:</w:t>
      </w:r>
    </w:p>
    <w:p>
      <w:pPr>
        <w:pStyle w:val="Point1"/>
        <w:rPr>
          <w:noProof/>
        </w:rPr>
      </w:pPr>
      <w:r>
        <w:rPr>
          <w:noProof/>
        </w:rPr>
        <w:t>а)</w:t>
      </w:r>
      <w:r>
        <w:rPr>
          <w:noProof/>
        </w:rPr>
        <w:tab/>
        <w:t>всеки отказ, ограничаване, временно спиране на действието или отнемане на сертификат;</w:t>
      </w:r>
    </w:p>
    <w:p>
      <w:pPr>
        <w:pStyle w:val="Point1"/>
        <w:rPr>
          <w:noProof/>
        </w:rPr>
      </w:pPr>
      <w:r>
        <w:rPr>
          <w:noProof/>
        </w:rPr>
        <w:t>б)</w:t>
      </w:r>
      <w:r>
        <w:rPr>
          <w:noProof/>
        </w:rPr>
        <w:tab/>
        <w:t>всякакви обстоятелства, които влияят върху обхвата или условията за нотифициране;</w:t>
      </w:r>
    </w:p>
    <w:p>
      <w:pPr>
        <w:pStyle w:val="Point1"/>
        <w:rPr>
          <w:noProof/>
        </w:rPr>
      </w:pPr>
      <w:r>
        <w:rPr>
          <w:noProof/>
        </w:rPr>
        <w:t>в)</w:t>
      </w:r>
      <w:r>
        <w:rPr>
          <w:noProof/>
        </w:rPr>
        <w:tab/>
        <w:t>всички искания за получаване на информация, които са получили от органите за надзор на пазара относно дейности по оценяване на съответствието;</w:t>
      </w:r>
    </w:p>
    <w:p>
      <w:pPr>
        <w:pStyle w:val="Point1"/>
        <w:rPr>
          <w:noProof/>
        </w:rPr>
      </w:pPr>
      <w:r>
        <w:rPr>
          <w:noProof/>
        </w:rPr>
        <w:t>г)</w:t>
      </w:r>
      <w:r>
        <w:rPr>
          <w:noProof/>
        </w:rPr>
        <w:tab/>
        <w:t>при поискване — дейностите по оценяване на съответствието, извършени в обхвата на тяхната нотификация, и всякакви други извършени дейности, включително презгранични, или възлагане на подизпълнители.</w:t>
      </w:r>
    </w:p>
    <w:p>
      <w:pPr>
        <w:pStyle w:val="ManualNumPar1"/>
        <w:rPr>
          <w:noProof/>
        </w:rPr>
      </w:pPr>
      <w:r>
        <w:t>2.</w:t>
      </w:r>
      <w:r>
        <w:tab/>
      </w:r>
      <w:r>
        <w:rPr>
          <w:noProof/>
        </w:rPr>
        <w:t>Нотифицираните органи предоставят на другите органи, нотифицирани съгласно настоящия регламент, осъществяващи подобни дейности по оценяване на съответствието, чийто предмет са същите продукти за наторяване, маркирани с маркировката „СЕ“, съответна информация по проблеми, свързани с отрицателни и, при поискване, положителни резултати от оценяване на съответствието.</w:t>
      </w:r>
    </w:p>
    <w:p>
      <w:pPr>
        <w:pStyle w:val="Titrearticle"/>
        <w:rPr>
          <w:b/>
          <w:i w:val="0"/>
          <w:noProof/>
        </w:rPr>
      </w:pPr>
      <w:r>
        <w:rPr>
          <w:noProof/>
        </w:rPr>
        <w:t>Член 34</w:t>
      </w:r>
      <w:r>
        <w:rPr>
          <w:noProof/>
        </w:rPr>
        <w:br/>
      </w:r>
      <w:r>
        <w:rPr>
          <w:b/>
          <w:i w:val="0"/>
          <w:noProof/>
        </w:rPr>
        <w:t>Обмен на опит</w:t>
      </w:r>
    </w:p>
    <w:p>
      <w:pPr>
        <w:rPr>
          <w:noProof/>
        </w:rPr>
      </w:pPr>
      <w:r>
        <w:rPr>
          <w:noProof/>
        </w:rPr>
        <w:t>Комисията създава организация за обмен на опит между националните органи на държавите членки, отговорни за политиката на нотификация.</w:t>
      </w:r>
    </w:p>
    <w:p>
      <w:pPr>
        <w:pStyle w:val="Titrearticle"/>
        <w:rPr>
          <w:b/>
          <w:i w:val="0"/>
          <w:noProof/>
        </w:rPr>
      </w:pPr>
      <w:r>
        <w:rPr>
          <w:noProof/>
        </w:rPr>
        <w:t>Член 35</w:t>
      </w:r>
      <w:r>
        <w:rPr>
          <w:noProof/>
        </w:rPr>
        <w:br/>
      </w:r>
      <w:r>
        <w:rPr>
          <w:b/>
          <w:i w:val="0"/>
          <w:noProof/>
        </w:rPr>
        <w:t>Координация на нотифицираните органи</w:t>
      </w:r>
    </w:p>
    <w:p>
      <w:pPr>
        <w:rPr>
          <w:noProof/>
        </w:rPr>
      </w:pPr>
      <w:r>
        <w:rPr>
          <w:noProof/>
        </w:rPr>
        <w:t>Комисията осигурява въвеждането и правилното функциониране на подходяща координация и сътрудничество между органите, нотифицирани съгласно настоящия регламент, под формата на секторна група от нотифицирани органи.</w:t>
      </w:r>
    </w:p>
    <w:p>
      <w:pPr>
        <w:rPr>
          <w:noProof/>
        </w:rPr>
      </w:pPr>
      <w:r>
        <w:rPr>
          <w:noProof/>
        </w:rPr>
        <w:t>Държавите членки осигуряват участието на нотифицираните от тях органи в работата на такава група пряко или чрез определени представители.</w:t>
      </w:r>
    </w:p>
    <w:p>
      <w:pPr>
        <w:pStyle w:val="ChapterTitle"/>
        <w:rPr>
          <w:noProof/>
        </w:rPr>
      </w:pPr>
      <w:r>
        <w:rPr>
          <w:b w:val="0"/>
          <w:caps/>
          <w:noProof/>
        </w:rPr>
        <w:t>Глава 5</w:t>
      </w:r>
      <w:r>
        <w:rPr>
          <w:b w:val="0"/>
          <w:caps/>
          <w:noProof/>
        </w:rPr>
        <w:br/>
      </w:r>
      <w:r>
        <w:rPr>
          <w:caps/>
          <w:noProof/>
        </w:rPr>
        <w:t>Надзор на пазара на Съюза, контрол върху продуктите за наторяване, маркирани с маркировката „СЕ“, които се въвеждат на пазара на Съюза, и предпазна процедура на Съюза</w:t>
      </w:r>
    </w:p>
    <w:p>
      <w:pPr>
        <w:pStyle w:val="Titrearticle"/>
        <w:rPr>
          <w:b/>
          <w:i w:val="0"/>
          <w:noProof/>
        </w:rPr>
      </w:pPr>
      <w:r>
        <w:rPr>
          <w:noProof/>
        </w:rPr>
        <w:t>Член 36</w:t>
      </w:r>
      <w:r>
        <w:rPr>
          <w:noProof/>
        </w:rPr>
        <w:br/>
      </w:r>
      <w:r>
        <w:rPr>
          <w:b/>
          <w:i w:val="0"/>
          <w:noProof/>
        </w:rPr>
        <w:t>Надзор на пазара на Съюза и контрол върху продуктите за наторяване, маркирани с маркировката „СЕ“, които се въвеждат на пазара на Съюза</w:t>
      </w:r>
    </w:p>
    <w:p>
      <w:pPr>
        <w:pStyle w:val="Text1"/>
        <w:rPr>
          <w:noProof/>
        </w:rPr>
      </w:pPr>
      <w:r>
        <w:rPr>
          <w:noProof/>
        </w:rPr>
        <w:t>Членове 16—29 от Регламент (ЕО) № 765/2008 се прилагат по отношение на продуктите за наторяване, маркирани с маркировката „СЕ“.</w:t>
      </w:r>
    </w:p>
    <w:p>
      <w:pPr>
        <w:pStyle w:val="Titrearticle"/>
        <w:rPr>
          <w:b/>
          <w:i w:val="0"/>
          <w:noProof/>
        </w:rPr>
      </w:pPr>
      <w:r>
        <w:rPr>
          <w:noProof/>
        </w:rPr>
        <w:t>Член 37</w:t>
      </w:r>
      <w:r>
        <w:rPr>
          <w:noProof/>
        </w:rPr>
        <w:br/>
      </w:r>
      <w:r>
        <w:rPr>
          <w:b/>
          <w:i w:val="0"/>
          <w:noProof/>
        </w:rPr>
        <w:t>Процедура при продукти, маркирани с маркировката „СЕ“, представляващи риск на национално равнище</w:t>
      </w:r>
    </w:p>
    <w:p>
      <w:pPr>
        <w:pStyle w:val="ManualNumPar1"/>
        <w:rPr>
          <w:noProof/>
        </w:rPr>
      </w:pPr>
      <w:r>
        <w:t>1.</w:t>
      </w:r>
      <w:r>
        <w:tab/>
      </w:r>
      <w:r>
        <w:rPr>
          <w:noProof/>
        </w:rPr>
        <w:t xml:space="preserve">Когато органите за надзор на пазара на дадена държава членка имат достатъчно основание да смятат, че даден продукт за наторяване, маркиран с маркировката „СЕ“, представлява неприемлив риск за здравето на човека, животните и растенията, за безопасността или за околната среда, те извършат оценяване по отношение на въпросния продукт за наторяване, което обхваща изискванията, установени в настоящия регламент. За тази цел съответните икономически оператори сътрудничат на органите за надзор на пазара с всякакви необходими средства. </w:t>
      </w:r>
    </w:p>
    <w:p>
      <w:pPr>
        <w:pStyle w:val="Text1"/>
        <w:rPr>
          <w:noProof/>
        </w:rPr>
      </w:pPr>
      <w:r>
        <w:rPr>
          <w:noProof/>
        </w:rPr>
        <w:t>Когато в процеса на това оценяване органите за надзор на пазара открият, че за продукта за наторяване, маркиран с маркировката „СЕ“, не са спазени изискванията, определени в настоящия регламент, те без забавяне изискват от икономическия оператор да предприеме в разумен срок необходимите коригиращи действия, за да приведе продукта за наторяване в съответствие с тези изисквания или да изтегли продукта за наторяване от пазара, да го изземе, или да отстрани маркировката „СЕ“.</w:t>
      </w:r>
    </w:p>
    <w:p>
      <w:pPr>
        <w:pStyle w:val="Text1"/>
        <w:rPr>
          <w:noProof/>
        </w:rPr>
      </w:pPr>
      <w:r>
        <w:rPr>
          <w:noProof/>
        </w:rPr>
        <w:t>Органите за надзор на пазара информират съответния нотифициран орган за това.</w:t>
      </w:r>
    </w:p>
    <w:p>
      <w:pPr>
        <w:pStyle w:val="Text1"/>
        <w:rPr>
          <w:noProof/>
        </w:rPr>
      </w:pPr>
      <w:r>
        <w:rPr>
          <w:noProof/>
        </w:rPr>
        <w:t>Член 21 от Регламент (ЕО) № 765/2008 се прилага спрямо посочените във втора алинея мерки.</w:t>
      </w:r>
    </w:p>
    <w:p>
      <w:pPr>
        <w:pStyle w:val="ManualNumPar1"/>
        <w:rPr>
          <w:noProof/>
        </w:rPr>
      </w:pPr>
      <w:r>
        <w:t>2.</w:t>
      </w:r>
      <w:r>
        <w:tab/>
      </w:r>
      <w:r>
        <w:rPr>
          <w:noProof/>
        </w:rPr>
        <w:t>В случаите, в които органите за надзор на пазара смятат, че несъответствието не се ограничава само до националната територия, те информират Комисията и другите държави членки за резултатите от оценката и действията, които те са изискали от икономическия оператор да предприеме.</w:t>
      </w:r>
    </w:p>
    <w:p>
      <w:pPr>
        <w:pStyle w:val="ManualNumPar1"/>
        <w:rPr>
          <w:noProof/>
        </w:rPr>
      </w:pPr>
      <w:r>
        <w:t>3.</w:t>
      </w:r>
      <w:r>
        <w:tab/>
      </w:r>
      <w:r>
        <w:rPr>
          <w:noProof/>
        </w:rPr>
        <w:t xml:space="preserve">Икономическият оператор гарантира, че са предприети всички подходящи коригиращи действия по отношение на всички продукти за наторяване, маркирани с маркировката „СЕ“, които той е предоставил на пазара в целия Съюз. </w:t>
      </w:r>
    </w:p>
    <w:p>
      <w:pPr>
        <w:pStyle w:val="ManualNumPar1"/>
        <w:rPr>
          <w:noProof/>
        </w:rPr>
      </w:pPr>
      <w:r>
        <w:t>4.</w:t>
      </w:r>
      <w:r>
        <w:tab/>
      </w:r>
      <w:r>
        <w:rPr>
          <w:noProof/>
        </w:rPr>
        <w:t>Когато съответният икономически оператор не предприеме подходящи коригиращи действия в посочения в параграф 1, втора алинея срок, органите за надзор на пазара предприемат всички подходящи временни мерки за забрана или ограничаване на предоставянето на маркирания с маркировката „СЕ“ продукт за наторяване на националния им пазар, за изтегляне на продукта от този пазар или за неговото изземване.</w:t>
      </w:r>
    </w:p>
    <w:p>
      <w:pPr>
        <w:pStyle w:val="Text1"/>
        <w:rPr>
          <w:noProof/>
        </w:rPr>
      </w:pPr>
      <w:r>
        <w:rPr>
          <w:noProof/>
        </w:rPr>
        <w:t>Органите за надзор на пазара незабавно информират Комисията и другите държави членки за тези мерки.</w:t>
      </w:r>
    </w:p>
    <w:p>
      <w:pPr>
        <w:pStyle w:val="ManualNumPar1"/>
        <w:rPr>
          <w:noProof/>
        </w:rPr>
      </w:pPr>
      <w:r>
        <w:t>5.</w:t>
      </w:r>
      <w:r>
        <w:tab/>
      </w:r>
      <w:r>
        <w:rPr>
          <w:noProof/>
        </w:rPr>
        <w:t>Информацията, посочена в параграф 4, втора алинея, включва всички налични подробни данни, по-специално данните, необходими за идентифицирането на несъответстващия продукт за наторяване, маркиран с маркировката „СЕ“, произхода на този продукт за наторяване, естеството на твърдяното несъответствие и съпътстващия риск, естеството и продължителността на предприетите на национално равнище мерки, както и аргументите, изтъкнати от съответния икономически оператор. По-специално, органите за надзор на пазара посочват дали несъответствието се дължи на някоя от следните причини:</w:t>
      </w:r>
    </w:p>
    <w:p>
      <w:pPr>
        <w:pStyle w:val="Point1"/>
        <w:rPr>
          <w:noProof/>
        </w:rPr>
      </w:pPr>
      <w:r>
        <w:rPr>
          <w:noProof/>
        </w:rPr>
        <w:t>а)</w:t>
      </w:r>
      <w:r>
        <w:rPr>
          <w:noProof/>
        </w:rPr>
        <w:tab/>
        <w:t xml:space="preserve">несъответствие на продукта за наторяване, маркиран с маркировката „СЕ“,  с изискванията, установени в приложения I, II или III; </w:t>
      </w:r>
    </w:p>
    <w:p>
      <w:pPr>
        <w:pStyle w:val="Point1"/>
        <w:rPr>
          <w:noProof/>
        </w:rPr>
      </w:pPr>
      <w:r>
        <w:rPr>
          <w:noProof/>
        </w:rPr>
        <w:t>б)</w:t>
      </w:r>
      <w:r>
        <w:rPr>
          <w:noProof/>
        </w:rPr>
        <w:tab/>
        <w:t>недостатъци в хармонизираните стандарти, посочени в член 12, на които се основава презумпцията за съответствие.</w:t>
      </w:r>
    </w:p>
    <w:p>
      <w:pPr>
        <w:pStyle w:val="ManualNumPar1"/>
        <w:rPr>
          <w:noProof/>
        </w:rPr>
      </w:pPr>
      <w:r>
        <w:t>6.</w:t>
      </w:r>
      <w:r>
        <w:tab/>
      </w:r>
      <w:r>
        <w:rPr>
          <w:noProof/>
        </w:rPr>
        <w:t>Държавите членки, различни от  държавата членка, започнала процедурата по настоящия член, информират без забавяне Комисията и другите държави членки за всички приети мерки и за всяка допълнителна информация, с която разполагат и която е свързана с несъответствието на засегнатия продукт за наторяване, маркиран с маркировката „СЕ“, и — в случай на несъгласие с приетата национална мярка — за своите възражения.</w:t>
      </w:r>
    </w:p>
    <w:p>
      <w:pPr>
        <w:pStyle w:val="ManualNumPar1"/>
        <w:rPr>
          <w:noProof/>
        </w:rPr>
      </w:pPr>
      <w:r>
        <w:t>7.</w:t>
      </w:r>
      <w:r>
        <w:tab/>
      </w:r>
      <w:r>
        <w:rPr>
          <w:noProof/>
        </w:rPr>
        <w:t>Когато в срок от три месеца от получаването на информацията, посочена във втората алинея на параграф 4, не е повдигнато възражение нито от държава членка, нито от Комисията във връзка с временна мярка, предприета от държава членка, тази мярка се приема за обоснована.</w:t>
      </w:r>
    </w:p>
    <w:p>
      <w:pPr>
        <w:pStyle w:val="ManualNumPar1"/>
        <w:rPr>
          <w:noProof/>
        </w:rPr>
      </w:pPr>
      <w:r>
        <w:t>8.</w:t>
      </w:r>
      <w:r>
        <w:tab/>
      </w:r>
      <w:r>
        <w:rPr>
          <w:noProof/>
        </w:rPr>
        <w:t>Държавите членки гарантират, че по отношение на засегнатия продукт за наторяване, маркиран с маркировката „СЕ“, се предприемат без забавяне подходящи ограничителни мерки, като напр. изтегляне.</w:t>
      </w:r>
    </w:p>
    <w:p>
      <w:pPr>
        <w:pStyle w:val="Titrearticle"/>
        <w:rPr>
          <w:b/>
          <w:i w:val="0"/>
          <w:noProof/>
        </w:rPr>
      </w:pPr>
      <w:r>
        <w:rPr>
          <w:noProof/>
        </w:rPr>
        <w:t>Член 38</w:t>
      </w:r>
      <w:r>
        <w:rPr>
          <w:noProof/>
        </w:rPr>
        <w:br/>
      </w:r>
      <w:r>
        <w:rPr>
          <w:b/>
          <w:i w:val="0"/>
          <w:noProof/>
        </w:rPr>
        <w:t>Предпазна процедура на Съюза</w:t>
      </w:r>
    </w:p>
    <w:p>
      <w:pPr>
        <w:pStyle w:val="ManualNumPar1"/>
        <w:rPr>
          <w:noProof/>
        </w:rPr>
      </w:pPr>
      <w:r>
        <w:t>1.</w:t>
      </w:r>
      <w:r>
        <w:tab/>
      </w:r>
      <w:r>
        <w:rPr>
          <w:noProof/>
        </w:rPr>
        <w:t>Когато при приключването на процедурата, предвидена в член 37, параграфи 3 и 4, срещу дадена мярка на държава членка са повдигнати възражения, или когато Комисията прецени, че национална мярка противоречи на законодателството на Съюза, Комисията без забавяне започва консултации с държавите членки и със съответния(те) икономически оператор(и) и оценява националната мярка. На основата на резултатите от тази оценка Комисията приема акт за изпълнение под формата на решение, с който определя дали националната мярка е обоснована, или не.</w:t>
      </w:r>
    </w:p>
    <w:p>
      <w:pPr>
        <w:pStyle w:val="Text1"/>
        <w:rPr>
          <w:noProof/>
        </w:rPr>
      </w:pPr>
      <w:r>
        <w:rPr>
          <w:noProof/>
        </w:rPr>
        <w:t xml:space="preserve">Ако се прецени, че националната мярка е оправдана, с решението трябва да се разпореди всички държави членки да предприемат необходимите мерки, за да осигурят изтеглянето от своя пазар на несъответстващия продукт за наторяване, маркиран с маркировката „СЕ“, и да информират Комисията за това. </w:t>
      </w:r>
    </w:p>
    <w:p>
      <w:pPr>
        <w:pStyle w:val="Text1"/>
        <w:rPr>
          <w:noProof/>
        </w:rPr>
      </w:pPr>
      <w:r>
        <w:rPr>
          <w:noProof/>
        </w:rPr>
        <w:t>Ако се прецени, че националната мярка не е обоснована, с решението трябва да се разпореди съответната държава членка да оттегли тази мярка.</w:t>
      </w:r>
    </w:p>
    <w:p>
      <w:pPr>
        <w:pStyle w:val="Text1"/>
        <w:rPr>
          <w:noProof/>
        </w:rPr>
      </w:pPr>
      <w:r>
        <w:rPr>
          <w:noProof/>
        </w:rPr>
        <w:t>Адресати на решението на Комисията са всички държави членки, като Комисията го съобщава незабавно на тях и на съответния(те) икономически оператор(и).</w:t>
      </w:r>
    </w:p>
    <w:p>
      <w:pPr>
        <w:pStyle w:val="ManualNumPar1"/>
        <w:rPr>
          <w:noProof/>
        </w:rPr>
      </w:pPr>
      <w:r>
        <w:t>2.</w:t>
      </w:r>
      <w:r>
        <w:tab/>
      </w:r>
      <w:r>
        <w:rPr>
          <w:noProof/>
        </w:rPr>
        <w:t>Когато се прецени, че националната мярка е оправдана и несъответствието на продукта за наторяване, маркиран с маркировката „СЕ“, се дължи на недостатъци в хармонизираните стандарти, посочени в член 37, параграф 5, буква б), Комисията прилага процедурата, предвидена в член 11 от Регламент (ЕС) № 1025/2012.</w:t>
      </w:r>
    </w:p>
    <w:p>
      <w:pPr>
        <w:pStyle w:val="Titrearticle"/>
        <w:rPr>
          <w:b/>
          <w:i w:val="0"/>
          <w:noProof/>
        </w:rPr>
      </w:pPr>
      <w:r>
        <w:rPr>
          <w:noProof/>
        </w:rPr>
        <w:t>Член 39</w:t>
      </w:r>
      <w:r>
        <w:rPr>
          <w:noProof/>
        </w:rPr>
        <w:br/>
      </w:r>
      <w:r>
        <w:rPr>
          <w:b/>
          <w:i w:val="0"/>
          <w:noProof/>
        </w:rPr>
        <w:t>Съответстващи продукти за наторяване, маркирани с маркировката „СЕ“, които представляват риск</w:t>
      </w:r>
    </w:p>
    <w:p>
      <w:pPr>
        <w:pStyle w:val="ManualNumPar1"/>
        <w:rPr>
          <w:noProof/>
        </w:rPr>
      </w:pPr>
      <w:r>
        <w:t>1.</w:t>
      </w:r>
      <w:r>
        <w:tab/>
      </w:r>
      <w:r>
        <w:rPr>
          <w:noProof/>
        </w:rPr>
        <w:t>Когато държава членка, след като извърши оценката съгласно член 37, параграф 1, установи, че въпреки че маркиран с маркировката „СЕ“ продукт за наторяване е в съответствие с настоящия регламент, той представлява риск за здравето на човека, животните или растенията, за безопасността или за околната среда, тя изисква от съответния икономически оператор да предприеме в рамките на разумен срок всички подходящи мерки, за да гарантира, че когато засегнатият продукт за наторяване бъде пуснат на пазара, той повече няма представлява този риск, да изтегли продукта за наторяване от пазара или да го изземе.</w:t>
      </w:r>
    </w:p>
    <w:p>
      <w:pPr>
        <w:pStyle w:val="ManualNumPar1"/>
        <w:rPr>
          <w:noProof/>
        </w:rPr>
      </w:pPr>
      <w:r>
        <w:t>2.</w:t>
      </w:r>
      <w:r>
        <w:tab/>
      </w:r>
      <w:r>
        <w:rPr>
          <w:noProof/>
        </w:rPr>
        <w:t>Икономическият оператор гарантира, че са предприети коригиращи действия по отношение на всички засегнати продукти за наторяване, маркирани с маркировката „СЕ“, които той/тя е предоставил/а на пазара в целия Съюз.</w:t>
      </w:r>
    </w:p>
    <w:p>
      <w:pPr>
        <w:pStyle w:val="ManualNumPar1"/>
        <w:rPr>
          <w:noProof/>
        </w:rPr>
      </w:pPr>
      <w:r>
        <w:t>3.</w:t>
      </w:r>
      <w:r>
        <w:tab/>
      </w:r>
      <w:r>
        <w:rPr>
          <w:noProof/>
        </w:rPr>
        <w:t>Държавата членка незабавно информира Комисията и другите държави членки. Тази информация включва всички налични подробни данни, по-специално данните, необходими за идентификацията на маркирания с маркировката „СЕ“ продукт за наторяване, произхода и веригата на доставка на продукта за наторяване, естеството на съпътстващия риск и естеството и продължителността на предприетите национални мерки.</w:t>
      </w:r>
    </w:p>
    <w:p>
      <w:pPr>
        <w:pStyle w:val="ManualNumPar1"/>
        <w:rPr>
          <w:noProof/>
        </w:rPr>
      </w:pPr>
      <w:r>
        <w:t>4.</w:t>
      </w:r>
      <w:r>
        <w:tab/>
      </w:r>
      <w:r>
        <w:rPr>
          <w:noProof/>
        </w:rPr>
        <w:t>Комисията без забавяне започва консултации с държавите членки и съответния(те) икономически оператор(и) и оценява предприетите на национално равнище мерки. На основата на резултатите от тази оценка Комисията приема акт за изпълнение под формата на решение, с който определя дали националната мярка е обоснована, или не, и когато е необходимо, разпорежда подходящи мерки.</w:t>
      </w:r>
    </w:p>
    <w:p>
      <w:pPr>
        <w:pStyle w:val="Text1"/>
        <w:rPr>
          <w:noProof/>
        </w:rPr>
      </w:pPr>
      <w:r>
        <w:rPr>
          <w:noProof/>
        </w:rPr>
        <w:t>Тези актове за изпълнение се приемат в съответствие с процедурата по разглеждане, посочена в член 41, параграф 3.</w:t>
      </w:r>
    </w:p>
    <w:p>
      <w:pPr>
        <w:pStyle w:val="Text1"/>
        <w:rPr>
          <w:noProof/>
        </w:rPr>
      </w:pPr>
      <w:r>
        <w:rPr>
          <w:noProof/>
        </w:rPr>
        <w:t>При надлежно обосновани императивни съображения по спешност във връзка с опазването на здравето на човека, животните или растенията, на безопасността или околната среда, Комисията приема актове за изпълнение с незабавно приложение в съответствие с процедурата, посочена в член 41, параграф 4.</w:t>
      </w:r>
    </w:p>
    <w:p>
      <w:pPr>
        <w:pStyle w:val="ManualNumPar1"/>
        <w:rPr>
          <w:noProof/>
        </w:rPr>
      </w:pPr>
      <w:r>
        <w:t>5.</w:t>
      </w:r>
      <w:r>
        <w:tab/>
      </w:r>
      <w:r>
        <w:rPr>
          <w:noProof/>
        </w:rPr>
        <w:t>Адресати на решението на Комисията са всички държави членки, като Комисията го съобщава незабавно на тях и на съответния(те) икономически оператор(и).</w:t>
      </w:r>
    </w:p>
    <w:p>
      <w:pPr>
        <w:pStyle w:val="Titrearticle"/>
        <w:rPr>
          <w:b/>
          <w:i w:val="0"/>
          <w:noProof/>
        </w:rPr>
      </w:pPr>
      <w:r>
        <w:rPr>
          <w:noProof/>
        </w:rPr>
        <w:t>Член 40</w:t>
      </w:r>
      <w:r>
        <w:rPr>
          <w:noProof/>
        </w:rPr>
        <w:br/>
      </w:r>
      <w:r>
        <w:rPr>
          <w:b/>
          <w:i w:val="0"/>
          <w:noProof/>
        </w:rPr>
        <w:t>Формално несъответствие</w:t>
      </w:r>
    </w:p>
    <w:p>
      <w:pPr>
        <w:pStyle w:val="ManualNumPar1"/>
        <w:rPr>
          <w:noProof/>
        </w:rPr>
      </w:pPr>
      <w:r>
        <w:t>1.</w:t>
      </w:r>
      <w:r>
        <w:tab/>
      </w:r>
      <w:r>
        <w:rPr>
          <w:noProof/>
        </w:rPr>
        <w:t>Без да се засяга член 37, когато държава членка направи една от следните констатации по отношение на продукт за наторяване, маркиран с маркировката „СЕ“, тя изисква от съответния икономически оператор да прекрати разглежданото несъответствие:</w:t>
      </w:r>
    </w:p>
    <w:p>
      <w:pPr>
        <w:pStyle w:val="Point1"/>
        <w:rPr>
          <w:noProof/>
        </w:rPr>
      </w:pPr>
      <w:r>
        <w:rPr>
          <w:noProof/>
        </w:rPr>
        <w:t>а)</w:t>
      </w:r>
      <w:r>
        <w:rPr>
          <w:noProof/>
        </w:rPr>
        <w:tab/>
        <w:t>маркировката „СЕ“ е нанесена в нарушение на член 30 от Регламент (ЕО) № 765/2008 или на член 17 от настоящия регламент;</w:t>
      </w:r>
    </w:p>
    <w:p>
      <w:pPr>
        <w:pStyle w:val="Point1"/>
        <w:rPr>
          <w:noProof/>
        </w:rPr>
      </w:pPr>
      <w:r>
        <w:rPr>
          <w:noProof/>
        </w:rPr>
        <w:t>б)</w:t>
      </w:r>
      <w:r>
        <w:rPr>
          <w:noProof/>
        </w:rPr>
        <w:tab/>
        <w:t>идентификационният номер на нотифицирания орган е нанесен в нарушение на член 17 или не е нанесен, когато това се изисква по член 17;</w:t>
      </w:r>
    </w:p>
    <w:p>
      <w:pPr>
        <w:pStyle w:val="Point1"/>
        <w:rPr>
          <w:noProof/>
        </w:rPr>
      </w:pPr>
      <w:r>
        <w:rPr>
          <w:noProof/>
        </w:rPr>
        <w:t>в)</w:t>
      </w:r>
      <w:r>
        <w:rPr>
          <w:noProof/>
        </w:rPr>
        <w:tab/>
        <w:t>декларацията за съответствие с изискванията на ЕС не придружава продукта за наторяване, маркиран с маркировката „СЕ“;</w:t>
      </w:r>
    </w:p>
    <w:p>
      <w:pPr>
        <w:pStyle w:val="Point1"/>
        <w:rPr>
          <w:noProof/>
        </w:rPr>
      </w:pPr>
      <w:r>
        <w:rPr>
          <w:noProof/>
        </w:rPr>
        <w:t>г)</w:t>
      </w:r>
      <w:r>
        <w:rPr>
          <w:noProof/>
        </w:rPr>
        <w:tab/>
        <w:t>декларацията за съответствие с изискванията на ЕС е неправилно съставена;</w:t>
      </w:r>
    </w:p>
    <w:p>
      <w:pPr>
        <w:pStyle w:val="Point1"/>
        <w:rPr>
          <w:noProof/>
        </w:rPr>
      </w:pPr>
      <w:r>
        <w:rPr>
          <w:noProof/>
        </w:rPr>
        <w:t>д)</w:t>
      </w:r>
      <w:r>
        <w:rPr>
          <w:noProof/>
        </w:rPr>
        <w:tab/>
        <w:t>техническата документация не е налице или не е пълна;</w:t>
      </w:r>
    </w:p>
    <w:p>
      <w:pPr>
        <w:pStyle w:val="Point1"/>
        <w:rPr>
          <w:noProof/>
        </w:rPr>
      </w:pPr>
      <w:r>
        <w:rPr>
          <w:noProof/>
        </w:rPr>
        <w:t>е)</w:t>
      </w:r>
      <w:r>
        <w:rPr>
          <w:noProof/>
        </w:rPr>
        <w:tab/>
        <w:t>информацията, посочена в член 6, параграф 6 или в член 8, параграф 3, липсва, не е вярна или е непълна;</w:t>
      </w:r>
    </w:p>
    <w:p>
      <w:pPr>
        <w:pStyle w:val="Point1"/>
        <w:rPr>
          <w:noProof/>
        </w:rPr>
      </w:pPr>
      <w:r>
        <w:rPr>
          <w:noProof/>
        </w:rPr>
        <w:t>ж)</w:t>
      </w:r>
      <w:r>
        <w:rPr>
          <w:noProof/>
        </w:rPr>
        <w:tab/>
        <w:t>не е изпълнено някое друго административно изискване, предвидено в член 6 или в член 8.</w:t>
      </w:r>
    </w:p>
    <w:p>
      <w:pPr>
        <w:pStyle w:val="ManualNumPar1"/>
        <w:rPr>
          <w:noProof/>
        </w:rPr>
      </w:pPr>
      <w:r>
        <w:t>2.</w:t>
      </w:r>
      <w:r>
        <w:tab/>
      </w:r>
      <w:r>
        <w:rPr>
          <w:noProof/>
        </w:rPr>
        <w:t>Когато несъответствието, посочено в параграф 1, продължи, съответната държава членка предприема всички подходящи мерки да ограничи или да забрани предоставянето на пазара на продукта за наторяване, маркиран с маркировката „СЕ“, или да осигури неговото изземване или изтегляне от пазара, или премахването на маркировката „СЕ“ от продукта.</w:t>
      </w:r>
    </w:p>
    <w:p>
      <w:pPr>
        <w:pStyle w:val="ChapterTitle"/>
        <w:rPr>
          <w:caps/>
          <w:noProof/>
        </w:rPr>
      </w:pPr>
      <w:r>
        <w:rPr>
          <w:b w:val="0"/>
          <w:caps/>
          <w:noProof/>
        </w:rPr>
        <w:t>Глава 6</w:t>
      </w:r>
      <w:r>
        <w:rPr>
          <w:noProof/>
        </w:rPr>
        <w:br/>
      </w:r>
      <w:r>
        <w:rPr>
          <w:caps/>
          <w:noProof/>
        </w:rPr>
        <w:t>Комитет и делегирани актове</w:t>
      </w:r>
    </w:p>
    <w:p>
      <w:pPr>
        <w:pStyle w:val="Titrearticle"/>
        <w:rPr>
          <w:b/>
          <w:i w:val="0"/>
          <w:noProof/>
        </w:rPr>
      </w:pPr>
      <w:r>
        <w:rPr>
          <w:noProof/>
        </w:rPr>
        <w:t>Член 41</w:t>
      </w:r>
      <w:r>
        <w:rPr>
          <w:noProof/>
        </w:rPr>
        <w:br/>
      </w:r>
      <w:r>
        <w:rPr>
          <w:b/>
          <w:i w:val="0"/>
          <w:noProof/>
        </w:rPr>
        <w:t>Процедура на комитет</w:t>
      </w:r>
    </w:p>
    <w:p>
      <w:pPr>
        <w:pStyle w:val="ManualNumPar1"/>
        <w:rPr>
          <w:noProof/>
        </w:rPr>
      </w:pPr>
      <w:r>
        <w:t>1.</w:t>
      </w:r>
      <w:r>
        <w:tab/>
      </w:r>
      <w:r>
        <w:rPr>
          <w:noProof/>
        </w:rPr>
        <w:t xml:space="preserve">Комисията се подпомага от Комитета по продуктите за наторяване. Този комитет е комитет по смисъла на Регламент (ЕС) № 182/2011. </w:t>
      </w:r>
    </w:p>
    <w:p>
      <w:pPr>
        <w:pStyle w:val="ManualNumPar1"/>
        <w:rPr>
          <w:noProof/>
        </w:rPr>
      </w:pPr>
      <w:r>
        <w:t>2.</w:t>
      </w:r>
      <w:r>
        <w:tab/>
      </w:r>
      <w:r>
        <w:rPr>
          <w:noProof/>
        </w:rPr>
        <w:t>При позоваване на настоящия параграф се прилага член 4 от Регламент (ЕС) № 182/2011.</w:t>
      </w:r>
    </w:p>
    <w:p>
      <w:pPr>
        <w:pStyle w:val="ManualNumPar1"/>
        <w:rPr>
          <w:noProof/>
        </w:rPr>
      </w:pPr>
      <w:r>
        <w:t>3.</w:t>
      </w:r>
      <w:r>
        <w:tab/>
      </w:r>
      <w:r>
        <w:rPr>
          <w:noProof/>
        </w:rPr>
        <w:t>При позоваване на настоящия параграф се прилага член 5 от Регламент (ЕС) № 182/2011.</w:t>
      </w:r>
    </w:p>
    <w:p>
      <w:pPr>
        <w:pStyle w:val="ManualNumPar1"/>
        <w:rPr>
          <w:noProof/>
        </w:rPr>
      </w:pPr>
      <w:r>
        <w:t>4.</w:t>
      </w:r>
      <w:r>
        <w:tab/>
      </w:r>
      <w:r>
        <w:rPr>
          <w:noProof/>
        </w:rPr>
        <w:t>При позоваване на настоящия параграф се прилага член 8 от Регламент (ЕС) № 182/2011 във връзка с член 5 от него.</w:t>
      </w:r>
    </w:p>
    <w:p>
      <w:pPr>
        <w:pStyle w:val="Titrearticle"/>
        <w:rPr>
          <w:b/>
          <w:i w:val="0"/>
          <w:noProof/>
        </w:rPr>
      </w:pPr>
      <w:r>
        <w:rPr>
          <w:noProof/>
        </w:rPr>
        <w:t>Член 42</w:t>
      </w:r>
      <w:r>
        <w:rPr>
          <w:noProof/>
        </w:rPr>
        <w:br/>
      </w:r>
      <w:r>
        <w:rPr>
          <w:b/>
          <w:i w:val="0"/>
          <w:noProof/>
        </w:rPr>
        <w:t>Изменения на приложенията</w:t>
      </w:r>
    </w:p>
    <w:p>
      <w:pPr>
        <w:pStyle w:val="ManualNumPar1"/>
        <w:rPr>
          <w:noProof/>
        </w:rPr>
      </w:pPr>
      <w:r>
        <w:t>1.</w:t>
      </w:r>
      <w:r>
        <w:tab/>
      </w:r>
      <w:r>
        <w:rPr>
          <w:noProof/>
        </w:rPr>
        <w:t>На Комисията се предоставя правомощието да приема делегирани актове в съответствие с член 43 с цел изменение на приложения I—IV за целите на адаптирането им към техническия прогрес и улесняването на достъпа до вътрешния пазар на продуктите за наторяване, маркирани с маркировката „СЕ“,</w:t>
      </w:r>
    </w:p>
    <w:p>
      <w:pPr>
        <w:pStyle w:val="Point1"/>
        <w:rPr>
          <w:noProof/>
        </w:rPr>
      </w:pPr>
      <w:r>
        <w:rPr>
          <w:noProof/>
        </w:rPr>
        <w:t>а)</w:t>
      </w:r>
      <w:r>
        <w:rPr>
          <w:noProof/>
        </w:rPr>
        <w:tab/>
        <w:t xml:space="preserve">които е вероятно да бъдат обект на значителна по обем търговия на вътрешния пазар, и </w:t>
      </w:r>
    </w:p>
    <w:p>
      <w:pPr>
        <w:pStyle w:val="Point1"/>
        <w:rPr>
          <w:noProof/>
        </w:rPr>
      </w:pPr>
      <w:r>
        <w:rPr>
          <w:noProof/>
        </w:rPr>
        <w:t>б)</w:t>
      </w:r>
      <w:r>
        <w:rPr>
          <w:noProof/>
        </w:rPr>
        <w:tab/>
        <w:t>за които има научни доказателства, че не представляват неприемлив риск за здравето на човека, животните или растенията, за безопасността или околната среда, както и че са достатъчно ефективни.</w:t>
      </w:r>
    </w:p>
    <w:p>
      <w:pPr>
        <w:pStyle w:val="ManualNumPar1"/>
        <w:rPr>
          <w:noProof/>
        </w:rPr>
      </w:pPr>
      <w:r>
        <w:t>2.</w:t>
      </w:r>
      <w:r>
        <w:tab/>
      </w:r>
      <w:r>
        <w:rPr>
          <w:noProof/>
        </w:rPr>
        <w:t>Когато Комисията изменя приложение II с цел да добави нови микроорганизми към категорията съставни материали за съответните микроорганизми в съответствие с параграф 1, тя трябва да действа на основание на следните данни:</w:t>
      </w:r>
    </w:p>
    <w:p>
      <w:pPr>
        <w:pStyle w:val="Point1"/>
        <w:rPr>
          <w:noProof/>
        </w:rPr>
      </w:pPr>
      <w:r>
        <w:rPr>
          <w:noProof/>
        </w:rPr>
        <w:t>а)</w:t>
      </w:r>
      <w:r>
        <w:rPr>
          <w:noProof/>
        </w:rPr>
        <w:tab/>
        <w:t>наименование на микроорганизма;</w:t>
      </w:r>
    </w:p>
    <w:p>
      <w:pPr>
        <w:pStyle w:val="Point1"/>
        <w:rPr>
          <w:noProof/>
        </w:rPr>
      </w:pPr>
      <w:r>
        <w:rPr>
          <w:noProof/>
        </w:rPr>
        <w:t>б)</w:t>
      </w:r>
      <w:r>
        <w:rPr>
          <w:noProof/>
        </w:rPr>
        <w:tab/>
        <w:t>таксономична класификация на микроорганизма;</w:t>
      </w:r>
    </w:p>
    <w:p>
      <w:pPr>
        <w:pStyle w:val="Point1"/>
        <w:rPr>
          <w:noProof/>
        </w:rPr>
      </w:pPr>
      <w:r>
        <w:rPr>
          <w:noProof/>
        </w:rPr>
        <w:t>в)</w:t>
      </w:r>
      <w:r>
        <w:rPr>
          <w:noProof/>
        </w:rPr>
        <w:tab/>
        <w:t>данни от минали периоди за безопасно производство и използване на микроорганизма;</w:t>
      </w:r>
    </w:p>
    <w:p>
      <w:pPr>
        <w:pStyle w:val="Point1"/>
        <w:rPr>
          <w:noProof/>
        </w:rPr>
      </w:pPr>
      <w:r>
        <w:rPr>
          <w:noProof/>
        </w:rPr>
        <w:t>г)</w:t>
      </w:r>
      <w:r>
        <w:rPr>
          <w:noProof/>
        </w:rPr>
        <w:tab/>
        <w:t>таксономична връзка с видове микроорганизми, които отговарят на изискванията за квалифицирана презумпция за безопасност, съгласно определението на Европейския орган за безопасност на храните;</w:t>
      </w:r>
    </w:p>
    <w:p>
      <w:pPr>
        <w:pStyle w:val="Point1"/>
        <w:rPr>
          <w:noProof/>
        </w:rPr>
      </w:pPr>
      <w:r>
        <w:rPr>
          <w:noProof/>
        </w:rPr>
        <w:t>д)</w:t>
      </w:r>
      <w:r>
        <w:rPr>
          <w:noProof/>
        </w:rPr>
        <w:tab/>
        <w:t>информация за остатъчните нива на токсини;</w:t>
      </w:r>
    </w:p>
    <w:p>
      <w:pPr>
        <w:pStyle w:val="Point1"/>
        <w:rPr>
          <w:noProof/>
        </w:rPr>
      </w:pPr>
      <w:r>
        <w:rPr>
          <w:noProof/>
        </w:rPr>
        <w:t>е)</w:t>
      </w:r>
      <w:r>
        <w:rPr>
          <w:noProof/>
        </w:rPr>
        <w:tab/>
        <w:t>информация за процеса на производство; както и</w:t>
      </w:r>
    </w:p>
    <w:p>
      <w:pPr>
        <w:pStyle w:val="Point1"/>
        <w:rPr>
          <w:noProof/>
        </w:rPr>
      </w:pPr>
      <w:r>
        <w:rPr>
          <w:noProof/>
        </w:rPr>
        <w:t>ж)</w:t>
      </w:r>
      <w:r>
        <w:rPr>
          <w:noProof/>
        </w:rPr>
        <w:tab/>
        <w:t>информация за идентичността на остатъчните междинни продукти или микробни метаболити в съставния материал.</w:t>
      </w:r>
    </w:p>
    <w:p>
      <w:pPr>
        <w:pStyle w:val="ManualNumPar1"/>
        <w:rPr>
          <w:noProof/>
        </w:rPr>
      </w:pPr>
      <w:r>
        <w:t>3.</w:t>
      </w:r>
      <w:r>
        <w:tab/>
      </w:r>
      <w:r>
        <w:rPr>
          <w:noProof/>
        </w:rPr>
        <w:t>Когато приема делегирани актове в съответствие с параграф 1, Комисията може да изменя категориите съставни материали, установени в приложение II, с цел да добавя странични животински продукти по смисъла на Регламент (ЕО) № 1069/2009 само когато за такива продукти е определена крайната точка в производствената верига в съответствие с процедурите, установени в посочения регламент.</w:t>
      </w:r>
    </w:p>
    <w:p>
      <w:pPr>
        <w:pStyle w:val="ManualNumPar1"/>
        <w:rPr>
          <w:noProof/>
        </w:rPr>
      </w:pPr>
      <w:r>
        <w:t>4.</w:t>
      </w:r>
      <w:r>
        <w:tab/>
      </w:r>
      <w:r>
        <w:rPr>
          <w:noProof/>
        </w:rPr>
        <w:t>На Комисията се предоставя също и правомощието да приема делегирани актове в съответствие с член 43, за да изменя приложения І—IV предвид на нови научни доказателства. Комисията използва тези правомощия, когато въз основата на оценка на риска се налага изменение с цел да се гарантира, че всеки продукт за наторяване, маркиран с маркировката „СЕ“, който отговаря на изискванията на настоящия регламент, при нормални условия на употреба не представлява неприемлив риск за здравето на човека, животните или растенията, за безопасността или за околната среда.</w:t>
      </w:r>
    </w:p>
    <w:p>
      <w:pPr>
        <w:pStyle w:val="Titrearticle"/>
        <w:rPr>
          <w:b/>
          <w:i w:val="0"/>
          <w:noProof/>
        </w:rPr>
      </w:pPr>
      <w:r>
        <w:rPr>
          <w:noProof/>
        </w:rPr>
        <w:t>Член 43</w:t>
      </w:r>
      <w:r>
        <w:rPr>
          <w:noProof/>
        </w:rPr>
        <w:br/>
      </w:r>
      <w:r>
        <w:rPr>
          <w:b/>
          <w:i w:val="0"/>
          <w:noProof/>
        </w:rP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Правомощието да приема делегирани актове, посочено в член 42, се предоставя на Комисията за срок от пет години, считано от  [Publications office, please insert the date of entry into force of this Regulation].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pStyle w:val="ManualNumPar1"/>
        <w:rPr>
          <w:noProof/>
        </w:rPr>
      </w:pPr>
      <w:r>
        <w:t>3.</w:t>
      </w:r>
      <w:r>
        <w:tab/>
      </w:r>
      <w:r>
        <w:rPr>
          <w:noProof/>
        </w:rPr>
        <w:t xml:space="preserve">Делегирането на правомощия, посочено в член 42, може да бъде оттеглено по всяко време от Европейския парламент или от Съвета. С решението за оттегляне се прекратява делегирането на правомощията, посочени в това решение.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 </w:t>
      </w:r>
    </w:p>
    <w:p>
      <w:pPr>
        <w:pStyle w:val="ManualNumPar1"/>
        <w:rPr>
          <w:noProof/>
        </w:rPr>
      </w:pPr>
      <w:r>
        <w:t>4.</w:t>
      </w:r>
      <w:r>
        <w:tab/>
      </w:r>
      <w:r>
        <w:rPr>
          <w:noProof/>
        </w:rPr>
        <w:t xml:space="preserve">Веднага след като приеме делегиран акт, Комисията нотифицира акта едновременно на Европейския парламент и на Съвета. </w:t>
      </w:r>
    </w:p>
    <w:p>
      <w:pPr>
        <w:pStyle w:val="ManualNumPar1"/>
        <w:rPr>
          <w:noProof/>
        </w:rPr>
      </w:pPr>
      <w:r>
        <w:t>5.</w:t>
      </w:r>
      <w:r>
        <w:tab/>
      </w:r>
      <w:r>
        <w:rPr>
          <w:noProof/>
        </w:rPr>
        <w:t>Делегиран акт, приет съгласно член 42,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ChapterTitle"/>
        <w:rPr>
          <w:caps/>
          <w:noProof/>
        </w:rPr>
      </w:pPr>
      <w:r>
        <w:rPr>
          <w:b w:val="0"/>
          <w:caps/>
          <w:noProof/>
        </w:rPr>
        <w:t>Глава 7</w:t>
      </w:r>
      <w:r>
        <w:rPr>
          <w:b w:val="0"/>
          <w:caps/>
          <w:noProof/>
        </w:rPr>
        <w:br/>
      </w:r>
      <w:r>
        <w:rPr>
          <w:caps/>
          <w:noProof/>
        </w:rPr>
        <w:t>Преходни и заключителни разпоредби</w:t>
      </w:r>
    </w:p>
    <w:p>
      <w:pPr>
        <w:pStyle w:val="Titrearticle"/>
        <w:rPr>
          <w:b/>
          <w:i w:val="0"/>
          <w:noProof/>
        </w:rPr>
      </w:pPr>
      <w:r>
        <w:rPr>
          <w:noProof/>
        </w:rPr>
        <w:t>Член 44</w:t>
      </w:r>
      <w:r>
        <w:rPr>
          <w:noProof/>
        </w:rPr>
        <w:br/>
      </w:r>
      <w:r>
        <w:rPr>
          <w:b/>
          <w:i w:val="0"/>
          <w:noProof/>
        </w:rPr>
        <w:t>Санкции</w:t>
      </w:r>
    </w:p>
    <w:p>
      <w:pPr>
        <w:pStyle w:val="Text1"/>
        <w:rPr>
          <w:noProof/>
        </w:rPr>
      </w:pPr>
      <w:r>
        <w:rPr>
          <w:noProof/>
        </w:rPr>
        <w:t>Държавите членки определят правилата относно санкциите, които се налагат за нарушения на настоящия регламент, и предприемат всички необходими мерки, за да гарантират тяхното прилагане. Предвидените санкции са ефективни, съразмерни и възпиращи. Държавите членки незабавно съобщават на Комисията тези правила и мерки и незабавно я уведомяват за всяко последващо изменение, което ги засяга.</w:t>
      </w:r>
    </w:p>
    <w:p>
      <w:pPr>
        <w:pStyle w:val="Titrearticle"/>
        <w:rPr>
          <w:noProof/>
        </w:rPr>
      </w:pPr>
      <w:r>
        <w:rPr>
          <w:noProof/>
        </w:rPr>
        <w:t>Член 45</w:t>
      </w:r>
      <w:r>
        <w:rPr>
          <w:noProof/>
        </w:rPr>
        <w:br/>
      </w:r>
      <w:r>
        <w:rPr>
          <w:b/>
          <w:i w:val="0"/>
          <w:noProof/>
        </w:rPr>
        <w:t>Изменение на Регламент (ЕО) № 1069/2009</w:t>
      </w:r>
    </w:p>
    <w:p>
      <w:pPr>
        <w:pStyle w:val="Text1"/>
        <w:rPr>
          <w:noProof/>
        </w:rPr>
      </w:pPr>
      <w:r>
        <w:rPr>
          <w:noProof/>
        </w:rPr>
        <w:t>В Регламент (ЕО) № 1069/2009 член 5 се изменя, както следва:</w:t>
      </w:r>
    </w:p>
    <w:p>
      <w:pPr>
        <w:pStyle w:val="Point1number"/>
        <w:numPr>
          <w:ilvl w:val="2"/>
          <w:numId w:val="47"/>
        </w:numPr>
        <w:rPr>
          <w:noProof/>
        </w:rPr>
      </w:pPr>
      <w:r>
        <w:rPr>
          <w:noProof/>
        </w:rPr>
        <w:t xml:space="preserve">в параграф 2 първа алинея се заменя със следното: </w:t>
      </w:r>
    </w:p>
    <w:p>
      <w:pPr>
        <w:pStyle w:val="Text2"/>
        <w:rPr>
          <w:noProof/>
        </w:rPr>
      </w:pPr>
      <w:r>
        <w:rPr>
          <w:noProof/>
        </w:rPr>
        <w:t>„За производните продукти, посочени в членове 32, 35 и 36, които вече не представляват значителен риск за общественото здраве или здравето на животните, може да бъде определена крайна точка в производствената верига, след която за тях повече не се прилагат изискванията на настоящия регламент.“;</w:t>
      </w:r>
    </w:p>
    <w:p>
      <w:pPr>
        <w:pStyle w:val="Point1number"/>
        <w:rPr>
          <w:noProof/>
        </w:rPr>
      </w:pPr>
      <w:r>
        <w:rPr>
          <w:noProof/>
        </w:rPr>
        <w:t xml:space="preserve">параграф 3 се заменя със следното: </w:t>
      </w:r>
    </w:p>
    <w:p>
      <w:pPr>
        <w:pStyle w:val="Text1"/>
        <w:ind w:left="2127" w:hanging="709"/>
        <w:rPr>
          <w:noProof/>
        </w:rPr>
      </w:pPr>
      <w:r>
        <w:rPr>
          <w:noProof/>
        </w:rPr>
        <w:t>„3.</w:t>
      </w:r>
      <w:r>
        <w:rPr>
          <w:noProof/>
        </w:rPr>
        <w:tab/>
        <w:t xml:space="preserve">В случай на риск за общественото здраве или здравето на животните, членове 53 и 54 от Регламент (ЕО) № 178/2002 относно извънредните мерки се прилагат </w:t>
      </w:r>
      <w:r>
        <w:rPr>
          <w:i/>
          <w:noProof/>
        </w:rPr>
        <w:t>mutatis mutandis</w:t>
      </w:r>
      <w:r>
        <w:rPr>
          <w:noProof/>
        </w:rPr>
        <w:t xml:space="preserve"> към производните продукти, посочени в членове 32, 33 и 36 от настоящия регламент.“</w:t>
      </w:r>
    </w:p>
    <w:p>
      <w:pPr>
        <w:pStyle w:val="Titrearticle"/>
        <w:rPr>
          <w:b/>
          <w:i w:val="0"/>
          <w:noProof/>
        </w:rPr>
      </w:pPr>
      <w:r>
        <w:rPr>
          <w:noProof/>
        </w:rPr>
        <w:t>Член 46</w:t>
      </w:r>
      <w:r>
        <w:rPr>
          <w:noProof/>
        </w:rPr>
        <w:br/>
      </w:r>
      <w:r>
        <w:rPr>
          <w:b/>
          <w:i w:val="0"/>
          <w:noProof/>
        </w:rPr>
        <w:t>Изменение на Регламент (ЕО) № 1107/2009</w:t>
      </w:r>
    </w:p>
    <w:p>
      <w:pPr>
        <w:pStyle w:val="Text1"/>
        <w:rPr>
          <w:noProof/>
        </w:rPr>
      </w:pPr>
      <w:r>
        <w:rPr>
          <w:noProof/>
        </w:rPr>
        <w:t>Регламент (ЕО) № 1107/2009 се изменя, както следва:</w:t>
      </w:r>
    </w:p>
    <w:p>
      <w:pPr>
        <w:pStyle w:val="Point1number"/>
        <w:numPr>
          <w:ilvl w:val="2"/>
          <w:numId w:val="48"/>
        </w:numPr>
        <w:rPr>
          <w:noProof/>
        </w:rPr>
      </w:pPr>
      <w:r>
        <w:rPr>
          <w:noProof/>
        </w:rPr>
        <w:t>Член 2, параграф 1, буква б) се заменя със следното:</w:t>
      </w:r>
    </w:p>
    <w:p>
      <w:pPr>
        <w:pStyle w:val="Text2"/>
        <w:rPr>
          <w:noProof/>
        </w:rPr>
      </w:pPr>
      <w:r>
        <w:rPr>
          <w:noProof/>
        </w:rPr>
        <w:t>„б)</w:t>
      </w:r>
      <w:r>
        <w:rPr>
          <w:noProof/>
        </w:rPr>
        <w:tab/>
        <w:t>оказване на влияние върху жизнените процеси на растенията, като например вещества, влияещи на растежа, различни от хранителни елементи или растителни биостимулатори;“</w:t>
      </w:r>
    </w:p>
    <w:p>
      <w:pPr>
        <w:pStyle w:val="Point1number"/>
        <w:rPr>
          <w:noProof/>
        </w:rPr>
      </w:pPr>
      <w:r>
        <w:rPr>
          <w:noProof/>
        </w:rPr>
        <w:t>в член 3 се добавя следната точка:</w:t>
      </w:r>
    </w:p>
    <w:p>
      <w:pPr>
        <w:pStyle w:val="Point1number"/>
        <w:rPr>
          <w:noProof/>
        </w:rPr>
      </w:pPr>
      <w:r>
        <w:rPr>
          <w:noProof/>
        </w:rPr>
        <w:t>„34.</w:t>
      </w:r>
      <w:r>
        <w:rPr>
          <w:noProof/>
        </w:rPr>
        <w:tab/>
        <w:t>„растителен биостимулатор“ е продукт, който стимулира процесите на хранене на растенията независимо от съдържанието на хранителни елементи в продукта с единствена цел да подобри една или повече от следните характеристики на растението:</w:t>
      </w:r>
    </w:p>
    <w:p>
      <w:pPr>
        <w:pStyle w:val="Point2"/>
        <w:rPr>
          <w:noProof/>
        </w:rPr>
      </w:pPr>
      <w:r>
        <w:rPr>
          <w:noProof/>
        </w:rPr>
        <w:t>а)</w:t>
      </w:r>
      <w:r>
        <w:rPr>
          <w:noProof/>
        </w:rPr>
        <w:tab/>
        <w:t>ефикасността на използване на хранителните елементи от страна на растението;</w:t>
      </w:r>
    </w:p>
    <w:p>
      <w:pPr>
        <w:pStyle w:val="Point2"/>
        <w:rPr>
          <w:noProof/>
        </w:rPr>
      </w:pPr>
      <w:r>
        <w:rPr>
          <w:noProof/>
        </w:rPr>
        <w:t>б)</w:t>
      </w:r>
      <w:r>
        <w:rPr>
          <w:noProof/>
        </w:rPr>
        <w:tab/>
        <w:t>поносимостта спрямо абиотичен стрес;</w:t>
      </w:r>
    </w:p>
    <w:p>
      <w:pPr>
        <w:pStyle w:val="Point2"/>
        <w:rPr>
          <w:noProof/>
        </w:rPr>
      </w:pPr>
      <w:r>
        <w:rPr>
          <w:noProof/>
        </w:rPr>
        <w:t>в)</w:t>
      </w:r>
      <w:r>
        <w:rPr>
          <w:noProof/>
        </w:rPr>
        <w:tab/>
        <w:t>качествените характеристики на културата.“</w:t>
      </w:r>
    </w:p>
    <w:p>
      <w:pPr>
        <w:pStyle w:val="Titrearticle"/>
        <w:rPr>
          <w:b/>
          <w:i w:val="0"/>
          <w:noProof/>
        </w:rPr>
      </w:pPr>
      <w:r>
        <w:rPr>
          <w:noProof/>
        </w:rPr>
        <w:t>Член 47</w:t>
      </w:r>
      <w:r>
        <w:rPr>
          <w:noProof/>
        </w:rPr>
        <w:br/>
      </w:r>
      <w:r>
        <w:rPr>
          <w:b/>
          <w:i w:val="0"/>
          <w:noProof/>
        </w:rPr>
        <w:t>Отмяна на Регламент (ЕО) № 2003/2003</w:t>
      </w:r>
    </w:p>
    <w:p>
      <w:pPr>
        <w:rPr>
          <w:noProof/>
        </w:rPr>
      </w:pPr>
      <w:r>
        <w:rPr>
          <w:noProof/>
        </w:rPr>
        <w:t>Регламент (ЕО) № 2003/2003 се отменя, считано от датата, посочена във втора алинея на член 49.</w:t>
      </w:r>
    </w:p>
    <w:p>
      <w:pPr>
        <w:rPr>
          <w:noProof/>
        </w:rPr>
      </w:pPr>
      <w:r>
        <w:rPr>
          <w:noProof/>
        </w:rPr>
        <w:t>Позоваванията на отменения регламент се разглеждат като позовавания на настоящия регламент.</w:t>
      </w:r>
    </w:p>
    <w:p>
      <w:pPr>
        <w:pStyle w:val="Titrearticle"/>
        <w:rPr>
          <w:b/>
          <w:i w:val="0"/>
          <w:noProof/>
        </w:rPr>
      </w:pPr>
      <w:r>
        <w:rPr>
          <w:noProof/>
        </w:rPr>
        <w:t>Член 48</w:t>
      </w:r>
      <w:r>
        <w:rPr>
          <w:noProof/>
        </w:rPr>
        <w:br/>
      </w:r>
      <w:r>
        <w:rPr>
          <w:b/>
          <w:i w:val="0"/>
          <w:noProof/>
        </w:rPr>
        <w:t>Преходни разпоредби</w:t>
      </w:r>
    </w:p>
    <w:p>
      <w:pPr>
        <w:rPr>
          <w:noProof/>
        </w:rPr>
      </w:pPr>
      <w:r>
        <w:rPr>
          <w:noProof/>
        </w:rPr>
        <w:t xml:space="preserve">Държавите членки не трябва да възпрепятстват предоставянето на пазара на продуктите, пуснати на пазара като торове с обозначение „ЕО тор“, в съответствие с Регламент (ЕО) № 2003/2003 преди [Publications office, please insert the date of application of this Regulation]. Към тези продукти обаче се прилага </w:t>
      </w:r>
      <w:r>
        <w:rPr>
          <w:i/>
          <w:noProof/>
        </w:rPr>
        <w:t>mutatis mutandis</w:t>
      </w:r>
      <w:r>
        <w:rPr>
          <w:noProof/>
        </w:rPr>
        <w:t xml:space="preserve"> глава 5.</w:t>
      </w:r>
    </w:p>
    <w:p>
      <w:pPr>
        <w:pStyle w:val="Titrearticle"/>
        <w:rPr>
          <w:noProof/>
        </w:rPr>
      </w:pPr>
      <w:r>
        <w:rPr>
          <w:noProof/>
        </w:rPr>
        <w:t>Член 49</w:t>
      </w:r>
      <w:r>
        <w:rPr>
          <w:noProof/>
        </w:rPr>
        <w:br/>
      </w:r>
      <w:r>
        <w:rPr>
          <w:b/>
          <w:i w:val="0"/>
          <w:noProof/>
        </w:rPr>
        <w:t>Влизане в сила и прилагане</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 xml:space="preserve">Той се прилага от 1 януари 2018 г. </w:t>
      </w: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r>
      <w:hyperlink r:id="rId1" w:history="1">
        <w:r>
          <w:rPr>
            <w:rStyle w:val="Hyperlink"/>
          </w:rPr>
          <w:t>http://ec.europa.eu/smart-regulation/evaluation/search/download.do?documentId=4416</w:t>
        </w:r>
      </w:hyperlink>
    </w:p>
  </w:footnote>
  <w:footnote w:id="2">
    <w:p>
      <w:pPr>
        <w:pStyle w:val="FootnoteText"/>
        <w:rPr>
          <w:lang w:val="ru-RU"/>
        </w:rPr>
      </w:pPr>
      <w:r>
        <w:rPr>
          <w:rStyle w:val="FootnoteReference"/>
        </w:rPr>
        <w:footnoteRef/>
      </w:r>
      <w:r>
        <w:rPr>
          <w:lang w:val="ru-RU"/>
        </w:rPr>
        <w:tab/>
      </w:r>
      <w:r>
        <w:t>COM</w:t>
      </w:r>
      <w:r>
        <w:rPr>
          <w:lang w:val="ru-RU"/>
        </w:rPr>
        <w:t>(2015) 614/2</w:t>
      </w:r>
    </w:p>
  </w:footnote>
  <w:footnote w:id="3">
    <w:p>
      <w:pPr>
        <w:pStyle w:val="FootnoteText"/>
        <w:rPr>
          <w:lang w:val="ru-RU"/>
        </w:rPr>
      </w:pPr>
      <w:r>
        <w:rPr>
          <w:rStyle w:val="FootnoteReference"/>
        </w:rPr>
        <w:footnoteRef/>
      </w:r>
      <w:r>
        <w:rPr>
          <w:lang w:val="ru-RU"/>
        </w:rPr>
        <w:tab/>
      </w:r>
      <w:r>
        <w:rPr>
          <w:rStyle w:val="FootnoteReference"/>
        </w:rPr>
        <w:footnoteRef/>
      </w:r>
      <w:r>
        <w:rPr>
          <w:lang w:val="ru-RU"/>
        </w:rPr>
        <w:t xml:space="preserve">ОВ </w:t>
      </w:r>
      <w:r>
        <w:t>L</w:t>
      </w:r>
      <w:r>
        <w:rPr>
          <w:lang w:val="ru-RU"/>
        </w:rPr>
        <w:t xml:space="preserve"> 300, 14.11.2009 г., стр.</w:t>
      </w:r>
      <w:r>
        <w:t> </w:t>
      </w:r>
      <w:r>
        <w:rPr>
          <w:lang w:val="ru-RU"/>
        </w:rPr>
        <w:t>1.</w:t>
      </w:r>
    </w:p>
  </w:footnote>
  <w:footnote w:id="4">
    <w:p>
      <w:pPr>
        <w:pStyle w:val="FootnoteText"/>
        <w:rPr>
          <w:lang w:val="ru-RU"/>
        </w:rPr>
      </w:pPr>
      <w:r>
        <w:rPr>
          <w:rStyle w:val="FootnoteReference"/>
        </w:rPr>
        <w:footnoteRef/>
      </w:r>
      <w:r>
        <w:rPr>
          <w:lang w:val="ru-RU"/>
        </w:rPr>
        <w:tab/>
      </w:r>
      <w:r>
        <w:rPr>
          <w:rStyle w:val="FootnoteReference"/>
        </w:rPr>
        <w:footnoteRef/>
      </w:r>
      <w:r>
        <w:rPr>
          <w:lang w:val="ru-RU"/>
        </w:rPr>
        <w:t xml:space="preserve">ОВ </w:t>
      </w:r>
      <w:r>
        <w:t>L</w:t>
      </w:r>
      <w:r>
        <w:rPr>
          <w:lang w:val="ru-RU"/>
        </w:rPr>
        <w:t xml:space="preserve"> 312, 22.11.2008 г., стр. 3.</w:t>
      </w:r>
    </w:p>
  </w:footnote>
  <w:footnote w:id="5">
    <w:p>
      <w:pPr>
        <w:pStyle w:val="FootnoteText"/>
        <w:rPr>
          <w:lang w:val="ru-RU"/>
        </w:rPr>
      </w:pPr>
      <w:r>
        <w:rPr>
          <w:rStyle w:val="FootnoteReference"/>
        </w:rPr>
        <w:footnoteRef/>
      </w:r>
      <w:r>
        <w:rPr>
          <w:lang w:val="ru-RU"/>
        </w:rPr>
        <w:tab/>
      </w:r>
      <w:r>
        <w:t>O</w:t>
      </w:r>
      <w:r>
        <w:rPr>
          <w:lang w:val="ru-RU"/>
        </w:rPr>
        <w:t xml:space="preserve">В </w:t>
      </w:r>
      <w:r>
        <w:t>L</w:t>
      </w:r>
      <w:r>
        <w:rPr>
          <w:lang w:val="ru-RU"/>
        </w:rPr>
        <w:t xml:space="preserve"> 396, 30.12. 2006</w:t>
      </w:r>
      <w:r>
        <w:t> </w:t>
      </w:r>
      <w:r>
        <w:rPr>
          <w:lang w:val="ru-RU"/>
        </w:rPr>
        <w:t>г., стр. 1.</w:t>
      </w:r>
    </w:p>
  </w:footnote>
  <w:footnote w:id="6">
    <w:p>
      <w:pPr>
        <w:pStyle w:val="FootnoteText"/>
        <w:rPr>
          <w:lang w:val="ru-RU"/>
        </w:rPr>
      </w:pPr>
      <w:r>
        <w:rPr>
          <w:rStyle w:val="FootnoteReference"/>
        </w:rPr>
        <w:footnoteRef/>
      </w:r>
      <w:r>
        <w:rPr>
          <w:lang w:val="ru-RU"/>
        </w:rPr>
        <w:tab/>
      </w:r>
      <w:hyperlink r:id="rId2">
        <w:r>
          <w:rPr>
            <w:rStyle w:val="Hyperlink"/>
          </w:rPr>
          <w:t>http</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research</w:t>
        </w:r>
        <w:r>
          <w:rPr>
            <w:rStyle w:val="Hyperlink"/>
            <w:lang w:val="ru-RU"/>
          </w:rPr>
          <w:t>/</w:t>
        </w:r>
        <w:r>
          <w:rPr>
            <w:rStyle w:val="Hyperlink"/>
          </w:rPr>
          <w:t>bioeconomy</w:t>
        </w:r>
        <w:r>
          <w:rPr>
            <w:rStyle w:val="Hyperlink"/>
            <w:lang w:val="ru-RU"/>
          </w:rPr>
          <w:t>/</w:t>
        </w:r>
        <w:r>
          <w:rPr>
            <w:rStyle w:val="Hyperlink"/>
          </w:rPr>
          <w:t>index</w:t>
        </w:r>
        <w:r>
          <w:rPr>
            <w:rStyle w:val="Hyperlink"/>
            <w:lang w:val="ru-RU"/>
          </w:rPr>
          <w:t>.</w:t>
        </w:r>
        <w:r>
          <w:rPr>
            <w:rStyle w:val="Hyperlink"/>
          </w:rPr>
          <w:t>cfm</w:t>
        </w:r>
      </w:hyperlink>
    </w:p>
  </w:footnote>
  <w:footnote w:id="7">
    <w:p>
      <w:pPr>
        <w:pStyle w:val="FootnoteText"/>
        <w:rPr>
          <w:lang w:val="ru-RU"/>
        </w:rPr>
      </w:pPr>
      <w:r>
        <w:rPr>
          <w:rStyle w:val="FootnoteReference"/>
        </w:rPr>
        <w:footnoteRef/>
      </w:r>
      <w:r>
        <w:rPr>
          <w:lang w:val="ru-RU"/>
        </w:rPr>
        <w:tab/>
      </w:r>
      <w:hyperlink r:id="rId3">
        <w:r>
          <w:rPr>
            <w:rStyle w:val="Hyperlink"/>
          </w:rPr>
          <w:t>http</w:t>
        </w:r>
        <w:r>
          <w:rPr>
            <w:rStyle w:val="Hyperlink"/>
            <w:lang w:val="ru-RU"/>
          </w:rPr>
          <w:t>://</w:t>
        </w:r>
        <w:r>
          <w:rPr>
            <w:rStyle w:val="Hyperlink"/>
          </w:rPr>
          <w:t>bbi</w:t>
        </w:r>
        <w:r>
          <w:rPr>
            <w:rStyle w:val="Hyperlink"/>
            <w:lang w:val="ru-RU"/>
          </w:rPr>
          <w:t>-</w:t>
        </w:r>
        <w:r>
          <w:rPr>
            <w:rStyle w:val="Hyperlink"/>
          </w:rPr>
          <w:t>europe</w:t>
        </w:r>
        <w:r>
          <w:rPr>
            <w:rStyle w:val="Hyperlink"/>
            <w:lang w:val="ru-RU"/>
          </w:rPr>
          <w:t>.</w:t>
        </w:r>
        <w:r>
          <w:rPr>
            <w:rStyle w:val="Hyperlink"/>
          </w:rPr>
          <w:t>eu</w:t>
        </w:r>
        <w:r>
          <w:rPr>
            <w:rStyle w:val="Hyperlink"/>
            <w:lang w:val="ru-RU"/>
          </w:rPr>
          <w:t>/</w:t>
        </w:r>
        <w:r>
          <w:rPr>
            <w:rStyle w:val="Hyperlink"/>
          </w:rPr>
          <w:t>sites</w:t>
        </w:r>
        <w:r>
          <w:rPr>
            <w:rStyle w:val="Hyperlink"/>
            <w:lang w:val="ru-RU"/>
          </w:rPr>
          <w:t>/</w:t>
        </w:r>
        <w:r>
          <w:rPr>
            <w:rStyle w:val="Hyperlink"/>
          </w:rPr>
          <w:t>default</w:t>
        </w:r>
        <w:r>
          <w:rPr>
            <w:rStyle w:val="Hyperlink"/>
            <w:lang w:val="ru-RU"/>
          </w:rPr>
          <w:t>/</w:t>
        </w:r>
        <w:r>
          <w:rPr>
            <w:rStyle w:val="Hyperlink"/>
          </w:rPr>
          <w:t>files</w:t>
        </w:r>
        <w:r>
          <w:rPr>
            <w:rStyle w:val="Hyperlink"/>
            <w:lang w:val="ru-RU"/>
          </w:rPr>
          <w:t>/</w:t>
        </w:r>
        <w:r>
          <w:rPr>
            <w:rStyle w:val="Hyperlink"/>
          </w:rPr>
          <w:t>documents</w:t>
        </w:r>
        <w:r>
          <w:rPr>
            <w:rStyle w:val="Hyperlink"/>
            <w:lang w:val="ru-RU"/>
          </w:rPr>
          <w:t>/</w:t>
        </w:r>
        <w:r>
          <w:rPr>
            <w:rStyle w:val="Hyperlink"/>
          </w:rPr>
          <w:t>BBI</w:t>
        </w:r>
        <w:r>
          <w:rPr>
            <w:rStyle w:val="Hyperlink"/>
            <w:lang w:val="ru-RU"/>
          </w:rPr>
          <w:t>_</w:t>
        </w:r>
        <w:r>
          <w:rPr>
            <w:rStyle w:val="Hyperlink"/>
          </w:rPr>
          <w:t>JU</w:t>
        </w:r>
        <w:r>
          <w:rPr>
            <w:rStyle w:val="Hyperlink"/>
            <w:lang w:val="ru-RU"/>
          </w:rPr>
          <w:t>_</w:t>
        </w:r>
        <w:r>
          <w:rPr>
            <w:rStyle w:val="Hyperlink"/>
          </w:rPr>
          <w:t>annual</w:t>
        </w:r>
        <w:r>
          <w:rPr>
            <w:rStyle w:val="Hyperlink"/>
            <w:lang w:val="ru-RU"/>
          </w:rPr>
          <w:t>_</w:t>
        </w:r>
        <w:r>
          <w:rPr>
            <w:rStyle w:val="Hyperlink"/>
          </w:rPr>
          <w:t>Work</w:t>
        </w:r>
        <w:r>
          <w:rPr>
            <w:rStyle w:val="Hyperlink"/>
            <w:lang w:val="ru-RU"/>
          </w:rPr>
          <w:t>_</w:t>
        </w:r>
        <w:r>
          <w:rPr>
            <w:rStyle w:val="Hyperlink"/>
          </w:rPr>
          <w:t>plan</w:t>
        </w:r>
        <w:r>
          <w:rPr>
            <w:rStyle w:val="Hyperlink"/>
            <w:lang w:val="ru-RU"/>
          </w:rPr>
          <w:t>_2014.</w:t>
        </w:r>
        <w:r>
          <w:rPr>
            <w:rStyle w:val="Hyperlink"/>
          </w:rPr>
          <w:t>pdf</w:t>
        </w:r>
      </w:hyperlink>
      <w:r>
        <w:rPr>
          <w:lang w:val="ru-RU"/>
        </w:rPr>
        <w:t xml:space="preserve"> </w:t>
      </w:r>
    </w:p>
  </w:footnote>
  <w:footnote w:id="8">
    <w:p>
      <w:pPr>
        <w:pStyle w:val="FootnoteText"/>
        <w:rPr>
          <w:lang w:val="ru-RU"/>
        </w:rPr>
      </w:pPr>
      <w:r>
        <w:rPr>
          <w:rStyle w:val="FootnoteReference"/>
        </w:rPr>
        <w:footnoteRef/>
      </w:r>
      <w:r>
        <w:rPr>
          <w:lang w:val="ru-RU"/>
        </w:rPr>
        <w:tab/>
        <w:t xml:space="preserve">Вж. раздел 4. </w:t>
      </w:r>
      <w:r>
        <w:rPr>
          <w:i/>
          <w:lang w:val="ru-RU"/>
        </w:rPr>
        <w:t>Заключения и препоръки</w:t>
      </w:r>
    </w:p>
  </w:footnote>
  <w:footnote w:id="9">
    <w:p>
      <w:pPr>
        <w:pStyle w:val="FootnoteText"/>
        <w:rPr>
          <w:lang w:val="ru-RU"/>
        </w:rPr>
      </w:pPr>
      <w:r>
        <w:rPr>
          <w:rStyle w:val="FootnoteReference"/>
        </w:rPr>
        <w:footnoteRef/>
      </w:r>
      <w:r>
        <w:rPr>
          <w:lang w:val="ru-RU"/>
        </w:rPr>
        <w:tab/>
        <w:t xml:space="preserve">За докладите за дейността от заседанията на тази група вж.: </w:t>
      </w:r>
      <w:hyperlink r:id="rId4">
        <w:r>
          <w:rPr>
            <w:rStyle w:val="Hyperlink"/>
          </w:rPr>
          <w:t>http</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transparency</w:t>
        </w:r>
        <w:r>
          <w:rPr>
            <w:rStyle w:val="Hyperlink"/>
            <w:lang w:val="ru-RU"/>
          </w:rPr>
          <w:t>/</w:t>
        </w:r>
        <w:r>
          <w:rPr>
            <w:rStyle w:val="Hyperlink"/>
          </w:rPr>
          <w:t>regexpert</w:t>
        </w:r>
        <w:r>
          <w:rPr>
            <w:rStyle w:val="Hyperlink"/>
            <w:lang w:val="ru-RU"/>
          </w:rPr>
          <w:t>/</w:t>
        </w:r>
        <w:r>
          <w:rPr>
            <w:rStyle w:val="Hyperlink"/>
          </w:rPr>
          <w:t>index</w:t>
        </w:r>
        <w:r>
          <w:rPr>
            <w:rStyle w:val="Hyperlink"/>
            <w:lang w:val="ru-RU"/>
          </w:rPr>
          <w:t>.</w:t>
        </w:r>
        <w:r>
          <w:rPr>
            <w:rStyle w:val="Hyperlink"/>
          </w:rPr>
          <w:t>cfm</w:t>
        </w:r>
        <w:r>
          <w:rPr>
            <w:rStyle w:val="Hyperlink"/>
            <w:lang w:val="ru-RU"/>
          </w:rPr>
          <w:t>?</w:t>
        </w:r>
        <w:r>
          <w:rPr>
            <w:rStyle w:val="Hyperlink"/>
          </w:rPr>
          <w:t>do</w:t>
        </w:r>
        <w:r>
          <w:rPr>
            <w:rStyle w:val="Hyperlink"/>
            <w:lang w:val="ru-RU"/>
          </w:rPr>
          <w:t>=</w:t>
        </w:r>
        <w:r>
          <w:rPr>
            <w:rStyle w:val="Hyperlink"/>
          </w:rPr>
          <w:t>groupDetail</w:t>
        </w:r>
        <w:r>
          <w:rPr>
            <w:rStyle w:val="Hyperlink"/>
            <w:lang w:val="ru-RU"/>
          </w:rPr>
          <w:t>.</w:t>
        </w:r>
        <w:r>
          <w:rPr>
            <w:rStyle w:val="Hyperlink"/>
          </w:rPr>
          <w:t>groupDetail</w:t>
        </w:r>
        <w:r>
          <w:rPr>
            <w:rStyle w:val="Hyperlink"/>
            <w:lang w:val="ru-RU"/>
          </w:rPr>
          <w:t>&amp;</w:t>
        </w:r>
        <w:r>
          <w:rPr>
            <w:rStyle w:val="Hyperlink"/>
          </w:rPr>
          <w:t>groupID</w:t>
        </w:r>
        <w:r>
          <w:rPr>
            <w:rStyle w:val="Hyperlink"/>
            <w:lang w:val="ru-RU"/>
          </w:rPr>
          <w:t>=1320&amp;</w:t>
        </w:r>
        <w:r>
          <w:rPr>
            <w:rStyle w:val="Hyperlink"/>
          </w:rPr>
          <w:t>NewSearch</w:t>
        </w:r>
        <w:r>
          <w:rPr>
            <w:rStyle w:val="Hyperlink"/>
            <w:lang w:val="ru-RU"/>
          </w:rPr>
          <w:t>=1&amp;</w:t>
        </w:r>
        <w:r>
          <w:rPr>
            <w:rStyle w:val="Hyperlink"/>
          </w:rPr>
          <w:t>NewSearch</w:t>
        </w:r>
        <w:r>
          <w:rPr>
            <w:rStyle w:val="Hyperlink"/>
            <w:lang w:val="ru-RU"/>
          </w:rPr>
          <w:t>=1</w:t>
        </w:r>
      </w:hyperlink>
      <w:r>
        <w:rPr>
          <w:lang w:val="ru-RU"/>
        </w:rPr>
        <w:t xml:space="preserve"> </w:t>
      </w:r>
    </w:p>
  </w:footnote>
  <w:footnote w:id="10">
    <w:p>
      <w:pPr>
        <w:pStyle w:val="FootnoteText"/>
        <w:rPr>
          <w:lang w:val="ru-RU"/>
        </w:rPr>
      </w:pPr>
      <w:r>
        <w:rPr>
          <w:rStyle w:val="FootnoteReference"/>
        </w:rPr>
        <w:footnoteRef/>
      </w:r>
      <w:r>
        <w:rPr>
          <w:lang w:val="ru-RU"/>
        </w:rPr>
        <w:tab/>
      </w:r>
      <w:r>
        <w:t>http</w:t>
      </w:r>
      <w:r>
        <w:rPr>
          <w:lang w:val="ru-RU"/>
        </w:rPr>
        <w:t>://</w:t>
      </w:r>
      <w:r>
        <w:t>ec</w:t>
      </w:r>
      <w:r>
        <w:rPr>
          <w:lang w:val="ru-RU"/>
        </w:rPr>
        <w:t>.</w:t>
      </w:r>
      <w:r>
        <w:t>europa</w:t>
      </w:r>
      <w:r>
        <w:rPr>
          <w:lang w:val="ru-RU"/>
        </w:rPr>
        <w:t>.</w:t>
      </w:r>
      <w:r>
        <w:t>eu</w:t>
      </w:r>
      <w:r>
        <w:rPr>
          <w:lang w:val="ru-RU"/>
        </w:rPr>
        <w:t>/</w:t>
      </w:r>
      <w:r>
        <w:t>environment</w:t>
      </w:r>
      <w:r>
        <w:rPr>
          <w:lang w:val="ru-RU"/>
        </w:rPr>
        <w:t>/</w:t>
      </w:r>
      <w:r>
        <w:t>consultations</w:t>
      </w:r>
      <w:r>
        <w:rPr>
          <w:lang w:val="ru-RU"/>
        </w:rPr>
        <w:t>/</w:t>
      </w:r>
      <w:r>
        <w:t>closing</w:t>
      </w:r>
      <w:r>
        <w:rPr>
          <w:lang w:val="ru-RU"/>
        </w:rPr>
        <w:t>_</w:t>
      </w:r>
      <w:r>
        <w:t>the</w:t>
      </w:r>
      <w:r>
        <w:rPr>
          <w:lang w:val="ru-RU"/>
        </w:rPr>
        <w:t>_</w:t>
      </w:r>
      <w:r>
        <w:t>loop</w:t>
      </w:r>
      <w:r>
        <w:rPr>
          <w:lang w:val="ru-RU"/>
        </w:rPr>
        <w:t>_</w:t>
      </w:r>
      <w:r>
        <w:t>en</w:t>
      </w:r>
      <w:r>
        <w:rPr>
          <w:lang w:val="ru-RU"/>
        </w:rPr>
        <w:t>.</w:t>
      </w:r>
      <w:r>
        <w:t>htm</w:t>
      </w:r>
      <w:r>
        <w:rPr>
          <w:lang w:val="ru-RU"/>
        </w:rPr>
        <w:t>?</w:t>
      </w:r>
      <w:r>
        <w:t>utm</w:t>
      </w:r>
      <w:r>
        <w:rPr>
          <w:lang w:val="ru-RU"/>
        </w:rPr>
        <w:t>_</w:t>
      </w:r>
      <w:r>
        <w:t>content</w:t>
      </w:r>
      <w:r>
        <w:rPr>
          <w:lang w:val="ru-RU"/>
        </w:rPr>
        <w:t>=</w:t>
      </w:r>
      <w:r>
        <w:t>buffer</w:t>
      </w:r>
      <w:r>
        <w:rPr>
          <w:lang w:val="ru-RU"/>
        </w:rPr>
        <w:t>68</w:t>
      </w:r>
      <w:r>
        <w:t>ffa</w:t>
      </w:r>
      <w:r>
        <w:rPr>
          <w:lang w:val="ru-RU"/>
        </w:rPr>
        <w:t>&amp;</w:t>
      </w:r>
      <w:r>
        <w:t>utm</w:t>
      </w:r>
      <w:r>
        <w:rPr>
          <w:lang w:val="ru-RU"/>
        </w:rPr>
        <w:t>_</w:t>
      </w:r>
      <w:r>
        <w:t>medium</w:t>
      </w:r>
      <w:r>
        <w:rPr>
          <w:lang w:val="ru-RU"/>
        </w:rPr>
        <w:t>=</w:t>
      </w:r>
      <w:r>
        <w:t>social</w:t>
      </w:r>
      <w:r>
        <w:rPr>
          <w:lang w:val="ru-RU"/>
        </w:rPr>
        <w:t>&amp;</w:t>
      </w:r>
      <w:r>
        <w:t>utm</w:t>
      </w:r>
      <w:r>
        <w:rPr>
          <w:lang w:val="ru-RU"/>
        </w:rPr>
        <w:t>_</w:t>
      </w:r>
      <w:r>
        <w:t>source</w:t>
      </w:r>
      <w:r>
        <w:rPr>
          <w:lang w:val="ru-RU"/>
        </w:rPr>
        <w:t>=</w:t>
      </w:r>
      <w:r>
        <w:t>twitter</w:t>
      </w:r>
      <w:r>
        <w:rPr>
          <w:lang w:val="ru-RU"/>
        </w:rPr>
        <w:t>.</w:t>
      </w:r>
      <w:r>
        <w:t>com</w:t>
      </w:r>
      <w:r>
        <w:rPr>
          <w:lang w:val="ru-RU"/>
        </w:rPr>
        <w:t>&amp;</w:t>
      </w:r>
      <w:r>
        <w:t>utm</w:t>
      </w:r>
      <w:r>
        <w:rPr>
          <w:lang w:val="ru-RU"/>
        </w:rPr>
        <w:t>_</w:t>
      </w:r>
      <w:r>
        <w:t>campaign</w:t>
      </w:r>
      <w:r>
        <w:rPr>
          <w:lang w:val="ru-RU"/>
        </w:rPr>
        <w:t>=</w:t>
      </w:r>
      <w:r>
        <w:t>buffer</w:t>
      </w:r>
    </w:p>
  </w:footnote>
  <w:footnote w:id="11">
    <w:p>
      <w:pPr>
        <w:pStyle w:val="FootnoteText"/>
        <w:rPr>
          <w:lang w:val="ru-RU"/>
        </w:rPr>
      </w:pPr>
      <w:r>
        <w:rPr>
          <w:rStyle w:val="FootnoteReference"/>
        </w:rPr>
        <w:footnoteRef/>
      </w:r>
      <w:r>
        <w:rPr>
          <w:lang w:val="ru-RU"/>
        </w:rPr>
        <w:tab/>
      </w:r>
      <w:hyperlink r:id="rId5">
        <w:r>
          <w:rPr>
            <w:rStyle w:val="Hyperlink"/>
          </w:rPr>
          <w:t>http</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smart</w:t>
        </w:r>
        <w:r>
          <w:rPr>
            <w:rStyle w:val="Hyperlink"/>
            <w:lang w:val="ru-RU"/>
          </w:rPr>
          <w:t>-</w:t>
        </w:r>
        <w:r>
          <w:rPr>
            <w:rStyle w:val="Hyperlink"/>
          </w:rPr>
          <w:t>regulation</w:t>
        </w:r>
        <w:r>
          <w:rPr>
            <w:rStyle w:val="Hyperlink"/>
            <w:lang w:val="ru-RU"/>
          </w:rPr>
          <w:t>/</w:t>
        </w:r>
        <w:r>
          <w:rPr>
            <w:rStyle w:val="Hyperlink"/>
          </w:rPr>
          <w:t>roadmaps</w:t>
        </w:r>
        <w:r>
          <w:rPr>
            <w:rStyle w:val="Hyperlink"/>
            <w:lang w:val="ru-RU"/>
          </w:rPr>
          <w:t>/</w:t>
        </w:r>
        <w:r>
          <w:rPr>
            <w:rStyle w:val="Hyperlink"/>
          </w:rPr>
          <w:t>docs</w:t>
        </w:r>
        <w:r>
          <w:rPr>
            <w:rStyle w:val="Hyperlink"/>
            <w:lang w:val="ru-RU"/>
          </w:rPr>
          <w:t>/2012_</w:t>
        </w:r>
        <w:r>
          <w:rPr>
            <w:rStyle w:val="Hyperlink"/>
          </w:rPr>
          <w:t>grow</w:t>
        </w:r>
        <w:r>
          <w:rPr>
            <w:rStyle w:val="Hyperlink"/>
            <w:lang w:val="ru-RU"/>
          </w:rPr>
          <w:t>_001_</w:t>
        </w:r>
        <w:r>
          <w:rPr>
            <w:rStyle w:val="Hyperlink"/>
          </w:rPr>
          <w:t>fertilisers</w:t>
        </w:r>
        <w:r>
          <w:rPr>
            <w:rStyle w:val="Hyperlink"/>
            <w:lang w:val="ru-RU"/>
          </w:rPr>
          <w:t>_</w:t>
        </w:r>
        <w:r>
          <w:rPr>
            <w:rStyle w:val="Hyperlink"/>
          </w:rPr>
          <w:t>en</w:t>
        </w:r>
        <w:r>
          <w:rPr>
            <w:rStyle w:val="Hyperlink"/>
            <w:lang w:val="ru-RU"/>
          </w:rPr>
          <w:t>.</w:t>
        </w:r>
        <w:r>
          <w:rPr>
            <w:rStyle w:val="Hyperlink"/>
          </w:rPr>
          <w:t>pdf</w:t>
        </w:r>
      </w:hyperlink>
      <w:r>
        <w:rPr>
          <w:lang w:val="ru-RU"/>
        </w:rPr>
        <w:t xml:space="preserve"> </w:t>
      </w:r>
    </w:p>
  </w:footnote>
  <w:footnote w:id="12">
    <w:p>
      <w:pPr>
        <w:pStyle w:val="FootnoteText"/>
        <w:rPr>
          <w:lang w:val="ru-RU"/>
        </w:rPr>
      </w:pPr>
      <w:r>
        <w:rPr>
          <w:rStyle w:val="FootnoteReference"/>
        </w:rPr>
        <w:footnoteRef/>
      </w:r>
      <w:r>
        <w:rPr>
          <w:lang w:val="ru-RU"/>
        </w:rPr>
        <w:tab/>
      </w:r>
      <w:hyperlink r:id="rId6" w:history="1">
        <w:r>
          <w:rPr>
            <w:rStyle w:val="Hyperlink"/>
          </w:rPr>
          <w:t>http</w:t>
        </w:r>
        <w:r>
          <w:rPr>
            <w:rStyle w:val="Hyperlink"/>
            <w:lang w:val="ru-RU"/>
          </w:rPr>
          <w:t>://</w:t>
        </w:r>
        <w:r>
          <w:rPr>
            <w:rStyle w:val="Hyperlink"/>
          </w:rPr>
          <w:t>bookshop</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en</w:t>
        </w:r>
        <w:r>
          <w:rPr>
            <w:rStyle w:val="Hyperlink"/>
            <w:lang w:val="ru-RU"/>
          </w:rPr>
          <w:t>/</w:t>
        </w:r>
        <w:r>
          <w:rPr>
            <w:rStyle w:val="Hyperlink"/>
          </w:rPr>
          <w:t>study</w:t>
        </w:r>
        <w:r>
          <w:rPr>
            <w:rStyle w:val="Hyperlink"/>
            <w:lang w:val="ru-RU"/>
          </w:rPr>
          <w:t>-</w:t>
        </w:r>
        <w:r>
          <w:rPr>
            <w:rStyle w:val="Hyperlink"/>
          </w:rPr>
          <w:t>on</w:t>
        </w:r>
        <w:r>
          <w:rPr>
            <w:rStyle w:val="Hyperlink"/>
            <w:lang w:val="ru-RU"/>
          </w:rPr>
          <w:t>-</w:t>
        </w:r>
        <w:r>
          <w:rPr>
            <w:rStyle w:val="Hyperlink"/>
          </w:rPr>
          <w:t>options</w:t>
        </w:r>
        <w:r>
          <w:rPr>
            <w:rStyle w:val="Hyperlink"/>
            <w:lang w:val="ru-RU"/>
          </w:rPr>
          <w:t>-</w:t>
        </w:r>
        <w:r>
          <w:rPr>
            <w:rStyle w:val="Hyperlink"/>
          </w:rPr>
          <w:t>to</w:t>
        </w:r>
        <w:r>
          <w:rPr>
            <w:rStyle w:val="Hyperlink"/>
            <w:lang w:val="ru-RU"/>
          </w:rPr>
          <w:t>-</w:t>
        </w:r>
        <w:r>
          <w:rPr>
            <w:rStyle w:val="Hyperlink"/>
          </w:rPr>
          <w:t>fully</w:t>
        </w:r>
        <w:r>
          <w:rPr>
            <w:rStyle w:val="Hyperlink"/>
            <w:lang w:val="ru-RU"/>
          </w:rPr>
          <w:t>-</w:t>
        </w:r>
        <w:r>
          <w:rPr>
            <w:rStyle w:val="Hyperlink"/>
          </w:rPr>
          <w:t>harmonise</w:t>
        </w:r>
        <w:r>
          <w:rPr>
            <w:rStyle w:val="Hyperlink"/>
            <w:lang w:val="ru-RU"/>
          </w:rPr>
          <w:t>-</w:t>
        </w:r>
        <w:r>
          <w:rPr>
            <w:rStyle w:val="Hyperlink"/>
          </w:rPr>
          <w:t>the</w:t>
        </w:r>
        <w:r>
          <w:rPr>
            <w:rStyle w:val="Hyperlink"/>
            <w:lang w:val="ru-RU"/>
          </w:rPr>
          <w:t>-</w:t>
        </w:r>
        <w:r>
          <w:rPr>
            <w:rStyle w:val="Hyperlink"/>
          </w:rPr>
          <w:t>eu</w:t>
        </w:r>
        <w:r>
          <w:rPr>
            <w:rStyle w:val="Hyperlink"/>
            <w:lang w:val="ru-RU"/>
          </w:rPr>
          <w:t>-</w:t>
        </w:r>
        <w:r>
          <w:rPr>
            <w:rStyle w:val="Hyperlink"/>
          </w:rPr>
          <w:t>legislation</w:t>
        </w:r>
        <w:r>
          <w:rPr>
            <w:rStyle w:val="Hyperlink"/>
            <w:lang w:val="ru-RU"/>
          </w:rPr>
          <w:t>-</w:t>
        </w:r>
        <w:r>
          <w:rPr>
            <w:rStyle w:val="Hyperlink"/>
          </w:rPr>
          <w:t>on</w:t>
        </w:r>
        <w:r>
          <w:rPr>
            <w:rStyle w:val="Hyperlink"/>
            <w:lang w:val="ru-RU"/>
          </w:rPr>
          <w:t>-</w:t>
        </w:r>
        <w:r>
          <w:rPr>
            <w:rStyle w:val="Hyperlink"/>
          </w:rPr>
          <w:t>fertilising</w:t>
        </w:r>
        <w:r>
          <w:rPr>
            <w:rStyle w:val="Hyperlink"/>
            <w:lang w:val="ru-RU"/>
          </w:rPr>
          <w:t>-</w:t>
        </w:r>
        <w:r>
          <w:rPr>
            <w:rStyle w:val="Hyperlink"/>
          </w:rPr>
          <w:t>materials</w:t>
        </w:r>
        <w:r>
          <w:rPr>
            <w:rStyle w:val="Hyperlink"/>
            <w:lang w:val="ru-RU"/>
          </w:rPr>
          <w:t>-</w:t>
        </w:r>
        <w:r>
          <w:rPr>
            <w:rStyle w:val="Hyperlink"/>
          </w:rPr>
          <w:t>including</w:t>
        </w:r>
        <w:r>
          <w:rPr>
            <w:rStyle w:val="Hyperlink"/>
            <w:lang w:val="ru-RU"/>
          </w:rPr>
          <w:t>-</w:t>
        </w:r>
        <w:r>
          <w:rPr>
            <w:rStyle w:val="Hyperlink"/>
          </w:rPr>
          <w:t>technical</w:t>
        </w:r>
        <w:r>
          <w:rPr>
            <w:rStyle w:val="Hyperlink"/>
            <w:lang w:val="ru-RU"/>
          </w:rPr>
          <w:t>-</w:t>
        </w:r>
        <w:r>
          <w:rPr>
            <w:rStyle w:val="Hyperlink"/>
          </w:rPr>
          <w:t>feasibility</w:t>
        </w:r>
        <w:r>
          <w:rPr>
            <w:rStyle w:val="Hyperlink"/>
            <w:lang w:val="ru-RU"/>
          </w:rPr>
          <w:t>-</w:t>
        </w:r>
        <w:r>
          <w:rPr>
            <w:rStyle w:val="Hyperlink"/>
          </w:rPr>
          <w:t>environmental</w:t>
        </w:r>
        <w:r>
          <w:rPr>
            <w:rStyle w:val="Hyperlink"/>
            <w:lang w:val="ru-RU"/>
          </w:rPr>
          <w:t>-</w:t>
        </w:r>
        <w:r>
          <w:rPr>
            <w:rStyle w:val="Hyperlink"/>
          </w:rPr>
          <w:t>economic</w:t>
        </w:r>
        <w:r>
          <w:rPr>
            <w:rStyle w:val="Hyperlink"/>
            <w:lang w:val="ru-RU"/>
          </w:rPr>
          <w:t>-</w:t>
        </w:r>
        <w:r>
          <w:rPr>
            <w:rStyle w:val="Hyperlink"/>
          </w:rPr>
          <w:t>and</w:t>
        </w:r>
        <w:r>
          <w:rPr>
            <w:rStyle w:val="Hyperlink"/>
            <w:lang w:val="ru-RU"/>
          </w:rPr>
          <w:t>-</w:t>
        </w:r>
        <w:r>
          <w:rPr>
            <w:rStyle w:val="Hyperlink"/>
          </w:rPr>
          <w:t>social</w:t>
        </w:r>
        <w:r>
          <w:rPr>
            <w:rStyle w:val="Hyperlink"/>
            <w:lang w:val="ru-RU"/>
          </w:rPr>
          <w:t>-</w:t>
        </w:r>
        <w:r>
          <w:rPr>
            <w:rStyle w:val="Hyperlink"/>
          </w:rPr>
          <w:t>impacts</w:t>
        </w:r>
        <w:r>
          <w:rPr>
            <w:rStyle w:val="Hyperlink"/>
            <w:lang w:val="ru-RU"/>
          </w:rPr>
          <w:t>-</w:t>
        </w:r>
        <w:r>
          <w:rPr>
            <w:rStyle w:val="Hyperlink"/>
          </w:rPr>
          <w:t>pbNB</w:t>
        </w:r>
        <w:r>
          <w:rPr>
            <w:rStyle w:val="Hyperlink"/>
            <w:lang w:val="ru-RU"/>
          </w:rPr>
          <w:t>0114252/</w:t>
        </w:r>
      </w:hyperlink>
    </w:p>
  </w:footnote>
  <w:footnote w:id="13">
    <w:p>
      <w:pPr>
        <w:pStyle w:val="FootnoteText"/>
      </w:pPr>
      <w:r>
        <w:rPr>
          <w:rStyle w:val="FootnoteReference"/>
        </w:rPr>
        <w:footnoteRef/>
      </w:r>
      <w:r>
        <w:tab/>
        <w:t xml:space="preserve">The report of the workshop can be downloaded at </w:t>
      </w:r>
      <w:hyperlink r:id="rId7">
        <w:r>
          <w:rPr>
            <w:rStyle w:val="Hyperlink"/>
          </w:rPr>
          <w:t>http://bookshop.europa.eu/en/circular-approaches-to-phosphorus-pbKI0115204/</w:t>
        </w:r>
      </w:hyperlink>
    </w:p>
  </w:footnote>
  <w:footnote w:id="14">
    <w:p>
      <w:pPr>
        <w:pStyle w:val="FootnoteText"/>
        <w:rPr>
          <w:lang w:val="ru-RU"/>
        </w:rPr>
      </w:pPr>
      <w:r>
        <w:rPr>
          <w:rStyle w:val="FootnoteReference"/>
        </w:rPr>
        <w:footnoteRef/>
      </w:r>
      <w:r>
        <w:rPr>
          <w:lang w:val="ru-RU"/>
        </w:rPr>
        <w:tab/>
        <w:t xml:space="preserve">ОВ </w:t>
      </w:r>
      <w:r>
        <w:t>C</w:t>
      </w:r>
      <w:r>
        <w:rPr>
          <w:lang w:val="ru-RU"/>
        </w:rPr>
        <w:t xml:space="preserve"> , </w:t>
      </w:r>
      <w:r>
        <w:t xml:space="preserve"> г.</w:t>
      </w:r>
      <w:r>
        <w:rPr>
          <w:lang w:val="ru-RU"/>
        </w:rPr>
        <w:t>, стр. .</w:t>
      </w:r>
    </w:p>
  </w:footnote>
  <w:footnote w:id="15">
    <w:p>
      <w:pPr>
        <w:pStyle w:val="FootnoteText"/>
        <w:rPr>
          <w:lang w:val="ru-RU"/>
        </w:rPr>
      </w:pPr>
      <w:r>
        <w:rPr>
          <w:rStyle w:val="FootnoteReference"/>
        </w:rPr>
        <w:footnoteRef/>
      </w:r>
      <w:r>
        <w:rPr>
          <w:lang w:val="ru-RU"/>
        </w:rPr>
        <w:tab/>
        <w:t xml:space="preserve">Регламент (ЕО) № 2003/2003 на Европейския парламент и на Съвета от 13 октомври 2003 г. относно торовете (ОВ </w:t>
      </w:r>
      <w:r>
        <w:t>L</w:t>
      </w:r>
      <w:r>
        <w:rPr>
          <w:lang w:val="ru-RU"/>
        </w:rPr>
        <w:t xml:space="preserve"> 304, 21.11.2003 г., стр. 1).</w:t>
      </w:r>
    </w:p>
  </w:footnote>
  <w:footnote w:id="16">
    <w:p>
      <w:pPr>
        <w:pStyle w:val="FootnoteText"/>
        <w:rPr>
          <w:lang w:val="ru-RU"/>
        </w:rPr>
      </w:pPr>
      <w:r>
        <w:rPr>
          <w:rStyle w:val="FootnoteReference"/>
        </w:rPr>
        <w:footnoteRef/>
      </w:r>
      <w:r>
        <w:rPr>
          <w:lang w:val="ru-RU"/>
        </w:rPr>
        <w:tab/>
        <w:t xml:space="preserve">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(ОВ </w:t>
      </w:r>
      <w:r>
        <w:t>L</w:t>
      </w:r>
      <w:r>
        <w:rPr>
          <w:lang w:val="ru-RU"/>
        </w:rPr>
        <w:t xml:space="preserve"> 218, 13.8.2008 г., стр. 30).</w:t>
      </w:r>
    </w:p>
  </w:footnote>
  <w:footnote w:id="17">
    <w:p>
      <w:pPr>
        <w:pStyle w:val="FootnoteText"/>
        <w:rPr>
          <w:lang w:val="ru-RU"/>
        </w:rPr>
      </w:pPr>
      <w:r>
        <w:rPr>
          <w:rStyle w:val="FootnoteReference"/>
        </w:rPr>
        <w:footnoteRef/>
      </w:r>
      <w:r>
        <w:rPr>
          <w:lang w:val="ru-RU"/>
        </w:rPr>
        <w:tab/>
        <w:t xml:space="preserve">Решение № 768/2008/ЕО на Европейския парламент и на Съвета от 9 юли 2008 година относно обща рамка за предлагането на пазара на продукти и за отмяна на Решение 93/465/ЕИО на Съвета (ОВ </w:t>
      </w:r>
      <w:r>
        <w:t>L</w:t>
      </w:r>
      <w:r>
        <w:rPr>
          <w:lang w:val="ru-RU"/>
        </w:rPr>
        <w:t xml:space="preserve"> 218, 13.8.2008 г., стр. 82).</w:t>
      </w:r>
    </w:p>
  </w:footnote>
  <w:footnote w:id="18">
    <w:p>
      <w:pPr>
        <w:pStyle w:val="FootnoteText"/>
        <w:rPr>
          <w:lang w:val="ru-RU"/>
        </w:rPr>
      </w:pPr>
      <w:r>
        <w:rPr>
          <w:rStyle w:val="FootnoteReference"/>
        </w:rPr>
        <w:footnoteRef/>
      </w:r>
      <w:r>
        <w:rPr>
          <w:lang w:val="ru-RU"/>
        </w:rPr>
        <w:tab/>
        <w:t xml:space="preserve">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 (ОВ </w:t>
      </w:r>
      <w:r>
        <w:t>L</w:t>
      </w:r>
      <w:r>
        <w:rPr>
          <w:lang w:val="ru-RU"/>
        </w:rPr>
        <w:t xml:space="preserve"> 300, 14.11.2009 г., стр. 1);</w:t>
      </w:r>
    </w:p>
  </w:footnote>
  <w:footnote w:id="19">
    <w:p>
      <w:pPr>
        <w:pStyle w:val="FootnoteText"/>
        <w:rPr>
          <w:lang w:val="ru-RU"/>
        </w:rPr>
      </w:pPr>
      <w:r>
        <w:rPr>
          <w:rStyle w:val="FootnoteReference"/>
        </w:rPr>
        <w:footnoteRef/>
      </w:r>
      <w:r>
        <w:rPr>
          <w:lang w:val="ru-RU"/>
        </w:rPr>
        <w:tab/>
        <w:t>Регламент (ЕО) № 178/2002 на Европейския парламент и на Съвета от 28 януари 2002 г. за определяне на общите принципи и изискванията към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(ОВ</w:t>
      </w:r>
      <w:r>
        <w:t> L </w:t>
      </w:r>
      <w:r>
        <w:rPr>
          <w:lang w:val="ru-RU"/>
        </w:rPr>
        <w:t>31, 1.2.2002 г., стр. 1)</w:t>
      </w:r>
    </w:p>
  </w:footnote>
  <w:footnote w:id="20">
    <w:p>
      <w:pPr>
        <w:pStyle w:val="FootnoteText"/>
        <w:rPr>
          <w:lang w:val="ru-RU"/>
        </w:rPr>
      </w:pPr>
      <w:r>
        <w:rPr>
          <w:rStyle w:val="FootnoteReference"/>
        </w:rPr>
        <w:footnoteRef/>
      </w:r>
      <w:r>
        <w:rPr>
          <w:lang w:val="ru-RU"/>
        </w:rPr>
        <w:tab/>
        <w:t xml:space="preserve">Директива 2008/98/ЕО на Европейския парламент и на Съвета относно отпадъците и за отмяна на определени директиви (ОВ </w:t>
      </w:r>
      <w:r>
        <w:t>L</w:t>
      </w:r>
      <w:r>
        <w:rPr>
          <w:lang w:val="ru-RU"/>
        </w:rPr>
        <w:t xml:space="preserve"> 312, 22.11.2008 г., стр. 3).</w:t>
      </w:r>
    </w:p>
  </w:footnote>
  <w:footnote w:id="21">
    <w:p>
      <w:pPr>
        <w:pStyle w:val="FootnoteText"/>
        <w:rPr>
          <w:lang w:val="ru-RU"/>
        </w:rPr>
      </w:pPr>
      <w:r>
        <w:rPr>
          <w:rStyle w:val="FootnoteReference"/>
        </w:rPr>
        <w:footnoteRef/>
      </w:r>
      <w:r>
        <w:rPr>
          <w:lang w:val="ru-RU"/>
        </w:rPr>
        <w:tab/>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w:t>
      </w:r>
      <w:r>
        <w:t>O</w:t>
      </w:r>
      <w:r>
        <w:rPr>
          <w:lang w:val="ru-RU"/>
        </w:rPr>
        <w:t xml:space="preserve">В </w:t>
      </w:r>
      <w:r>
        <w:t>L</w:t>
      </w:r>
      <w:r>
        <w:rPr>
          <w:lang w:val="ru-RU"/>
        </w:rPr>
        <w:t xml:space="preserve"> 309, 24.11.2009</w:t>
      </w:r>
      <w:r>
        <w:t> </w:t>
      </w:r>
      <w:r>
        <w:rPr>
          <w:lang w:val="ru-RU"/>
        </w:rPr>
        <w:t>г., стр. 1).</w:t>
      </w:r>
    </w:p>
  </w:footnote>
  <w:footnote w:id="22">
    <w:p>
      <w:pPr>
        <w:pStyle w:val="FootnoteText"/>
        <w:rPr>
          <w:lang w:val="ru-RU"/>
        </w:rPr>
      </w:pPr>
      <w:r>
        <w:rPr>
          <w:rStyle w:val="FootnoteReference"/>
        </w:rPr>
        <w:footnoteRef/>
      </w:r>
      <w:r>
        <w:rPr>
          <w:lang w:val="ru-RU"/>
        </w:rPr>
        <w:tab/>
        <w:t>Директива 86/278/ЕИО на Съвета от 12 юни 1986 г. за опазване на околната среда, и по-специално на почвата, при използване на утайки от отпадъчни води в земеделието (</w:t>
      </w:r>
      <w:r>
        <w:t>O</w:t>
      </w:r>
      <w:r>
        <w:rPr>
          <w:lang w:val="ru-RU"/>
        </w:rPr>
        <w:t xml:space="preserve">В </w:t>
      </w:r>
      <w:r>
        <w:t>L</w:t>
      </w:r>
      <w:r>
        <w:rPr>
          <w:lang w:val="ru-RU"/>
        </w:rPr>
        <w:t xml:space="preserve"> 181, 4.7.1986 г., стр. 6).</w:t>
      </w:r>
    </w:p>
  </w:footnote>
  <w:footnote w:id="23">
    <w:p>
      <w:pPr>
        <w:pStyle w:val="FootnoteText"/>
        <w:rPr>
          <w:lang w:val="ru-RU"/>
        </w:rPr>
      </w:pPr>
      <w:r>
        <w:rPr>
          <w:rStyle w:val="FootnoteReference"/>
        </w:rPr>
        <w:footnoteRef/>
      </w:r>
      <w:r>
        <w:rPr>
          <w:lang w:val="ru-RU"/>
        </w:rPr>
        <w:tab/>
        <w:t>Директива 89/391/ЕИО на Съвета от 12 юни 1989</w:t>
      </w:r>
      <w:r>
        <w:t> </w:t>
      </w:r>
      <w:r>
        <w:rPr>
          <w:lang w:val="ru-RU"/>
        </w:rPr>
        <w:t xml:space="preserve">г. за въвеждане на мерки за насърчаване подобряването на безопасността и здравето на работниците на работното място (ОВ </w:t>
      </w:r>
      <w:r>
        <w:t>L </w:t>
      </w:r>
      <w:r>
        <w:rPr>
          <w:lang w:val="ru-RU"/>
        </w:rPr>
        <w:t>183, 29.6.1989</w:t>
      </w:r>
      <w:r>
        <w:t> </w:t>
      </w:r>
      <w:r>
        <w:rPr>
          <w:lang w:val="ru-RU"/>
        </w:rPr>
        <w:t>г., стр.</w:t>
      </w:r>
      <w:r>
        <w:t> </w:t>
      </w:r>
      <w:r>
        <w:rPr>
          <w:lang w:val="ru-RU"/>
        </w:rPr>
        <w:t>1).</w:t>
      </w:r>
    </w:p>
  </w:footnote>
  <w:footnote w:id="24">
    <w:p>
      <w:pPr>
        <w:pStyle w:val="FootnoteText"/>
        <w:rPr>
          <w:lang w:val="ru-RU"/>
        </w:rPr>
      </w:pPr>
      <w:r>
        <w:rPr>
          <w:rStyle w:val="FootnoteReference"/>
        </w:rPr>
        <w:footnoteRef/>
      </w:r>
      <w:r>
        <w:rPr>
          <w:lang w:val="ru-RU"/>
        </w:rPr>
        <w:tab/>
        <w:t>Регламент (ЕО) №</w:t>
      </w:r>
      <w:r>
        <w:t> </w:t>
      </w:r>
      <w:r>
        <w:rPr>
          <w:lang w:val="ru-RU"/>
        </w:rPr>
        <w:t>1907/2006 на Европейския парламент и на Съвета от 18 декември 2006</w:t>
      </w:r>
      <w:r>
        <w:t> </w:t>
      </w:r>
      <w:r>
        <w:rPr>
          <w:lang w:val="ru-RU"/>
        </w:rPr>
        <w:t>г. относно регистрацията, оценката, разрешаването и ограничаването на химикали (</w:t>
      </w:r>
      <w:r>
        <w:t>REACH</w:t>
      </w:r>
      <w:r>
        <w:rPr>
          <w:lang w:val="ru-RU"/>
        </w:rPr>
        <w:t>), (</w:t>
      </w:r>
      <w:r>
        <w:t>O</w:t>
      </w:r>
      <w:r>
        <w:rPr>
          <w:lang w:val="ru-RU"/>
        </w:rPr>
        <w:t xml:space="preserve">В </w:t>
      </w:r>
      <w:r>
        <w:t>L</w:t>
      </w:r>
      <w:r>
        <w:rPr>
          <w:lang w:val="ru-RU"/>
        </w:rPr>
        <w:t xml:space="preserve"> 396, 30.12.2006</w:t>
      </w:r>
      <w:r>
        <w:t> </w:t>
      </w:r>
      <w:r>
        <w:rPr>
          <w:lang w:val="ru-RU"/>
        </w:rPr>
        <w:t>г., стр. 1).</w:t>
      </w:r>
    </w:p>
  </w:footnote>
  <w:footnote w:id="25">
    <w:p>
      <w:pPr>
        <w:pStyle w:val="FootnoteText"/>
        <w:rPr>
          <w:lang w:val="ru-RU"/>
        </w:rPr>
      </w:pPr>
      <w:r>
        <w:rPr>
          <w:rStyle w:val="FootnoteReference"/>
        </w:rPr>
        <w:footnoteRef/>
      </w:r>
      <w:r>
        <w:rPr>
          <w:lang w:val="ru-RU"/>
        </w:rPr>
        <w:tab/>
        <w:t>Регламент (</w:t>
      </w:r>
      <w:r>
        <w:t>E</w:t>
      </w:r>
      <w:r>
        <w:rPr>
          <w:lang w:val="ru-RU"/>
        </w:rPr>
        <w:t xml:space="preserve">О) № 1272/2008 на Европейския парламент и на Съвета от 16 декември 2008 г. относно класифицирането, етикетирането и опаковането на вещества и смеси (ОВ </w:t>
      </w:r>
      <w:r>
        <w:t>L </w:t>
      </w:r>
      <w:r>
        <w:rPr>
          <w:lang w:val="ru-RU"/>
        </w:rPr>
        <w:t>353, 31.12.2008</w:t>
      </w:r>
      <w:r>
        <w:t> </w:t>
      </w:r>
      <w:r>
        <w:rPr>
          <w:lang w:val="ru-RU"/>
        </w:rPr>
        <w:t>г., стр.</w:t>
      </w:r>
      <w:r>
        <w:t> </w:t>
      </w:r>
      <w:r>
        <w:rPr>
          <w:lang w:val="ru-RU"/>
        </w:rPr>
        <w:t>1).</w:t>
      </w:r>
    </w:p>
  </w:footnote>
  <w:footnote w:id="26">
    <w:p>
      <w:pPr>
        <w:pStyle w:val="FootnoteText"/>
        <w:rPr>
          <w:lang w:val="ru-RU"/>
        </w:rPr>
      </w:pPr>
      <w:r>
        <w:rPr>
          <w:rStyle w:val="FootnoteReference"/>
        </w:rPr>
        <w:footnoteRef/>
      </w:r>
      <w:r>
        <w:rPr>
          <w:lang w:val="ru-RU"/>
        </w:rPr>
        <w:tab/>
        <w:t xml:space="preserve">Регламент (ЕО) № 1881/2006 на Комисията от 19 декември 2006 г. за определяне на максимално допустимите количества на някои замърсители в храните (ОВ </w:t>
      </w:r>
      <w:r>
        <w:t>L</w:t>
      </w:r>
      <w:r>
        <w:rPr>
          <w:lang w:val="ru-RU"/>
        </w:rPr>
        <w:t xml:space="preserve"> 364, 20.12.2006 г., стр. 5).</w:t>
      </w:r>
    </w:p>
  </w:footnote>
  <w:footnote w:id="27">
    <w:p>
      <w:pPr>
        <w:pStyle w:val="FootnoteText"/>
        <w:rPr>
          <w:lang w:val="ru-RU"/>
        </w:rPr>
      </w:pPr>
      <w:r>
        <w:rPr>
          <w:rStyle w:val="FootnoteReference"/>
        </w:rPr>
        <w:footnoteRef/>
      </w:r>
      <w:r>
        <w:rPr>
          <w:lang w:val="ru-RU"/>
        </w:rPr>
        <w:tab/>
        <w:t xml:space="preserve">Директива 2000/29/ЕО на Съвета от 8 май 2000 г.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 (ОВ </w:t>
      </w:r>
      <w:r>
        <w:t>L</w:t>
      </w:r>
      <w:r>
        <w:rPr>
          <w:lang w:val="ru-RU"/>
        </w:rPr>
        <w:t xml:space="preserve"> 169, 10.7.2000 г., стр. 1).</w:t>
      </w:r>
    </w:p>
  </w:footnote>
  <w:footnote w:id="28">
    <w:p>
      <w:pPr>
        <w:pStyle w:val="FootnoteText"/>
        <w:rPr>
          <w:lang w:val="ru-RU"/>
        </w:rPr>
      </w:pPr>
      <w:r>
        <w:rPr>
          <w:rStyle w:val="FootnoteReference"/>
        </w:rPr>
        <w:footnoteRef/>
      </w:r>
      <w:r>
        <w:rPr>
          <w:lang w:val="ru-RU"/>
        </w:rPr>
        <w:tab/>
        <w:t>Регламент (</w:t>
      </w:r>
      <w:r>
        <w:t>E</w:t>
      </w:r>
      <w:r>
        <w:rPr>
          <w:lang w:val="ru-RU"/>
        </w:rPr>
        <w:t xml:space="preserve">С) № 98/2013 на Европейския парламент и на Съвета от 15 януари 2013 г.  относно предлагането на пазара и използването на прекурсори на взривни вещества (ОВ </w:t>
      </w:r>
      <w:r>
        <w:t>L </w:t>
      </w:r>
      <w:r>
        <w:rPr>
          <w:lang w:val="ru-RU"/>
        </w:rPr>
        <w:t>39, 9.2.2013</w:t>
      </w:r>
      <w:r>
        <w:t> </w:t>
      </w:r>
      <w:r>
        <w:rPr>
          <w:lang w:val="ru-RU"/>
        </w:rPr>
        <w:t>г., стр.</w:t>
      </w:r>
      <w:r>
        <w:t> </w:t>
      </w:r>
      <w:r>
        <w:rPr>
          <w:lang w:val="ru-RU"/>
        </w:rPr>
        <w:t>1).</w:t>
      </w:r>
    </w:p>
  </w:footnote>
  <w:footnote w:id="29">
    <w:p>
      <w:pPr>
        <w:pStyle w:val="FootnoteText"/>
        <w:rPr>
          <w:lang w:val="ru-RU"/>
        </w:rPr>
      </w:pPr>
      <w:r>
        <w:rPr>
          <w:rStyle w:val="FootnoteReference"/>
        </w:rPr>
        <w:footnoteRef/>
      </w:r>
      <w:r>
        <w:rPr>
          <w:lang w:val="ru-RU"/>
        </w:rPr>
        <w:tab/>
        <w:t>Регламент (ЕС) № 1143/2014 на Европейския парламент и на Съвета от 22</w:t>
      </w:r>
      <w:r>
        <w:t> </w:t>
      </w:r>
      <w:r>
        <w:rPr>
          <w:lang w:val="ru-RU"/>
        </w:rPr>
        <w:t>октомври 2014 г. относно предотвратяването и управлението на въвеждането и разпространението на инвазивни чужди видове (</w:t>
      </w:r>
      <w:r>
        <w:t>OB</w:t>
      </w:r>
      <w:r>
        <w:rPr>
          <w:lang w:val="ru-RU"/>
        </w:rPr>
        <w:t xml:space="preserve"> </w:t>
      </w:r>
      <w:r>
        <w:t>L</w:t>
      </w:r>
      <w:r>
        <w:rPr>
          <w:lang w:val="ru-RU"/>
        </w:rPr>
        <w:t xml:space="preserve"> 317, 4.11.2014 г., стр. 35).</w:t>
      </w:r>
    </w:p>
  </w:footnote>
  <w:footnote w:id="30">
    <w:p>
      <w:pPr>
        <w:pStyle w:val="FootnoteText"/>
        <w:rPr>
          <w:lang w:val="ru-RU"/>
        </w:rPr>
      </w:pPr>
      <w:r>
        <w:rPr>
          <w:rStyle w:val="FootnoteReference"/>
        </w:rPr>
        <w:footnoteRef/>
      </w:r>
      <w:r>
        <w:rPr>
          <w:lang w:val="ru-RU"/>
        </w:rPr>
        <w:tab/>
        <w:t xml:space="preserve">Регламент (ЕС) № 1025/2012 на Европейския парламент и на Съвета от 25 октомври 2012 г. относно европейската стандартизация, за изменение на директиви 89/686/ЕИО и 93/15/ЕИО на Съвета и на директиви 94/9/ЕО, 94/25/ЕО, 95/16/ЕО, 97/23/ЕО, 98/34/ЕО, 2004/22/ЕО, 2007/23/ЕО, 2009/23/ЕО и 2009/105/ЕО на Европейския парламент и на Съвета и за отмяна на Решение 87/95/ЕИО на Съвета и на Решение № 1673/2006/ЕО на Европейския парламент и на Съвета (ОВ </w:t>
      </w:r>
      <w:r>
        <w:t>L</w:t>
      </w:r>
      <w:r>
        <w:rPr>
          <w:lang w:val="ru-RU"/>
        </w:rPr>
        <w:t xml:space="preserve"> 316, 14.11.2012 г., стр. 12).</w:t>
      </w:r>
    </w:p>
  </w:footnote>
  <w:footnote w:id="31">
    <w:p>
      <w:pPr>
        <w:pStyle w:val="FootnoteText"/>
        <w:rPr>
          <w:lang w:val="ru-RU"/>
        </w:rPr>
      </w:pPr>
      <w:r>
        <w:rPr>
          <w:rStyle w:val="FootnoteReference"/>
        </w:rPr>
        <w:footnoteRef/>
      </w:r>
      <w:r>
        <w:rPr>
          <w:lang w:val="ru-RU"/>
        </w:rPr>
        <w:tab/>
        <w:t xml:space="preserve">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w:t>
      </w:r>
      <w:r>
        <w:t>L</w:t>
      </w:r>
      <w:r>
        <w:rPr>
          <w:lang w:val="ru-RU"/>
        </w:rPr>
        <w:t xml:space="preserve"> 55, 28.2.2011 г., стр.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9"/>
  </w:num>
  <w:num w:numId="26">
    <w:abstractNumId w:val="6"/>
  </w:num>
  <w:num w:numId="27">
    <w:abstractNumId w:val="2"/>
  </w:num>
  <w:num w:numId="28">
    <w:abstractNumId w:val="1"/>
  </w:num>
  <w:num w:numId="29">
    <w:abstractNumId w:val="23"/>
  </w:num>
  <w:num w:numId="30">
    <w:abstractNumId w:val="25"/>
  </w:num>
  <w:num w:numId="31">
    <w:abstractNumId w:val="24"/>
  </w:num>
  <w:num w:numId="32">
    <w:abstractNumId w:val="27"/>
  </w:num>
  <w:num w:numId="33">
    <w:abstractNumId w:val="5"/>
  </w:num>
  <w:num w:numId="34">
    <w:abstractNumId w:val="11"/>
  </w:num>
  <w:num w:numId="35">
    <w:abstractNumId w:val="15"/>
  </w:num>
  <w:num w:numId="36">
    <w:abstractNumId w:val="13"/>
  </w:num>
  <w:num w:numId="37">
    <w:abstractNumId w:val="0"/>
  </w:num>
  <w:num w:numId="38">
    <w:abstractNumId w:val="16"/>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10"/>
  </w:num>
  <w:num w:numId="52">
    <w:abstractNumId w:val="26"/>
  </w:num>
  <w:num w:numId="53">
    <w:abstractNumId w:val="8"/>
  </w:num>
  <w:num w:numId="54">
    <w:abstractNumId w:val="12"/>
  </w:num>
  <w:num w:numId="55">
    <w:abstractNumId w:val="4"/>
  </w:num>
  <w:num w:numId="56">
    <w:abstractNumId w:val="22"/>
  </w:num>
  <w:num w:numId="57">
    <w:abstractNumId w:val="3"/>
  </w:num>
  <w:num w:numId="58">
    <w:abstractNumId w:val="14"/>
  </w:num>
  <w:num w:numId="59">
    <w:abstractNumId w:val="19"/>
  </w:num>
  <w:num w:numId="60">
    <w:abstractNumId w:val="20"/>
  </w:num>
  <w:num w:numId="61">
    <w:abstractNumId w:val="7"/>
  </w:num>
  <w:num w:numId="62">
    <w:abstractNumId w:val="18"/>
  </w:num>
  <w:num w:numId="63">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ttachedTemplate r:id="rId1"/>
  <w:revisionView w:markup="0"/>
  <w:documentProtection w:edit="readOnly"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6 13:13:2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1EF03030F674A0081B7E999C91B2912"/>
    <w:docVar w:name="LW_CROSSREFERENCE" w:val="{SWD(2016) 64 final}_x000b_{SWD(2016) 65 final}"/>
    <w:docVar w:name="LW_DocType" w:val="COM"/>
    <w:docVar w:name="LW_EMISSION" w:val="17.3.2016"/>
    <w:docVar w:name="LW_EMISSION_ISODATE" w:val="2016-03-1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84"/>
    <w:docVar w:name="LW_REF.II.NEW.CP_YEAR" w:val="2016"/>
    <w:docVar w:name="LW_REF.INST.NEW" w:val="COM"/>
    <w:docVar w:name="LW_REF.INST.NEW_ADOPTED" w:val="final"/>
    <w:docVar w:name="LW_REF.INST.NEW_TEXT" w:val="(2016) 157"/>
    <w:docVar w:name="LW_REF.INTERNE" w:val="&lt;UNUSED&gt;"/>
    <w:docVar w:name="LW_SOUS.TITRE.OBJ.CP" w:val="&lt;UNUSED&gt;"/>
    <w:docVar w:name="LW_STATUT.CP" w:val="\u1055?\u1088?\u1077?\u1076?\u1083?\u1086?\u1078?\u1077?\u1085?\u1080?\u1077? \u1079?\u1072?"/>
    <w:docVar w:name="LW_SUPERTITRE" w:val="\u1055?\u1072?\u1082?\u1077?\u1090? \u1079?\u1072? \u1082?\u1088?\u1098?\u1075?\u1086?\u1074?\u1072?\u1090?\u1072? \u1080?\u1082?\u1086?\u1085?\u1086?\u1084?\u1080?\u1082?\u1072?"/>
    <w:docVar w:name="LW_TITRE.OBJ.CP" w:val="\u1079?\u1072? \u1086?\u1087?\u1088?\u1077?\u1076?\u1077?\u1083?\u1103?\u1085?\u1077? \u1085?\u1072? \u1087?\u1088?\u1072?\u1074?\u1080?\u1083?\u1072? \u1079?\u1072? \u1087?\u1088?\u1077?\u1076?\u1086?\u1089?\u1090?\u1072?\u1074?\u1103?\u1085?\u1077? \u1085?\u1072? \u1087?\u1072?\u1079?\u1072?\u1088?\u1072? \u1085?\u1072? \u1087?\u1088?\u1086?\u1076?\u1091?\u1082?\u1090?\u1080? \u1079?\u1072? \u1085?\u1072?\u1090?\u1086?\u1088?\u1103?\u1074?\u1072?\u1085?\u1077? \u1089? \u1084?\u1072?\u1088?\u1082?\u1080?\u1088?\u1086?\u1074?\u1082?\u1072?\u1090?\u1072? \u8222?\u1057?\u1045?\u8220? \u1080? \u1079?\u1072? \u1080?\u1079?\u1084?\u1077?\u1085?\u1077?\u1085?\u1080?\u1077? \u1085?\u1072? \u1056?\u1077?\u1075?\u1083?\u1072?\u1084?\u1077?\u1085?\u1090? (\u1045?\u1054?) \u8470? 1069/2009 \u1080? \u1056?\u1077?\u1075?\u1083?\u1072?\u1084?\u1077?\u1085?\u1090? (\u1045?\u1054?) \u8470? 1107/2009"/>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24"/>
      </w:numPr>
      <w:spacing w:before="0" w:after="240"/>
    </w:pPr>
    <w:rPr>
      <w:rFonts w:eastAsia="Times New Roman"/>
      <w:szCs w:val="20"/>
    </w:rPr>
  </w:style>
  <w:style w:type="paragraph" w:styleId="ListBullet2">
    <w:name w:val="List Bullet 2"/>
    <w:basedOn w:val="Text2"/>
    <w:pPr>
      <w:numPr>
        <w:numId w:val="26"/>
      </w:numPr>
      <w:spacing w:before="0" w:after="240"/>
    </w:pPr>
    <w:rPr>
      <w:rFonts w:eastAsia="Times New Roman"/>
      <w:szCs w:val="20"/>
    </w:rPr>
  </w:style>
  <w:style w:type="paragraph" w:styleId="ListBullet3">
    <w:name w:val="List Bullet 3"/>
    <w:basedOn w:val="Text3"/>
    <w:pPr>
      <w:numPr>
        <w:numId w:val="27"/>
      </w:numPr>
      <w:spacing w:before="0" w:after="240"/>
    </w:pPr>
    <w:rPr>
      <w:rFonts w:eastAsia="Times New Roman"/>
      <w:szCs w:val="20"/>
    </w:rPr>
  </w:style>
  <w:style w:type="paragraph" w:styleId="ListBullet4">
    <w:name w:val="List Bullet 4"/>
    <w:basedOn w:val="Text4"/>
    <w:pPr>
      <w:numPr>
        <w:numId w:val="28"/>
      </w:numPr>
      <w:spacing w:before="0" w:after="240"/>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25"/>
      </w:numPr>
      <w:spacing w:before="0" w:after="240"/>
    </w:pPr>
    <w:rPr>
      <w:rFonts w:eastAsia="Times New Roman"/>
      <w:szCs w:val="20"/>
    </w:rPr>
  </w:style>
  <w:style w:type="paragraph" w:customStyle="1" w:styleId="ListDash">
    <w:name w:val="List Dash"/>
    <w:basedOn w:val="Normal"/>
    <w:pPr>
      <w:numPr>
        <w:numId w:val="29"/>
      </w:numPr>
      <w:spacing w:before="0" w:after="240"/>
    </w:pPr>
    <w:rPr>
      <w:rFonts w:eastAsia="Times New Roman"/>
      <w:szCs w:val="20"/>
    </w:rPr>
  </w:style>
  <w:style w:type="paragraph" w:customStyle="1" w:styleId="ListDash1">
    <w:name w:val="List Dash 1"/>
    <w:basedOn w:val="Text1"/>
    <w:pPr>
      <w:numPr>
        <w:numId w:val="30"/>
      </w:numPr>
      <w:spacing w:before="0" w:after="240"/>
    </w:pPr>
    <w:rPr>
      <w:rFonts w:eastAsia="Times New Roman"/>
      <w:szCs w:val="20"/>
    </w:rPr>
  </w:style>
  <w:style w:type="paragraph" w:customStyle="1" w:styleId="ListDash2">
    <w:name w:val="List Dash 2"/>
    <w:basedOn w:val="Text2"/>
    <w:pPr>
      <w:numPr>
        <w:numId w:val="31"/>
      </w:numPr>
      <w:spacing w:before="0" w:after="240"/>
    </w:pPr>
    <w:rPr>
      <w:rFonts w:eastAsia="Times New Roman"/>
      <w:szCs w:val="20"/>
    </w:rPr>
  </w:style>
  <w:style w:type="paragraph" w:customStyle="1" w:styleId="ListDash3">
    <w:name w:val="List Dash 3"/>
    <w:basedOn w:val="Text3"/>
    <w:pPr>
      <w:numPr>
        <w:numId w:val="32"/>
      </w:numPr>
      <w:spacing w:before="0" w:after="240"/>
    </w:pPr>
    <w:rPr>
      <w:rFonts w:eastAsia="Times New Roman"/>
      <w:szCs w:val="20"/>
    </w:rPr>
  </w:style>
  <w:style w:type="paragraph" w:customStyle="1" w:styleId="ListDash4">
    <w:name w:val="List Dash 4"/>
    <w:basedOn w:val="Text4"/>
    <w:pPr>
      <w:numPr>
        <w:numId w:val="33"/>
      </w:numPr>
      <w:spacing w:before="0" w:after="240"/>
    </w:pPr>
    <w:rPr>
      <w:rFonts w:eastAsia="Times New Roman"/>
      <w:szCs w:val="20"/>
    </w:rPr>
  </w:style>
  <w:style w:type="paragraph" w:styleId="ListNumber">
    <w:name w:val="List Number"/>
    <w:basedOn w:val="Normal"/>
    <w:pPr>
      <w:numPr>
        <w:numId w:val="34"/>
      </w:numPr>
      <w:spacing w:before="0" w:after="240"/>
    </w:pPr>
    <w:rPr>
      <w:rFonts w:eastAsia="Times New Roman"/>
      <w:szCs w:val="20"/>
    </w:rPr>
  </w:style>
  <w:style w:type="paragraph" w:customStyle="1" w:styleId="ListNumber1">
    <w:name w:val="List Number 1"/>
    <w:basedOn w:val="Text1"/>
    <w:pPr>
      <w:numPr>
        <w:numId w:val="35"/>
      </w:numPr>
      <w:spacing w:before="0" w:after="240"/>
    </w:pPr>
    <w:rPr>
      <w:rFonts w:eastAsia="Times New Roman"/>
      <w:szCs w:val="20"/>
    </w:rPr>
  </w:style>
  <w:style w:type="paragraph" w:styleId="ListNumber2">
    <w:name w:val="List Number 2"/>
    <w:basedOn w:val="Text2"/>
    <w:pPr>
      <w:numPr>
        <w:numId w:val="36"/>
      </w:numPr>
      <w:spacing w:before="0" w:after="240"/>
    </w:pPr>
    <w:rPr>
      <w:rFonts w:eastAsia="Times New Roman"/>
      <w:szCs w:val="20"/>
    </w:rPr>
  </w:style>
  <w:style w:type="paragraph" w:styleId="ListNumber3">
    <w:name w:val="List Number 3"/>
    <w:basedOn w:val="Text3"/>
    <w:pPr>
      <w:numPr>
        <w:numId w:val="37"/>
      </w:numPr>
      <w:spacing w:before="0" w:after="240"/>
    </w:pPr>
    <w:rPr>
      <w:rFonts w:eastAsia="Times New Roman"/>
      <w:szCs w:val="20"/>
    </w:rPr>
  </w:style>
  <w:style w:type="paragraph" w:styleId="ListNumber4">
    <w:name w:val="List Number 4"/>
    <w:basedOn w:val="Text4"/>
    <w:pPr>
      <w:numPr>
        <w:numId w:val="38"/>
      </w:numPr>
      <w:spacing w:before="0" w:after="240"/>
    </w:pPr>
    <w:rPr>
      <w:rFonts w:eastAsia="Times New Roman"/>
      <w:szCs w:val="20"/>
    </w:rPr>
  </w:style>
  <w:style w:type="paragraph" w:customStyle="1" w:styleId="ListNumberLevel2">
    <w:name w:val="List Number (Level 2)"/>
    <w:basedOn w:val="Normal"/>
    <w:pPr>
      <w:numPr>
        <w:ilvl w:val="1"/>
        <w:numId w:val="34"/>
      </w:numPr>
      <w:spacing w:before="0" w:after="240"/>
    </w:pPr>
    <w:rPr>
      <w:rFonts w:eastAsia="Times New Roman"/>
      <w:szCs w:val="20"/>
    </w:rPr>
  </w:style>
  <w:style w:type="paragraph" w:customStyle="1" w:styleId="ListNumber1Level2">
    <w:name w:val="List Number 1 (Level 2)"/>
    <w:basedOn w:val="Text1"/>
    <w:pPr>
      <w:numPr>
        <w:ilvl w:val="1"/>
        <w:numId w:val="35"/>
      </w:numPr>
      <w:spacing w:before="0" w:after="240"/>
    </w:pPr>
    <w:rPr>
      <w:rFonts w:eastAsia="Times New Roman"/>
      <w:szCs w:val="20"/>
    </w:rPr>
  </w:style>
  <w:style w:type="paragraph" w:customStyle="1" w:styleId="ListNumber2Level2">
    <w:name w:val="List Number 2 (Level 2)"/>
    <w:basedOn w:val="Text2"/>
    <w:pPr>
      <w:numPr>
        <w:ilvl w:val="1"/>
        <w:numId w:val="36"/>
      </w:numPr>
      <w:spacing w:before="0" w:after="240"/>
    </w:pPr>
    <w:rPr>
      <w:rFonts w:eastAsia="Times New Roman"/>
      <w:szCs w:val="20"/>
    </w:rPr>
  </w:style>
  <w:style w:type="paragraph" w:customStyle="1" w:styleId="ListNumber3Level2">
    <w:name w:val="List Number 3 (Level 2)"/>
    <w:basedOn w:val="Text3"/>
    <w:pPr>
      <w:numPr>
        <w:ilvl w:val="1"/>
        <w:numId w:val="37"/>
      </w:numPr>
      <w:spacing w:before="0" w:after="240"/>
    </w:pPr>
    <w:rPr>
      <w:rFonts w:eastAsia="Times New Roman"/>
      <w:szCs w:val="20"/>
    </w:rPr>
  </w:style>
  <w:style w:type="paragraph" w:customStyle="1" w:styleId="ListNumber4Level2">
    <w:name w:val="List Number 4 (Level 2)"/>
    <w:basedOn w:val="Text4"/>
    <w:pPr>
      <w:numPr>
        <w:ilvl w:val="1"/>
        <w:numId w:val="38"/>
      </w:numPr>
      <w:spacing w:before="0" w:after="240"/>
    </w:pPr>
    <w:rPr>
      <w:rFonts w:eastAsia="Times New Roman"/>
      <w:szCs w:val="20"/>
    </w:rPr>
  </w:style>
  <w:style w:type="paragraph" w:customStyle="1" w:styleId="ListNumberLevel3">
    <w:name w:val="List Number (Level 3)"/>
    <w:basedOn w:val="Normal"/>
    <w:pPr>
      <w:numPr>
        <w:ilvl w:val="2"/>
        <w:numId w:val="34"/>
      </w:numPr>
      <w:spacing w:before="0" w:after="240"/>
    </w:pPr>
    <w:rPr>
      <w:rFonts w:eastAsia="Times New Roman"/>
      <w:szCs w:val="20"/>
    </w:rPr>
  </w:style>
  <w:style w:type="paragraph" w:customStyle="1" w:styleId="ListNumber1Level3">
    <w:name w:val="List Number 1 (Level 3)"/>
    <w:basedOn w:val="Text1"/>
    <w:pPr>
      <w:numPr>
        <w:ilvl w:val="2"/>
        <w:numId w:val="35"/>
      </w:numPr>
      <w:spacing w:before="0" w:after="240"/>
    </w:pPr>
    <w:rPr>
      <w:rFonts w:eastAsia="Times New Roman"/>
      <w:szCs w:val="20"/>
    </w:rPr>
  </w:style>
  <w:style w:type="paragraph" w:customStyle="1" w:styleId="ListNumber2Level3">
    <w:name w:val="List Number 2 (Level 3)"/>
    <w:basedOn w:val="Text2"/>
    <w:pPr>
      <w:numPr>
        <w:ilvl w:val="2"/>
        <w:numId w:val="36"/>
      </w:numPr>
      <w:spacing w:before="0" w:after="240"/>
    </w:pPr>
    <w:rPr>
      <w:rFonts w:eastAsia="Times New Roman"/>
      <w:szCs w:val="20"/>
    </w:rPr>
  </w:style>
  <w:style w:type="paragraph" w:customStyle="1" w:styleId="ListNumber3Level3">
    <w:name w:val="List Number 3 (Level 3)"/>
    <w:basedOn w:val="Text3"/>
    <w:pPr>
      <w:numPr>
        <w:ilvl w:val="2"/>
        <w:numId w:val="37"/>
      </w:numPr>
      <w:spacing w:before="0" w:after="240"/>
    </w:pPr>
    <w:rPr>
      <w:rFonts w:eastAsia="Times New Roman"/>
      <w:szCs w:val="20"/>
    </w:rPr>
  </w:style>
  <w:style w:type="paragraph" w:customStyle="1" w:styleId="ListNumber4Level3">
    <w:name w:val="List Number 4 (Level 3)"/>
    <w:basedOn w:val="Text4"/>
    <w:pPr>
      <w:numPr>
        <w:ilvl w:val="2"/>
        <w:numId w:val="38"/>
      </w:numPr>
      <w:spacing w:before="0" w:after="240"/>
    </w:pPr>
    <w:rPr>
      <w:rFonts w:eastAsia="Times New Roman"/>
      <w:szCs w:val="20"/>
    </w:rPr>
  </w:style>
  <w:style w:type="paragraph" w:customStyle="1" w:styleId="ListNumberLevel4">
    <w:name w:val="List Number (Level 4)"/>
    <w:basedOn w:val="Normal"/>
    <w:pPr>
      <w:numPr>
        <w:ilvl w:val="3"/>
        <w:numId w:val="34"/>
      </w:numPr>
      <w:spacing w:before="0" w:after="240"/>
    </w:pPr>
    <w:rPr>
      <w:rFonts w:eastAsia="Times New Roman"/>
      <w:szCs w:val="20"/>
    </w:rPr>
  </w:style>
  <w:style w:type="paragraph" w:customStyle="1" w:styleId="ListNumber1Level4">
    <w:name w:val="List Number 1 (Level 4)"/>
    <w:basedOn w:val="Text1"/>
    <w:pPr>
      <w:numPr>
        <w:ilvl w:val="3"/>
        <w:numId w:val="35"/>
      </w:numPr>
      <w:spacing w:before="0" w:after="240"/>
    </w:pPr>
    <w:rPr>
      <w:rFonts w:eastAsia="Times New Roman"/>
      <w:szCs w:val="20"/>
    </w:rPr>
  </w:style>
  <w:style w:type="paragraph" w:customStyle="1" w:styleId="ListNumber2Level4">
    <w:name w:val="List Number 2 (Level 4)"/>
    <w:basedOn w:val="Text2"/>
    <w:pPr>
      <w:numPr>
        <w:ilvl w:val="3"/>
        <w:numId w:val="36"/>
      </w:numPr>
      <w:spacing w:before="0" w:after="240"/>
    </w:pPr>
    <w:rPr>
      <w:rFonts w:eastAsia="Times New Roman"/>
      <w:szCs w:val="20"/>
    </w:rPr>
  </w:style>
  <w:style w:type="paragraph" w:customStyle="1" w:styleId="ListNumber3Level4">
    <w:name w:val="List Number 3 (Level 4)"/>
    <w:basedOn w:val="Text3"/>
    <w:pPr>
      <w:numPr>
        <w:ilvl w:val="3"/>
        <w:numId w:val="37"/>
      </w:numPr>
      <w:spacing w:before="0" w:after="240"/>
    </w:pPr>
    <w:rPr>
      <w:rFonts w:eastAsia="Times New Roman"/>
      <w:szCs w:val="20"/>
    </w:rPr>
  </w:style>
  <w:style w:type="paragraph" w:customStyle="1" w:styleId="ListNumber4Level4">
    <w:name w:val="List Number 4 (Level 4)"/>
    <w:basedOn w:val="Text4"/>
    <w:pPr>
      <w:numPr>
        <w:ilvl w:val="3"/>
        <w:numId w:val="38"/>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0"/>
      </w:numPr>
    </w:pPr>
  </w:style>
  <w:style w:type="paragraph" w:customStyle="1" w:styleId="Tiret1">
    <w:name w:val="Tiret 1"/>
    <w:basedOn w:val="Point1"/>
    <w:pPr>
      <w:numPr>
        <w:numId w:val="51"/>
      </w:numPr>
    </w:pPr>
  </w:style>
  <w:style w:type="paragraph" w:customStyle="1" w:styleId="Tiret2">
    <w:name w:val="Tiret 2"/>
    <w:basedOn w:val="Point2"/>
    <w:pPr>
      <w:numPr>
        <w:numId w:val="52"/>
      </w:numPr>
    </w:pPr>
  </w:style>
  <w:style w:type="paragraph" w:customStyle="1" w:styleId="Tiret3">
    <w:name w:val="Tiret 3"/>
    <w:basedOn w:val="Point3"/>
    <w:pPr>
      <w:numPr>
        <w:numId w:val="53"/>
      </w:numPr>
    </w:pPr>
  </w:style>
  <w:style w:type="paragraph" w:customStyle="1" w:styleId="Tiret4">
    <w:name w:val="Tiret 4"/>
    <w:basedOn w:val="Point4"/>
    <w:pPr>
      <w:numPr>
        <w:numId w:val="5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5"/>
      </w:numPr>
    </w:pPr>
  </w:style>
  <w:style w:type="paragraph" w:customStyle="1" w:styleId="NumPar2">
    <w:name w:val="NumPar 2"/>
    <w:basedOn w:val="Normal"/>
    <w:next w:val="Text1"/>
    <w:pPr>
      <w:numPr>
        <w:ilvl w:val="1"/>
        <w:numId w:val="55"/>
      </w:numPr>
    </w:pPr>
  </w:style>
  <w:style w:type="paragraph" w:customStyle="1" w:styleId="NumPar3">
    <w:name w:val="NumPar 3"/>
    <w:basedOn w:val="Normal"/>
    <w:next w:val="Text1"/>
    <w:pPr>
      <w:numPr>
        <w:ilvl w:val="2"/>
        <w:numId w:val="55"/>
      </w:numPr>
    </w:pPr>
  </w:style>
  <w:style w:type="paragraph" w:customStyle="1" w:styleId="NumPar4">
    <w:name w:val="NumPar 4"/>
    <w:basedOn w:val="Normal"/>
    <w:next w:val="Text1"/>
    <w:pPr>
      <w:numPr>
        <w:ilvl w:val="3"/>
        <w:numId w:val="5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7"/>
      </w:numPr>
    </w:pPr>
  </w:style>
  <w:style w:type="paragraph" w:customStyle="1" w:styleId="Point1number">
    <w:name w:val="Point 1 (number)"/>
    <w:basedOn w:val="Normal"/>
    <w:pPr>
      <w:numPr>
        <w:ilvl w:val="2"/>
        <w:numId w:val="57"/>
      </w:numPr>
    </w:pPr>
  </w:style>
  <w:style w:type="paragraph" w:customStyle="1" w:styleId="Point2number">
    <w:name w:val="Point 2 (number)"/>
    <w:basedOn w:val="Normal"/>
    <w:pPr>
      <w:numPr>
        <w:ilvl w:val="4"/>
        <w:numId w:val="57"/>
      </w:numPr>
    </w:pPr>
  </w:style>
  <w:style w:type="paragraph" w:customStyle="1" w:styleId="Point3number">
    <w:name w:val="Point 3 (number)"/>
    <w:basedOn w:val="Normal"/>
    <w:pPr>
      <w:numPr>
        <w:ilvl w:val="6"/>
        <w:numId w:val="57"/>
      </w:numPr>
    </w:pPr>
  </w:style>
  <w:style w:type="paragraph" w:customStyle="1" w:styleId="Point0letter">
    <w:name w:val="Point 0 (letter)"/>
    <w:basedOn w:val="Normal"/>
    <w:pPr>
      <w:numPr>
        <w:ilvl w:val="1"/>
        <w:numId w:val="57"/>
      </w:numPr>
    </w:pPr>
  </w:style>
  <w:style w:type="paragraph" w:customStyle="1" w:styleId="Point1letter">
    <w:name w:val="Point 1 (letter)"/>
    <w:basedOn w:val="Normal"/>
    <w:pPr>
      <w:numPr>
        <w:ilvl w:val="3"/>
        <w:numId w:val="57"/>
      </w:numPr>
    </w:pPr>
  </w:style>
  <w:style w:type="paragraph" w:customStyle="1" w:styleId="Point2letter">
    <w:name w:val="Point 2 (letter)"/>
    <w:basedOn w:val="Normal"/>
    <w:pPr>
      <w:numPr>
        <w:ilvl w:val="5"/>
        <w:numId w:val="57"/>
      </w:numPr>
    </w:pPr>
  </w:style>
  <w:style w:type="paragraph" w:customStyle="1" w:styleId="Point3letter">
    <w:name w:val="Point 3 (letter)"/>
    <w:basedOn w:val="Normal"/>
    <w:pPr>
      <w:numPr>
        <w:ilvl w:val="7"/>
        <w:numId w:val="57"/>
      </w:numPr>
    </w:pPr>
  </w:style>
  <w:style w:type="paragraph" w:customStyle="1" w:styleId="Point4letter">
    <w:name w:val="Point 4 (letter)"/>
    <w:basedOn w:val="Normal"/>
    <w:pPr>
      <w:numPr>
        <w:ilvl w:val="8"/>
        <w:numId w:val="57"/>
      </w:numPr>
    </w:pPr>
  </w:style>
  <w:style w:type="paragraph" w:customStyle="1" w:styleId="Bullet0">
    <w:name w:val="Bullet 0"/>
    <w:basedOn w:val="Normal"/>
    <w:pPr>
      <w:numPr>
        <w:numId w:val="58"/>
      </w:numPr>
    </w:pPr>
  </w:style>
  <w:style w:type="paragraph" w:customStyle="1" w:styleId="Bullet1">
    <w:name w:val="Bullet 1"/>
    <w:basedOn w:val="Normal"/>
    <w:pPr>
      <w:numPr>
        <w:numId w:val="59"/>
      </w:numPr>
    </w:pPr>
  </w:style>
  <w:style w:type="paragraph" w:customStyle="1" w:styleId="Bullet2">
    <w:name w:val="Bullet 2"/>
    <w:basedOn w:val="Normal"/>
    <w:pPr>
      <w:numPr>
        <w:numId w:val="60"/>
      </w:numPr>
    </w:pPr>
  </w:style>
  <w:style w:type="paragraph" w:customStyle="1" w:styleId="Bullet3">
    <w:name w:val="Bullet 3"/>
    <w:basedOn w:val="Normal"/>
    <w:pPr>
      <w:numPr>
        <w:numId w:val="61"/>
      </w:numPr>
    </w:pPr>
  </w:style>
  <w:style w:type="paragraph" w:customStyle="1" w:styleId="Bullet4">
    <w:name w:val="Bullet 4"/>
    <w:basedOn w:val="Normal"/>
    <w:pPr>
      <w:numPr>
        <w:numId w:val="6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24"/>
      </w:numPr>
      <w:spacing w:before="0" w:after="240"/>
    </w:pPr>
    <w:rPr>
      <w:rFonts w:eastAsia="Times New Roman"/>
      <w:szCs w:val="20"/>
    </w:rPr>
  </w:style>
  <w:style w:type="paragraph" w:styleId="ListBullet2">
    <w:name w:val="List Bullet 2"/>
    <w:basedOn w:val="Text2"/>
    <w:pPr>
      <w:numPr>
        <w:numId w:val="26"/>
      </w:numPr>
      <w:spacing w:before="0" w:after="240"/>
    </w:pPr>
    <w:rPr>
      <w:rFonts w:eastAsia="Times New Roman"/>
      <w:szCs w:val="20"/>
    </w:rPr>
  </w:style>
  <w:style w:type="paragraph" w:styleId="ListBullet3">
    <w:name w:val="List Bullet 3"/>
    <w:basedOn w:val="Text3"/>
    <w:pPr>
      <w:numPr>
        <w:numId w:val="27"/>
      </w:numPr>
      <w:spacing w:before="0" w:after="240"/>
    </w:pPr>
    <w:rPr>
      <w:rFonts w:eastAsia="Times New Roman"/>
      <w:szCs w:val="20"/>
    </w:rPr>
  </w:style>
  <w:style w:type="paragraph" w:styleId="ListBullet4">
    <w:name w:val="List Bullet 4"/>
    <w:basedOn w:val="Text4"/>
    <w:pPr>
      <w:numPr>
        <w:numId w:val="28"/>
      </w:numPr>
      <w:spacing w:before="0" w:after="240"/>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25"/>
      </w:numPr>
      <w:spacing w:before="0" w:after="240"/>
    </w:pPr>
    <w:rPr>
      <w:rFonts w:eastAsia="Times New Roman"/>
      <w:szCs w:val="20"/>
    </w:rPr>
  </w:style>
  <w:style w:type="paragraph" w:customStyle="1" w:styleId="ListDash">
    <w:name w:val="List Dash"/>
    <w:basedOn w:val="Normal"/>
    <w:pPr>
      <w:numPr>
        <w:numId w:val="29"/>
      </w:numPr>
      <w:spacing w:before="0" w:after="240"/>
    </w:pPr>
    <w:rPr>
      <w:rFonts w:eastAsia="Times New Roman"/>
      <w:szCs w:val="20"/>
    </w:rPr>
  </w:style>
  <w:style w:type="paragraph" w:customStyle="1" w:styleId="ListDash1">
    <w:name w:val="List Dash 1"/>
    <w:basedOn w:val="Text1"/>
    <w:pPr>
      <w:numPr>
        <w:numId w:val="30"/>
      </w:numPr>
      <w:spacing w:before="0" w:after="240"/>
    </w:pPr>
    <w:rPr>
      <w:rFonts w:eastAsia="Times New Roman"/>
      <w:szCs w:val="20"/>
    </w:rPr>
  </w:style>
  <w:style w:type="paragraph" w:customStyle="1" w:styleId="ListDash2">
    <w:name w:val="List Dash 2"/>
    <w:basedOn w:val="Text2"/>
    <w:pPr>
      <w:numPr>
        <w:numId w:val="31"/>
      </w:numPr>
      <w:spacing w:before="0" w:after="240"/>
    </w:pPr>
    <w:rPr>
      <w:rFonts w:eastAsia="Times New Roman"/>
      <w:szCs w:val="20"/>
    </w:rPr>
  </w:style>
  <w:style w:type="paragraph" w:customStyle="1" w:styleId="ListDash3">
    <w:name w:val="List Dash 3"/>
    <w:basedOn w:val="Text3"/>
    <w:pPr>
      <w:numPr>
        <w:numId w:val="32"/>
      </w:numPr>
      <w:spacing w:before="0" w:after="240"/>
    </w:pPr>
    <w:rPr>
      <w:rFonts w:eastAsia="Times New Roman"/>
      <w:szCs w:val="20"/>
    </w:rPr>
  </w:style>
  <w:style w:type="paragraph" w:customStyle="1" w:styleId="ListDash4">
    <w:name w:val="List Dash 4"/>
    <w:basedOn w:val="Text4"/>
    <w:pPr>
      <w:numPr>
        <w:numId w:val="33"/>
      </w:numPr>
      <w:spacing w:before="0" w:after="240"/>
    </w:pPr>
    <w:rPr>
      <w:rFonts w:eastAsia="Times New Roman"/>
      <w:szCs w:val="20"/>
    </w:rPr>
  </w:style>
  <w:style w:type="paragraph" w:styleId="ListNumber">
    <w:name w:val="List Number"/>
    <w:basedOn w:val="Normal"/>
    <w:pPr>
      <w:numPr>
        <w:numId w:val="34"/>
      </w:numPr>
      <w:spacing w:before="0" w:after="240"/>
    </w:pPr>
    <w:rPr>
      <w:rFonts w:eastAsia="Times New Roman"/>
      <w:szCs w:val="20"/>
    </w:rPr>
  </w:style>
  <w:style w:type="paragraph" w:customStyle="1" w:styleId="ListNumber1">
    <w:name w:val="List Number 1"/>
    <w:basedOn w:val="Text1"/>
    <w:pPr>
      <w:numPr>
        <w:numId w:val="35"/>
      </w:numPr>
      <w:spacing w:before="0" w:after="240"/>
    </w:pPr>
    <w:rPr>
      <w:rFonts w:eastAsia="Times New Roman"/>
      <w:szCs w:val="20"/>
    </w:rPr>
  </w:style>
  <w:style w:type="paragraph" w:styleId="ListNumber2">
    <w:name w:val="List Number 2"/>
    <w:basedOn w:val="Text2"/>
    <w:pPr>
      <w:numPr>
        <w:numId w:val="36"/>
      </w:numPr>
      <w:spacing w:before="0" w:after="240"/>
    </w:pPr>
    <w:rPr>
      <w:rFonts w:eastAsia="Times New Roman"/>
      <w:szCs w:val="20"/>
    </w:rPr>
  </w:style>
  <w:style w:type="paragraph" w:styleId="ListNumber3">
    <w:name w:val="List Number 3"/>
    <w:basedOn w:val="Text3"/>
    <w:pPr>
      <w:numPr>
        <w:numId w:val="37"/>
      </w:numPr>
      <w:spacing w:before="0" w:after="240"/>
    </w:pPr>
    <w:rPr>
      <w:rFonts w:eastAsia="Times New Roman"/>
      <w:szCs w:val="20"/>
    </w:rPr>
  </w:style>
  <w:style w:type="paragraph" w:styleId="ListNumber4">
    <w:name w:val="List Number 4"/>
    <w:basedOn w:val="Text4"/>
    <w:pPr>
      <w:numPr>
        <w:numId w:val="38"/>
      </w:numPr>
      <w:spacing w:before="0" w:after="240"/>
    </w:pPr>
    <w:rPr>
      <w:rFonts w:eastAsia="Times New Roman"/>
      <w:szCs w:val="20"/>
    </w:rPr>
  </w:style>
  <w:style w:type="paragraph" w:customStyle="1" w:styleId="ListNumberLevel2">
    <w:name w:val="List Number (Level 2)"/>
    <w:basedOn w:val="Normal"/>
    <w:pPr>
      <w:numPr>
        <w:ilvl w:val="1"/>
        <w:numId w:val="34"/>
      </w:numPr>
      <w:spacing w:before="0" w:after="240"/>
    </w:pPr>
    <w:rPr>
      <w:rFonts w:eastAsia="Times New Roman"/>
      <w:szCs w:val="20"/>
    </w:rPr>
  </w:style>
  <w:style w:type="paragraph" w:customStyle="1" w:styleId="ListNumber1Level2">
    <w:name w:val="List Number 1 (Level 2)"/>
    <w:basedOn w:val="Text1"/>
    <w:pPr>
      <w:numPr>
        <w:ilvl w:val="1"/>
        <w:numId w:val="35"/>
      </w:numPr>
      <w:spacing w:before="0" w:after="240"/>
    </w:pPr>
    <w:rPr>
      <w:rFonts w:eastAsia="Times New Roman"/>
      <w:szCs w:val="20"/>
    </w:rPr>
  </w:style>
  <w:style w:type="paragraph" w:customStyle="1" w:styleId="ListNumber2Level2">
    <w:name w:val="List Number 2 (Level 2)"/>
    <w:basedOn w:val="Text2"/>
    <w:pPr>
      <w:numPr>
        <w:ilvl w:val="1"/>
        <w:numId w:val="36"/>
      </w:numPr>
      <w:spacing w:before="0" w:after="240"/>
    </w:pPr>
    <w:rPr>
      <w:rFonts w:eastAsia="Times New Roman"/>
      <w:szCs w:val="20"/>
    </w:rPr>
  </w:style>
  <w:style w:type="paragraph" w:customStyle="1" w:styleId="ListNumber3Level2">
    <w:name w:val="List Number 3 (Level 2)"/>
    <w:basedOn w:val="Text3"/>
    <w:pPr>
      <w:numPr>
        <w:ilvl w:val="1"/>
        <w:numId w:val="37"/>
      </w:numPr>
      <w:spacing w:before="0" w:after="240"/>
    </w:pPr>
    <w:rPr>
      <w:rFonts w:eastAsia="Times New Roman"/>
      <w:szCs w:val="20"/>
    </w:rPr>
  </w:style>
  <w:style w:type="paragraph" w:customStyle="1" w:styleId="ListNumber4Level2">
    <w:name w:val="List Number 4 (Level 2)"/>
    <w:basedOn w:val="Text4"/>
    <w:pPr>
      <w:numPr>
        <w:ilvl w:val="1"/>
        <w:numId w:val="38"/>
      </w:numPr>
      <w:spacing w:before="0" w:after="240"/>
    </w:pPr>
    <w:rPr>
      <w:rFonts w:eastAsia="Times New Roman"/>
      <w:szCs w:val="20"/>
    </w:rPr>
  </w:style>
  <w:style w:type="paragraph" w:customStyle="1" w:styleId="ListNumberLevel3">
    <w:name w:val="List Number (Level 3)"/>
    <w:basedOn w:val="Normal"/>
    <w:pPr>
      <w:numPr>
        <w:ilvl w:val="2"/>
        <w:numId w:val="34"/>
      </w:numPr>
      <w:spacing w:before="0" w:after="240"/>
    </w:pPr>
    <w:rPr>
      <w:rFonts w:eastAsia="Times New Roman"/>
      <w:szCs w:val="20"/>
    </w:rPr>
  </w:style>
  <w:style w:type="paragraph" w:customStyle="1" w:styleId="ListNumber1Level3">
    <w:name w:val="List Number 1 (Level 3)"/>
    <w:basedOn w:val="Text1"/>
    <w:pPr>
      <w:numPr>
        <w:ilvl w:val="2"/>
        <w:numId w:val="35"/>
      </w:numPr>
      <w:spacing w:before="0" w:after="240"/>
    </w:pPr>
    <w:rPr>
      <w:rFonts w:eastAsia="Times New Roman"/>
      <w:szCs w:val="20"/>
    </w:rPr>
  </w:style>
  <w:style w:type="paragraph" w:customStyle="1" w:styleId="ListNumber2Level3">
    <w:name w:val="List Number 2 (Level 3)"/>
    <w:basedOn w:val="Text2"/>
    <w:pPr>
      <w:numPr>
        <w:ilvl w:val="2"/>
        <w:numId w:val="36"/>
      </w:numPr>
      <w:spacing w:before="0" w:after="240"/>
    </w:pPr>
    <w:rPr>
      <w:rFonts w:eastAsia="Times New Roman"/>
      <w:szCs w:val="20"/>
    </w:rPr>
  </w:style>
  <w:style w:type="paragraph" w:customStyle="1" w:styleId="ListNumber3Level3">
    <w:name w:val="List Number 3 (Level 3)"/>
    <w:basedOn w:val="Text3"/>
    <w:pPr>
      <w:numPr>
        <w:ilvl w:val="2"/>
        <w:numId w:val="37"/>
      </w:numPr>
      <w:spacing w:before="0" w:after="240"/>
    </w:pPr>
    <w:rPr>
      <w:rFonts w:eastAsia="Times New Roman"/>
      <w:szCs w:val="20"/>
    </w:rPr>
  </w:style>
  <w:style w:type="paragraph" w:customStyle="1" w:styleId="ListNumber4Level3">
    <w:name w:val="List Number 4 (Level 3)"/>
    <w:basedOn w:val="Text4"/>
    <w:pPr>
      <w:numPr>
        <w:ilvl w:val="2"/>
        <w:numId w:val="38"/>
      </w:numPr>
      <w:spacing w:before="0" w:after="240"/>
    </w:pPr>
    <w:rPr>
      <w:rFonts w:eastAsia="Times New Roman"/>
      <w:szCs w:val="20"/>
    </w:rPr>
  </w:style>
  <w:style w:type="paragraph" w:customStyle="1" w:styleId="ListNumberLevel4">
    <w:name w:val="List Number (Level 4)"/>
    <w:basedOn w:val="Normal"/>
    <w:pPr>
      <w:numPr>
        <w:ilvl w:val="3"/>
        <w:numId w:val="34"/>
      </w:numPr>
      <w:spacing w:before="0" w:after="240"/>
    </w:pPr>
    <w:rPr>
      <w:rFonts w:eastAsia="Times New Roman"/>
      <w:szCs w:val="20"/>
    </w:rPr>
  </w:style>
  <w:style w:type="paragraph" w:customStyle="1" w:styleId="ListNumber1Level4">
    <w:name w:val="List Number 1 (Level 4)"/>
    <w:basedOn w:val="Text1"/>
    <w:pPr>
      <w:numPr>
        <w:ilvl w:val="3"/>
        <w:numId w:val="35"/>
      </w:numPr>
      <w:spacing w:before="0" w:after="240"/>
    </w:pPr>
    <w:rPr>
      <w:rFonts w:eastAsia="Times New Roman"/>
      <w:szCs w:val="20"/>
    </w:rPr>
  </w:style>
  <w:style w:type="paragraph" w:customStyle="1" w:styleId="ListNumber2Level4">
    <w:name w:val="List Number 2 (Level 4)"/>
    <w:basedOn w:val="Text2"/>
    <w:pPr>
      <w:numPr>
        <w:ilvl w:val="3"/>
        <w:numId w:val="36"/>
      </w:numPr>
      <w:spacing w:before="0" w:after="240"/>
    </w:pPr>
    <w:rPr>
      <w:rFonts w:eastAsia="Times New Roman"/>
      <w:szCs w:val="20"/>
    </w:rPr>
  </w:style>
  <w:style w:type="paragraph" w:customStyle="1" w:styleId="ListNumber3Level4">
    <w:name w:val="List Number 3 (Level 4)"/>
    <w:basedOn w:val="Text3"/>
    <w:pPr>
      <w:numPr>
        <w:ilvl w:val="3"/>
        <w:numId w:val="37"/>
      </w:numPr>
      <w:spacing w:before="0" w:after="240"/>
    </w:pPr>
    <w:rPr>
      <w:rFonts w:eastAsia="Times New Roman"/>
      <w:szCs w:val="20"/>
    </w:rPr>
  </w:style>
  <w:style w:type="paragraph" w:customStyle="1" w:styleId="ListNumber4Level4">
    <w:name w:val="List Number 4 (Level 4)"/>
    <w:basedOn w:val="Text4"/>
    <w:pPr>
      <w:numPr>
        <w:ilvl w:val="3"/>
        <w:numId w:val="38"/>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0"/>
      </w:numPr>
    </w:pPr>
  </w:style>
  <w:style w:type="paragraph" w:customStyle="1" w:styleId="Tiret1">
    <w:name w:val="Tiret 1"/>
    <w:basedOn w:val="Point1"/>
    <w:pPr>
      <w:numPr>
        <w:numId w:val="51"/>
      </w:numPr>
    </w:pPr>
  </w:style>
  <w:style w:type="paragraph" w:customStyle="1" w:styleId="Tiret2">
    <w:name w:val="Tiret 2"/>
    <w:basedOn w:val="Point2"/>
    <w:pPr>
      <w:numPr>
        <w:numId w:val="52"/>
      </w:numPr>
    </w:pPr>
  </w:style>
  <w:style w:type="paragraph" w:customStyle="1" w:styleId="Tiret3">
    <w:name w:val="Tiret 3"/>
    <w:basedOn w:val="Point3"/>
    <w:pPr>
      <w:numPr>
        <w:numId w:val="53"/>
      </w:numPr>
    </w:pPr>
  </w:style>
  <w:style w:type="paragraph" w:customStyle="1" w:styleId="Tiret4">
    <w:name w:val="Tiret 4"/>
    <w:basedOn w:val="Point4"/>
    <w:pPr>
      <w:numPr>
        <w:numId w:val="5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5"/>
      </w:numPr>
    </w:pPr>
  </w:style>
  <w:style w:type="paragraph" w:customStyle="1" w:styleId="NumPar2">
    <w:name w:val="NumPar 2"/>
    <w:basedOn w:val="Normal"/>
    <w:next w:val="Text1"/>
    <w:pPr>
      <w:numPr>
        <w:ilvl w:val="1"/>
        <w:numId w:val="55"/>
      </w:numPr>
    </w:pPr>
  </w:style>
  <w:style w:type="paragraph" w:customStyle="1" w:styleId="NumPar3">
    <w:name w:val="NumPar 3"/>
    <w:basedOn w:val="Normal"/>
    <w:next w:val="Text1"/>
    <w:pPr>
      <w:numPr>
        <w:ilvl w:val="2"/>
        <w:numId w:val="55"/>
      </w:numPr>
    </w:pPr>
  </w:style>
  <w:style w:type="paragraph" w:customStyle="1" w:styleId="NumPar4">
    <w:name w:val="NumPar 4"/>
    <w:basedOn w:val="Normal"/>
    <w:next w:val="Text1"/>
    <w:pPr>
      <w:numPr>
        <w:ilvl w:val="3"/>
        <w:numId w:val="5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7"/>
      </w:numPr>
    </w:pPr>
  </w:style>
  <w:style w:type="paragraph" w:customStyle="1" w:styleId="Point1number">
    <w:name w:val="Point 1 (number)"/>
    <w:basedOn w:val="Normal"/>
    <w:pPr>
      <w:numPr>
        <w:ilvl w:val="2"/>
        <w:numId w:val="57"/>
      </w:numPr>
    </w:pPr>
  </w:style>
  <w:style w:type="paragraph" w:customStyle="1" w:styleId="Point2number">
    <w:name w:val="Point 2 (number)"/>
    <w:basedOn w:val="Normal"/>
    <w:pPr>
      <w:numPr>
        <w:ilvl w:val="4"/>
        <w:numId w:val="57"/>
      </w:numPr>
    </w:pPr>
  </w:style>
  <w:style w:type="paragraph" w:customStyle="1" w:styleId="Point3number">
    <w:name w:val="Point 3 (number)"/>
    <w:basedOn w:val="Normal"/>
    <w:pPr>
      <w:numPr>
        <w:ilvl w:val="6"/>
        <w:numId w:val="57"/>
      </w:numPr>
    </w:pPr>
  </w:style>
  <w:style w:type="paragraph" w:customStyle="1" w:styleId="Point0letter">
    <w:name w:val="Point 0 (letter)"/>
    <w:basedOn w:val="Normal"/>
    <w:pPr>
      <w:numPr>
        <w:ilvl w:val="1"/>
        <w:numId w:val="57"/>
      </w:numPr>
    </w:pPr>
  </w:style>
  <w:style w:type="paragraph" w:customStyle="1" w:styleId="Point1letter">
    <w:name w:val="Point 1 (letter)"/>
    <w:basedOn w:val="Normal"/>
    <w:pPr>
      <w:numPr>
        <w:ilvl w:val="3"/>
        <w:numId w:val="57"/>
      </w:numPr>
    </w:pPr>
  </w:style>
  <w:style w:type="paragraph" w:customStyle="1" w:styleId="Point2letter">
    <w:name w:val="Point 2 (letter)"/>
    <w:basedOn w:val="Normal"/>
    <w:pPr>
      <w:numPr>
        <w:ilvl w:val="5"/>
        <w:numId w:val="57"/>
      </w:numPr>
    </w:pPr>
  </w:style>
  <w:style w:type="paragraph" w:customStyle="1" w:styleId="Point3letter">
    <w:name w:val="Point 3 (letter)"/>
    <w:basedOn w:val="Normal"/>
    <w:pPr>
      <w:numPr>
        <w:ilvl w:val="7"/>
        <w:numId w:val="57"/>
      </w:numPr>
    </w:pPr>
  </w:style>
  <w:style w:type="paragraph" w:customStyle="1" w:styleId="Point4letter">
    <w:name w:val="Point 4 (letter)"/>
    <w:basedOn w:val="Normal"/>
    <w:pPr>
      <w:numPr>
        <w:ilvl w:val="8"/>
        <w:numId w:val="57"/>
      </w:numPr>
    </w:pPr>
  </w:style>
  <w:style w:type="paragraph" w:customStyle="1" w:styleId="Bullet0">
    <w:name w:val="Bullet 0"/>
    <w:basedOn w:val="Normal"/>
    <w:pPr>
      <w:numPr>
        <w:numId w:val="58"/>
      </w:numPr>
    </w:pPr>
  </w:style>
  <w:style w:type="paragraph" w:customStyle="1" w:styleId="Bullet1">
    <w:name w:val="Bullet 1"/>
    <w:basedOn w:val="Normal"/>
    <w:pPr>
      <w:numPr>
        <w:numId w:val="59"/>
      </w:numPr>
    </w:pPr>
  </w:style>
  <w:style w:type="paragraph" w:customStyle="1" w:styleId="Bullet2">
    <w:name w:val="Bullet 2"/>
    <w:basedOn w:val="Normal"/>
    <w:pPr>
      <w:numPr>
        <w:numId w:val="60"/>
      </w:numPr>
    </w:pPr>
  </w:style>
  <w:style w:type="paragraph" w:customStyle="1" w:styleId="Bullet3">
    <w:name w:val="Bullet 3"/>
    <w:basedOn w:val="Normal"/>
    <w:pPr>
      <w:numPr>
        <w:numId w:val="61"/>
      </w:numPr>
    </w:pPr>
  </w:style>
  <w:style w:type="paragraph" w:customStyle="1" w:styleId="Bullet4">
    <w:name w:val="Bullet 4"/>
    <w:basedOn w:val="Normal"/>
    <w:pPr>
      <w:numPr>
        <w:numId w:val="6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bi-europe.eu/sites/default/files/documents/BBI_JU_annual_Work_plan_2014.pdf" TargetMode="External"/><Relationship Id="rId7" Type="http://schemas.openxmlformats.org/officeDocument/2006/relationships/hyperlink" Target="http://bookshop.europa.eu/en/circular-approaches-to-phosphorus-pbKI0115204/" TargetMode="External"/><Relationship Id="rId2" Type="http://schemas.openxmlformats.org/officeDocument/2006/relationships/hyperlink" Target="http://ec.europa.eu/research/bioeconomy/index.cfm" TargetMode="External"/><Relationship Id="rId1" Type="http://schemas.openxmlformats.org/officeDocument/2006/relationships/hyperlink" Target="http://ec.europa.eu/smart-regulation/evaluation/search/download.do?documentId=4416" TargetMode="External"/><Relationship Id="rId6" Type="http://schemas.openxmlformats.org/officeDocument/2006/relationships/hyperlink" Target="http://bookshop.europa.eu/en/study-on-options-to-fully-harmonise-the-eu-legislation-on-fertilising-materials-including-technical-feasibility-environmental-economic-and-social-impacts-pbNB0114252/" TargetMode="External"/><Relationship Id="rId5" Type="http://schemas.openxmlformats.org/officeDocument/2006/relationships/hyperlink" Target="http://ec.europa.eu/smart-regulation/roadmaps/docs/2012_grow_001_fertilisers_en.pdf" TargetMode="External"/><Relationship Id="rId4" Type="http://schemas.openxmlformats.org/officeDocument/2006/relationships/hyperlink" Target="http://ec.europa.eu/transparency/regexpert/index.cfm?do=groupDetail.groupDetail&amp;groupID=1320&amp;NewSearch=1&amp;NewSearch=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06F2-3166-4CA0-83ED-1CC723FC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51</Pages>
  <Words>18125</Words>
  <Characters>108572</Characters>
  <Application>Microsoft Office Word</Application>
  <DocSecurity>0</DocSecurity>
  <Lines>2048</Lines>
  <Paragraphs>546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2016-02-18T14:53:00Z</cp:lastPrinted>
  <dcterms:created xsi:type="dcterms:W3CDTF">2016-03-11T16:45:00Z</dcterms:created>
  <dcterms:modified xsi:type="dcterms:W3CDTF">2016-03-16T12:13:00Z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Formatting">
    <vt:lpwstr>4.1</vt:lpwstr>
  </property>
  <property fmtid="{D5CDD505-2E9C-101B-9397-08002B2CF9AE}" pid="11" name="DQCStatus">
    <vt:lpwstr>Green (DQC version 03)</vt:lpwstr>
  </property>
</Properties>
</file>