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DC652FDE1904F49A0E09924E24E608A" style="width:451.25pt;height:339.0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NumPar1"/>
        <w:rPr>
          <w:noProof/>
        </w:rPr>
      </w:pPr>
      <w:r>
        <w:t>1.</w:t>
      </w:r>
      <w:r>
        <w:tab/>
      </w:r>
      <w:r>
        <w:rPr>
          <w:noProof/>
        </w:rPr>
        <w:t>Приложимите разпоредби за предоставяне на финансово участие от Европейския фонд за приспособяване към глобализацията (ЕФПГ) са определени в Регламент (ЕС) № 1309/2013 на Европейския парламент и на Съвета от 17 декември 2013 г. относно Европейския фонд за приспособяване към глобализацията (2014 — 2020 г.) и за отмяна на Регламент (ЕО) № 1927/2006</w:t>
      </w:r>
      <w:r>
        <w:rPr>
          <w:rStyle w:val="FootnoteReference"/>
          <w:noProof/>
        </w:rPr>
        <w:footnoteReference w:id="1"/>
      </w:r>
      <w:r>
        <w:rPr>
          <w:noProof/>
        </w:rPr>
        <w:t xml:space="preserve"> („Регламента за ЕФПГ“).</w:t>
      </w:r>
    </w:p>
    <w:p>
      <w:pPr>
        <w:pStyle w:val="ManualNumPar1"/>
        <w:rPr>
          <w:noProof/>
        </w:rPr>
      </w:pPr>
      <w:r>
        <w:t>2.</w:t>
      </w:r>
      <w:r>
        <w:tab/>
      </w:r>
      <w:r>
        <w:rPr>
          <w:noProof/>
        </w:rPr>
        <w:t>На 17 декември 2015 г. белгийските органи подадоха заявление EGF/2015/012 BE/Hainaut Machinery за предоставяне на финансово участие от ЕФПГ вследствие на съкращения</w:t>
      </w:r>
      <w:r>
        <w:rPr>
          <w:rStyle w:val="FootnoteReference"/>
          <w:noProof/>
        </w:rPr>
        <w:footnoteReference w:id="2"/>
      </w:r>
      <w:r>
        <w:rPr>
          <w:noProof/>
        </w:rPr>
        <w:t xml:space="preserve"> в икономически отрасъл от разделение 28 по NACE Rev. 2 („Производство на машини и оборудване, с общо и специално предназначение“) в региона на ниво 2 по NUTS Hainaut (BE32) в Белгия.</w:t>
      </w:r>
    </w:p>
    <w:p>
      <w:pPr>
        <w:pStyle w:val="ManualNumPar1"/>
        <w:rPr>
          <w:noProof/>
        </w:rPr>
      </w:pPr>
      <w:r>
        <w:t>3.</w:t>
      </w:r>
      <w:r>
        <w:tab/>
      </w:r>
      <w:r>
        <w:rPr>
          <w:noProof/>
        </w:rPr>
        <w:t xml:space="preserve">След като направи оценка на настоящото заявление, Комисията заключи в съответствие с всички приложими разпоредби на регламента за ЕФПГ, че условията за предоставяне на финансово участие от ЕФПГ са изпълнени. </w:t>
      </w:r>
    </w:p>
    <w:p>
      <w:pPr>
        <w:pStyle w:val="ManualHeading1"/>
        <w:rPr>
          <w:noProof/>
        </w:rPr>
      </w:pPr>
      <w:r>
        <w:t>2.</w:t>
      </w:r>
      <w:r>
        <w:tab/>
      </w:r>
      <w:r>
        <w:rPr>
          <w:noProof/>
        </w:rPr>
        <w:t>ОБОБЩЕНИ ДАННИ ЗА ЗАЯВЛЕНИЕТО</w:t>
      </w:r>
    </w:p>
    <w:p>
      <w:pPr>
        <w:rPr>
          <w:noProof/>
        </w:rPr>
      </w:pPr>
    </w:p>
    <w:tbl>
      <w:tblPr>
        <w:tblW w:w="0" w:type="auto"/>
        <w:tblBorders>
          <w:top w:val="single" w:sz="4" w:space="0" w:color="auto"/>
          <w:left w:val="nil"/>
          <w:bottom w:val="single" w:sz="4" w:space="0" w:color="auto"/>
          <w:right w:val="nil"/>
          <w:insideH w:val="single" w:sz="4" w:space="0" w:color="auto"/>
          <w:insideV w:val="single" w:sz="4" w:space="0" w:color="auto"/>
        </w:tblBorders>
        <w:tblLook w:val="04A0" w:firstRow="1" w:lastRow="0" w:firstColumn="1" w:lastColumn="0" w:noHBand="0" w:noVBand="1"/>
      </w:tblPr>
      <w:tblGrid>
        <w:gridCol w:w="4503"/>
        <w:gridCol w:w="4786"/>
      </w:tblGrid>
      <w:tr>
        <w:tc>
          <w:tcPr>
            <w:tcW w:w="4503" w:type="dxa"/>
            <w:shd w:val="clear" w:color="auto" w:fill="auto"/>
          </w:tcPr>
          <w:p>
            <w:pPr>
              <w:spacing w:before="60" w:after="60"/>
              <w:jc w:val="left"/>
              <w:rPr>
                <w:noProof/>
              </w:rPr>
            </w:pPr>
            <w:r>
              <w:rPr>
                <w:noProof/>
              </w:rPr>
              <w:t>Заявление по ЕФПГ</w:t>
            </w:r>
          </w:p>
        </w:tc>
        <w:tc>
          <w:tcPr>
            <w:tcW w:w="4786" w:type="dxa"/>
            <w:shd w:val="clear" w:color="auto" w:fill="auto"/>
          </w:tcPr>
          <w:p>
            <w:pPr>
              <w:spacing w:before="60" w:after="60"/>
              <w:ind w:rightChars="192" w:right="461"/>
              <w:jc w:val="left"/>
              <w:rPr>
                <w:noProof/>
              </w:rPr>
            </w:pPr>
            <w:r>
              <w:rPr>
                <w:noProof/>
              </w:rPr>
              <w:t>EGF/2015/012 BE/Hainaut Machinery</w:t>
            </w:r>
          </w:p>
        </w:tc>
      </w:tr>
      <w:tr>
        <w:tc>
          <w:tcPr>
            <w:tcW w:w="4503" w:type="dxa"/>
            <w:shd w:val="clear" w:color="auto" w:fill="auto"/>
          </w:tcPr>
          <w:p>
            <w:pPr>
              <w:spacing w:before="60" w:after="60"/>
              <w:jc w:val="left"/>
              <w:rPr>
                <w:noProof/>
              </w:rPr>
            </w:pPr>
            <w:r>
              <w:rPr>
                <w:noProof/>
              </w:rPr>
              <w:t>Държава членка</w:t>
            </w:r>
          </w:p>
        </w:tc>
        <w:tc>
          <w:tcPr>
            <w:tcW w:w="4786" w:type="dxa"/>
            <w:shd w:val="clear" w:color="auto" w:fill="auto"/>
          </w:tcPr>
          <w:p>
            <w:pPr>
              <w:spacing w:before="60" w:after="60"/>
              <w:ind w:rightChars="192" w:right="461"/>
              <w:jc w:val="left"/>
              <w:rPr>
                <w:noProof/>
              </w:rPr>
            </w:pPr>
            <w:r>
              <w:rPr>
                <w:noProof/>
              </w:rPr>
              <w:t>Белгия</w:t>
            </w:r>
          </w:p>
        </w:tc>
      </w:tr>
      <w:tr>
        <w:tc>
          <w:tcPr>
            <w:tcW w:w="4503" w:type="dxa"/>
            <w:tcBorders>
              <w:bottom w:val="single" w:sz="4" w:space="0" w:color="auto"/>
            </w:tcBorders>
            <w:shd w:val="clear" w:color="auto" w:fill="auto"/>
          </w:tcPr>
          <w:p>
            <w:pPr>
              <w:spacing w:before="60" w:after="60"/>
              <w:jc w:val="left"/>
              <w:rPr>
                <w:noProof/>
              </w:rPr>
            </w:pPr>
            <w:r>
              <w:rPr>
                <w:noProof/>
              </w:rPr>
              <w:t>Засегнат(и) регион(и) (ниво 2 по NUTS</w:t>
            </w:r>
            <w:r>
              <w:rPr>
                <w:rStyle w:val="FootnoteReference"/>
                <w:noProof/>
              </w:rPr>
              <w:footnoteReference w:id="3"/>
            </w:r>
            <w:r>
              <w:rPr>
                <w:noProof/>
              </w:rPr>
              <w:t>)</w:t>
            </w:r>
          </w:p>
        </w:tc>
        <w:tc>
          <w:tcPr>
            <w:tcW w:w="4786" w:type="dxa"/>
            <w:tcBorders>
              <w:bottom w:val="single" w:sz="4" w:space="0" w:color="auto"/>
            </w:tcBorders>
            <w:shd w:val="clear" w:color="auto" w:fill="auto"/>
          </w:tcPr>
          <w:p>
            <w:pPr>
              <w:rPr>
                <w:noProof/>
              </w:rPr>
            </w:pPr>
            <w:r>
              <w:rPr>
                <w:noProof/>
              </w:rPr>
              <w:t>Hainaut (BE32)</w:t>
            </w:r>
          </w:p>
        </w:tc>
      </w:tr>
      <w:tr>
        <w:tc>
          <w:tcPr>
            <w:tcW w:w="4503" w:type="dxa"/>
            <w:tcBorders>
              <w:bottom w:val="dotted" w:sz="4" w:space="0" w:color="auto"/>
            </w:tcBorders>
            <w:shd w:val="clear" w:color="auto" w:fill="auto"/>
          </w:tcPr>
          <w:p>
            <w:pPr>
              <w:spacing w:before="60" w:after="60"/>
              <w:jc w:val="left"/>
              <w:rPr>
                <w:noProof/>
              </w:rPr>
            </w:pPr>
            <w:r>
              <w:rPr>
                <w:noProof/>
              </w:rPr>
              <w:t>Дата на подаване на заявлението</w:t>
            </w:r>
          </w:p>
        </w:tc>
        <w:tc>
          <w:tcPr>
            <w:tcW w:w="4786" w:type="dxa"/>
            <w:tcBorders>
              <w:bottom w:val="dotted" w:sz="4" w:space="0" w:color="auto"/>
            </w:tcBorders>
            <w:shd w:val="clear" w:color="auto" w:fill="auto"/>
          </w:tcPr>
          <w:p>
            <w:pPr>
              <w:spacing w:before="60" w:after="60"/>
              <w:ind w:rightChars="192" w:right="461"/>
              <w:jc w:val="left"/>
              <w:rPr>
                <w:noProof/>
              </w:rPr>
            </w:pPr>
            <w:r>
              <w:rPr>
                <w:noProof/>
              </w:rPr>
              <w:t>17 декември 2015 г.</w:t>
            </w:r>
          </w:p>
        </w:tc>
      </w:tr>
      <w:tr>
        <w:tc>
          <w:tcPr>
            <w:tcW w:w="4503" w:type="dxa"/>
            <w:tcBorders>
              <w:top w:val="dotted" w:sz="4" w:space="0" w:color="auto"/>
              <w:bottom w:val="dotted" w:sz="4" w:space="0" w:color="auto"/>
            </w:tcBorders>
            <w:shd w:val="clear" w:color="auto" w:fill="auto"/>
          </w:tcPr>
          <w:p>
            <w:pPr>
              <w:spacing w:before="60" w:after="60"/>
              <w:jc w:val="left"/>
              <w:rPr>
                <w:noProof/>
              </w:rPr>
            </w:pPr>
            <w:r>
              <w:rPr>
                <w:noProof/>
              </w:rPr>
              <w:t>Дата на потвърждението за получаване на заявлението</w:t>
            </w:r>
          </w:p>
        </w:tc>
        <w:tc>
          <w:tcPr>
            <w:tcW w:w="4786" w:type="dxa"/>
            <w:tcBorders>
              <w:top w:val="dotted" w:sz="4" w:space="0" w:color="auto"/>
              <w:bottom w:val="dotted" w:sz="4" w:space="0" w:color="auto"/>
            </w:tcBorders>
            <w:shd w:val="clear" w:color="auto" w:fill="auto"/>
          </w:tcPr>
          <w:p>
            <w:pPr>
              <w:spacing w:before="60" w:after="60"/>
              <w:ind w:rightChars="192" w:right="461"/>
              <w:jc w:val="left"/>
              <w:rPr>
                <w:noProof/>
              </w:rPr>
            </w:pPr>
            <w:r>
              <w:rPr>
                <w:noProof/>
              </w:rPr>
              <w:t>31 декември 2015 г.</w:t>
            </w:r>
          </w:p>
        </w:tc>
      </w:tr>
      <w:tr>
        <w:tc>
          <w:tcPr>
            <w:tcW w:w="4503" w:type="dxa"/>
            <w:tcBorders>
              <w:top w:val="dotted" w:sz="4" w:space="0" w:color="auto"/>
              <w:bottom w:val="dotted" w:sz="4" w:space="0" w:color="auto"/>
            </w:tcBorders>
            <w:shd w:val="clear" w:color="auto" w:fill="auto"/>
          </w:tcPr>
          <w:p>
            <w:pPr>
              <w:spacing w:before="60" w:after="60"/>
              <w:jc w:val="left"/>
              <w:rPr>
                <w:noProof/>
              </w:rPr>
            </w:pPr>
            <w:r>
              <w:rPr>
                <w:noProof/>
              </w:rPr>
              <w:t>Срок за искане на допълнителната информация</w:t>
            </w:r>
          </w:p>
        </w:tc>
        <w:tc>
          <w:tcPr>
            <w:tcW w:w="4786" w:type="dxa"/>
            <w:tcBorders>
              <w:top w:val="dotted" w:sz="4" w:space="0" w:color="auto"/>
              <w:bottom w:val="dotted" w:sz="4" w:space="0" w:color="auto"/>
            </w:tcBorders>
            <w:shd w:val="clear" w:color="auto" w:fill="auto"/>
          </w:tcPr>
          <w:p>
            <w:pPr>
              <w:spacing w:before="60" w:after="60"/>
              <w:ind w:rightChars="192" w:right="461"/>
              <w:jc w:val="left"/>
              <w:rPr>
                <w:noProof/>
              </w:rPr>
            </w:pPr>
            <w:r>
              <w:rPr>
                <w:noProof/>
              </w:rPr>
              <w:t>31 декември 2015 г.</w:t>
            </w:r>
          </w:p>
        </w:tc>
      </w:tr>
      <w:tr>
        <w:tc>
          <w:tcPr>
            <w:tcW w:w="4503" w:type="dxa"/>
            <w:tcBorders>
              <w:top w:val="dotted" w:sz="4" w:space="0" w:color="auto"/>
              <w:bottom w:val="dotted" w:sz="4" w:space="0" w:color="auto"/>
            </w:tcBorders>
            <w:shd w:val="clear" w:color="auto" w:fill="auto"/>
          </w:tcPr>
          <w:p>
            <w:pPr>
              <w:spacing w:before="60" w:after="60"/>
              <w:jc w:val="left"/>
              <w:rPr>
                <w:noProof/>
              </w:rPr>
            </w:pPr>
            <w:r>
              <w:rPr>
                <w:noProof/>
              </w:rPr>
              <w:t>Срок за предоставяне на допълнителната информация</w:t>
            </w:r>
          </w:p>
        </w:tc>
        <w:tc>
          <w:tcPr>
            <w:tcW w:w="4786" w:type="dxa"/>
            <w:tcBorders>
              <w:top w:val="dotted" w:sz="4" w:space="0" w:color="auto"/>
              <w:bottom w:val="dotted" w:sz="4" w:space="0" w:color="auto"/>
            </w:tcBorders>
            <w:shd w:val="clear" w:color="auto" w:fill="auto"/>
          </w:tcPr>
          <w:p>
            <w:pPr>
              <w:spacing w:before="60" w:after="60"/>
              <w:ind w:rightChars="192" w:right="461"/>
              <w:jc w:val="left"/>
              <w:rPr>
                <w:noProof/>
              </w:rPr>
            </w:pPr>
            <w:r>
              <w:rPr>
                <w:noProof/>
              </w:rPr>
              <w:t>11 февруари 2016 г.</w:t>
            </w:r>
          </w:p>
        </w:tc>
      </w:tr>
      <w:tr>
        <w:tc>
          <w:tcPr>
            <w:tcW w:w="4503" w:type="dxa"/>
            <w:tcBorders>
              <w:top w:val="dotted" w:sz="4" w:space="0" w:color="auto"/>
            </w:tcBorders>
            <w:shd w:val="clear" w:color="auto" w:fill="auto"/>
          </w:tcPr>
          <w:p>
            <w:pPr>
              <w:spacing w:before="60" w:after="60"/>
              <w:jc w:val="left"/>
              <w:rPr>
                <w:noProof/>
              </w:rPr>
            </w:pPr>
            <w:r>
              <w:rPr>
                <w:noProof/>
              </w:rPr>
              <w:t>Срок за приключване на оценката</w:t>
            </w:r>
          </w:p>
        </w:tc>
        <w:tc>
          <w:tcPr>
            <w:tcW w:w="4786" w:type="dxa"/>
            <w:tcBorders>
              <w:top w:val="dotted" w:sz="4" w:space="0" w:color="auto"/>
            </w:tcBorders>
            <w:shd w:val="clear" w:color="auto" w:fill="auto"/>
          </w:tcPr>
          <w:p>
            <w:pPr>
              <w:spacing w:before="60" w:after="60"/>
              <w:ind w:rightChars="192" w:right="461"/>
              <w:jc w:val="left"/>
              <w:rPr>
                <w:noProof/>
              </w:rPr>
            </w:pPr>
            <w:r>
              <w:rPr>
                <w:noProof/>
              </w:rPr>
              <w:t>5 май 2016 г.</w:t>
            </w:r>
          </w:p>
        </w:tc>
      </w:tr>
      <w:tr>
        <w:tc>
          <w:tcPr>
            <w:tcW w:w="4503" w:type="dxa"/>
            <w:shd w:val="clear" w:color="auto" w:fill="auto"/>
          </w:tcPr>
          <w:p>
            <w:pPr>
              <w:spacing w:before="60" w:after="60"/>
              <w:jc w:val="left"/>
              <w:rPr>
                <w:noProof/>
              </w:rPr>
            </w:pPr>
            <w:r>
              <w:rPr>
                <w:noProof/>
              </w:rPr>
              <w:t>Критерий за намеса</w:t>
            </w:r>
          </w:p>
        </w:tc>
        <w:tc>
          <w:tcPr>
            <w:tcW w:w="4786" w:type="dxa"/>
            <w:shd w:val="clear" w:color="auto" w:fill="auto"/>
          </w:tcPr>
          <w:p>
            <w:pPr>
              <w:spacing w:before="60" w:after="60"/>
              <w:ind w:rightChars="192" w:right="461"/>
              <w:jc w:val="left"/>
              <w:rPr>
                <w:noProof/>
              </w:rPr>
            </w:pPr>
            <w:r>
              <w:rPr>
                <w:noProof/>
              </w:rPr>
              <w:t>Член 4, параграф 2 от Регламента за ЕФПГ</w:t>
            </w:r>
          </w:p>
        </w:tc>
      </w:tr>
      <w:tr>
        <w:tc>
          <w:tcPr>
            <w:tcW w:w="4503" w:type="dxa"/>
            <w:tcBorders>
              <w:top w:val="single" w:sz="4" w:space="0" w:color="auto"/>
              <w:bottom w:val="single" w:sz="4" w:space="0" w:color="auto"/>
              <w:right w:val="single" w:sz="4" w:space="0" w:color="auto"/>
            </w:tcBorders>
            <w:shd w:val="clear" w:color="auto" w:fill="auto"/>
          </w:tcPr>
          <w:p>
            <w:pPr>
              <w:spacing w:before="60" w:after="60"/>
              <w:jc w:val="left"/>
              <w:rPr>
                <w:noProof/>
              </w:rPr>
            </w:pPr>
            <w:r>
              <w:rPr>
                <w:noProof/>
              </w:rPr>
              <w:t>Брой на засегнатите предприятия</w:t>
            </w:r>
          </w:p>
        </w:tc>
        <w:tc>
          <w:tcPr>
            <w:tcW w:w="4786"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3</w:t>
            </w:r>
          </w:p>
        </w:tc>
      </w:tr>
      <w:tr>
        <w:tc>
          <w:tcPr>
            <w:tcW w:w="4503" w:type="dxa"/>
            <w:shd w:val="clear" w:color="auto" w:fill="auto"/>
          </w:tcPr>
          <w:p>
            <w:pPr>
              <w:spacing w:before="60" w:after="60"/>
              <w:jc w:val="left"/>
              <w:rPr>
                <w:noProof/>
              </w:rPr>
            </w:pPr>
            <w:r>
              <w:rPr>
                <w:noProof/>
              </w:rPr>
              <w:t>Сектор(и) на икономическа дейност</w:t>
            </w:r>
          </w:p>
          <w:p>
            <w:pPr>
              <w:spacing w:before="60" w:after="60"/>
              <w:jc w:val="left"/>
              <w:rPr>
                <w:noProof/>
              </w:rPr>
            </w:pPr>
            <w:r>
              <w:rPr>
                <w:noProof/>
              </w:rPr>
              <w:t xml:space="preserve">(на равнище разделения по NACE Rev. </w:t>
            </w:r>
            <w:r>
              <w:rPr>
                <w:noProof/>
              </w:rPr>
              <w:lastRenderedPageBreak/>
              <w:t>2</w:t>
            </w:r>
            <w:r>
              <w:rPr>
                <w:rStyle w:val="FootnoteReference"/>
                <w:noProof/>
              </w:rPr>
              <w:footnoteReference w:id="4"/>
            </w:r>
            <w:r>
              <w:rPr>
                <w:noProof/>
              </w:rPr>
              <w:t>)</w:t>
            </w:r>
          </w:p>
        </w:tc>
        <w:tc>
          <w:tcPr>
            <w:tcW w:w="4786" w:type="dxa"/>
            <w:shd w:val="clear" w:color="auto" w:fill="auto"/>
          </w:tcPr>
          <w:p>
            <w:pPr>
              <w:rPr>
                <w:noProof/>
              </w:rPr>
            </w:pPr>
            <w:r>
              <w:rPr>
                <w:noProof/>
              </w:rPr>
              <w:lastRenderedPageBreak/>
              <w:t xml:space="preserve">28 („Производство на машини и оборудване, с общо и специално </w:t>
            </w:r>
            <w:r>
              <w:rPr>
                <w:noProof/>
              </w:rPr>
              <w:lastRenderedPageBreak/>
              <w:t>предназначение“)</w:t>
            </w:r>
          </w:p>
        </w:tc>
      </w:tr>
      <w:tr>
        <w:tc>
          <w:tcPr>
            <w:tcW w:w="4503" w:type="dxa"/>
            <w:tcBorders>
              <w:bottom w:val="single" w:sz="4" w:space="0" w:color="auto"/>
            </w:tcBorders>
            <w:shd w:val="clear" w:color="auto" w:fill="auto"/>
          </w:tcPr>
          <w:p>
            <w:pPr>
              <w:spacing w:before="60" w:after="60"/>
              <w:jc w:val="left"/>
              <w:rPr>
                <w:noProof/>
              </w:rPr>
            </w:pPr>
            <w:r>
              <w:rPr>
                <w:noProof/>
              </w:rPr>
              <w:lastRenderedPageBreak/>
              <w:t>Референтен период</w:t>
            </w:r>
          </w:p>
        </w:tc>
        <w:tc>
          <w:tcPr>
            <w:tcW w:w="4786" w:type="dxa"/>
            <w:tcBorders>
              <w:bottom w:val="single" w:sz="4" w:space="0" w:color="auto"/>
            </w:tcBorders>
            <w:shd w:val="clear" w:color="auto" w:fill="auto"/>
          </w:tcPr>
          <w:p>
            <w:pPr>
              <w:spacing w:before="60" w:after="60"/>
              <w:ind w:rightChars="192" w:right="461"/>
              <w:jc w:val="left"/>
              <w:rPr>
                <w:noProof/>
              </w:rPr>
            </w:pPr>
            <w:r>
              <w:rPr>
                <w:noProof/>
              </w:rPr>
              <w:t>25 декември 2014 г. — 25 септември 2015 г.</w:t>
            </w:r>
          </w:p>
        </w:tc>
      </w:tr>
      <w:tr>
        <w:tc>
          <w:tcPr>
            <w:tcW w:w="4503" w:type="dxa"/>
            <w:tcBorders>
              <w:top w:val="dotted" w:sz="4" w:space="0" w:color="auto"/>
              <w:bottom w:val="single" w:sz="4" w:space="0" w:color="auto"/>
            </w:tcBorders>
            <w:shd w:val="clear" w:color="auto" w:fill="auto"/>
          </w:tcPr>
          <w:p>
            <w:pPr>
              <w:spacing w:before="60" w:after="60"/>
              <w:jc w:val="left"/>
              <w:rPr>
                <w:noProof/>
              </w:rPr>
            </w:pPr>
            <w:r>
              <w:rPr>
                <w:noProof/>
              </w:rPr>
              <w:t>Общ брой на съкращенията</w:t>
            </w:r>
          </w:p>
        </w:tc>
        <w:tc>
          <w:tcPr>
            <w:tcW w:w="4786" w:type="dxa"/>
            <w:tcBorders>
              <w:top w:val="dotted" w:sz="4" w:space="0" w:color="auto"/>
              <w:bottom w:val="single" w:sz="4" w:space="0" w:color="auto"/>
            </w:tcBorders>
            <w:shd w:val="clear" w:color="auto" w:fill="auto"/>
          </w:tcPr>
          <w:p>
            <w:pPr>
              <w:spacing w:before="60" w:after="60"/>
              <w:ind w:rightChars="192" w:right="461"/>
              <w:jc w:val="left"/>
              <w:rPr>
                <w:noProof/>
              </w:rPr>
            </w:pPr>
            <w:r>
              <w:rPr>
                <w:noProof/>
              </w:rPr>
              <w:t>488</w:t>
            </w:r>
          </w:p>
        </w:tc>
      </w:tr>
      <w:tr>
        <w:tc>
          <w:tcPr>
            <w:tcW w:w="4503" w:type="dxa"/>
            <w:tcBorders>
              <w:bottom w:val="dotted" w:sz="4" w:space="0" w:color="auto"/>
            </w:tcBorders>
            <w:shd w:val="clear" w:color="auto" w:fill="auto"/>
          </w:tcPr>
          <w:p>
            <w:pPr>
              <w:spacing w:before="60" w:after="60"/>
              <w:jc w:val="left"/>
              <w:rPr>
                <w:noProof/>
              </w:rPr>
            </w:pPr>
            <w:r>
              <w:rPr>
                <w:noProof/>
              </w:rPr>
              <w:t>Общ брой на допустимите бенефициери от целевата група</w:t>
            </w:r>
          </w:p>
        </w:tc>
        <w:tc>
          <w:tcPr>
            <w:tcW w:w="4786" w:type="dxa"/>
            <w:tcBorders>
              <w:bottom w:val="dotted" w:sz="4" w:space="0" w:color="auto"/>
            </w:tcBorders>
            <w:shd w:val="clear" w:color="auto" w:fill="auto"/>
          </w:tcPr>
          <w:p>
            <w:pPr>
              <w:spacing w:before="60" w:after="60"/>
              <w:ind w:rightChars="192" w:right="461"/>
              <w:jc w:val="left"/>
              <w:rPr>
                <w:noProof/>
              </w:rPr>
            </w:pPr>
            <w:r>
              <w:rPr>
                <w:noProof/>
              </w:rPr>
              <w:t>488</w:t>
            </w:r>
          </w:p>
        </w:tc>
      </w:tr>
      <w:tr>
        <w:tc>
          <w:tcPr>
            <w:tcW w:w="4503" w:type="dxa"/>
            <w:tcBorders>
              <w:top w:val="dotted" w:sz="4" w:space="0" w:color="auto"/>
              <w:bottom w:val="dotted" w:sz="4" w:space="0" w:color="auto"/>
            </w:tcBorders>
            <w:shd w:val="clear" w:color="auto" w:fill="auto"/>
          </w:tcPr>
          <w:p>
            <w:pPr>
              <w:spacing w:before="60" w:after="60"/>
              <w:jc w:val="left"/>
              <w:rPr>
                <w:noProof/>
              </w:rPr>
            </w:pPr>
            <w:r>
              <w:rPr>
                <w:noProof/>
              </w:rPr>
              <w:t>Общ брой на бенефициерите от целевата група</w:t>
            </w:r>
          </w:p>
        </w:tc>
        <w:tc>
          <w:tcPr>
            <w:tcW w:w="4786" w:type="dxa"/>
            <w:tcBorders>
              <w:top w:val="dotted" w:sz="4" w:space="0" w:color="auto"/>
              <w:bottom w:val="dotted" w:sz="4" w:space="0" w:color="auto"/>
            </w:tcBorders>
            <w:shd w:val="clear" w:color="auto" w:fill="auto"/>
          </w:tcPr>
          <w:p>
            <w:pPr>
              <w:spacing w:before="60" w:after="60"/>
              <w:jc w:val="left"/>
              <w:rPr>
                <w:noProof/>
              </w:rPr>
            </w:pPr>
            <w:r>
              <w:rPr>
                <w:noProof/>
              </w:rPr>
              <w:t>488</w:t>
            </w:r>
          </w:p>
        </w:tc>
      </w:tr>
      <w:tr>
        <w:tc>
          <w:tcPr>
            <w:tcW w:w="4503" w:type="dxa"/>
            <w:tcBorders>
              <w:top w:val="dotted" w:sz="4" w:space="0" w:color="auto"/>
              <w:bottom w:val="single" w:sz="4" w:space="0" w:color="auto"/>
            </w:tcBorders>
            <w:shd w:val="clear" w:color="auto" w:fill="auto"/>
          </w:tcPr>
          <w:p>
            <w:pPr>
              <w:spacing w:before="60" w:after="60"/>
              <w:jc w:val="left"/>
              <w:rPr>
                <w:noProof/>
              </w:rPr>
            </w:pPr>
            <w:r>
              <w:rPr>
                <w:noProof/>
              </w:rPr>
              <w:t>Брой на младите хора от целевата група, които не работят и не са ангажирани в никаква форма на образование или обучение (NEET)</w:t>
            </w:r>
          </w:p>
        </w:tc>
        <w:tc>
          <w:tcPr>
            <w:tcW w:w="4786" w:type="dxa"/>
            <w:tcBorders>
              <w:top w:val="dotted" w:sz="4" w:space="0" w:color="auto"/>
              <w:bottom w:val="single" w:sz="4" w:space="0" w:color="auto"/>
            </w:tcBorders>
            <w:shd w:val="clear" w:color="auto" w:fill="auto"/>
          </w:tcPr>
          <w:p>
            <w:pPr>
              <w:spacing w:before="60" w:after="60"/>
              <w:jc w:val="left"/>
              <w:rPr>
                <w:noProof/>
              </w:rPr>
            </w:pPr>
            <w:r>
              <w:rPr>
                <w:noProof/>
              </w:rPr>
              <w:t>300</w:t>
            </w:r>
          </w:p>
        </w:tc>
      </w:tr>
      <w:tr>
        <w:tc>
          <w:tcPr>
            <w:tcW w:w="4503" w:type="dxa"/>
            <w:tcBorders>
              <w:bottom w:val="dotted" w:sz="4" w:space="0" w:color="auto"/>
            </w:tcBorders>
            <w:shd w:val="clear" w:color="auto" w:fill="auto"/>
          </w:tcPr>
          <w:p>
            <w:pPr>
              <w:spacing w:before="60" w:after="60"/>
              <w:jc w:val="left"/>
              <w:rPr>
                <w:noProof/>
              </w:rPr>
            </w:pPr>
            <w:r>
              <w:rPr>
                <w:noProof/>
              </w:rPr>
              <w:t>Бюджет за персонализирани услуги (EUR)</w:t>
            </w:r>
          </w:p>
        </w:tc>
        <w:tc>
          <w:tcPr>
            <w:tcW w:w="4786" w:type="dxa"/>
            <w:tcBorders>
              <w:bottom w:val="dotted" w:sz="4" w:space="0" w:color="auto"/>
            </w:tcBorders>
            <w:shd w:val="clear" w:color="auto" w:fill="auto"/>
          </w:tcPr>
          <w:p>
            <w:pPr>
              <w:spacing w:before="60" w:after="60"/>
              <w:jc w:val="left"/>
              <w:rPr>
                <w:noProof/>
              </w:rPr>
            </w:pPr>
            <w:r>
              <w:rPr>
                <w:noProof/>
              </w:rPr>
              <w:t>2 972 669</w:t>
            </w:r>
          </w:p>
        </w:tc>
      </w:tr>
      <w:tr>
        <w:tc>
          <w:tcPr>
            <w:tcW w:w="4503" w:type="dxa"/>
            <w:tcBorders>
              <w:top w:val="dotted" w:sz="4" w:space="0" w:color="auto"/>
              <w:bottom w:val="dotted" w:sz="4" w:space="0" w:color="auto"/>
            </w:tcBorders>
            <w:shd w:val="clear" w:color="auto" w:fill="auto"/>
            <w:vAlign w:val="center"/>
          </w:tcPr>
          <w:p>
            <w:pPr>
              <w:spacing w:after="0"/>
              <w:jc w:val="left"/>
              <w:rPr>
                <w:noProof/>
              </w:rPr>
            </w:pPr>
            <w:r>
              <w:rPr>
                <w:noProof/>
              </w:rPr>
              <w:t>Бюджет за прилагането на ЕФПГ</w:t>
            </w:r>
            <w:r>
              <w:rPr>
                <w:rStyle w:val="FootnoteReference"/>
                <w:noProof/>
              </w:rPr>
              <w:footnoteReference w:id="5"/>
            </w:r>
            <w:r>
              <w:rPr>
                <w:noProof/>
              </w:rPr>
              <w:t xml:space="preserve"> (EUR)</w:t>
            </w:r>
          </w:p>
        </w:tc>
        <w:tc>
          <w:tcPr>
            <w:tcW w:w="4786" w:type="dxa"/>
            <w:tcBorders>
              <w:top w:val="dotted" w:sz="4" w:space="0" w:color="auto"/>
              <w:bottom w:val="dotted" w:sz="4" w:space="0" w:color="auto"/>
            </w:tcBorders>
            <w:shd w:val="clear" w:color="auto" w:fill="auto"/>
            <w:vAlign w:val="center"/>
          </w:tcPr>
          <w:p>
            <w:pPr>
              <w:spacing w:before="60" w:after="60"/>
              <w:jc w:val="left"/>
              <w:rPr>
                <w:noProof/>
              </w:rPr>
            </w:pPr>
            <w:r>
              <w:rPr>
                <w:noProof/>
              </w:rPr>
              <w:t>67 400</w:t>
            </w:r>
          </w:p>
        </w:tc>
      </w:tr>
      <w:tr>
        <w:tc>
          <w:tcPr>
            <w:tcW w:w="4503" w:type="dxa"/>
            <w:tcBorders>
              <w:top w:val="dotted" w:sz="4" w:space="0" w:color="auto"/>
              <w:bottom w:val="dotted" w:sz="4" w:space="0" w:color="auto"/>
            </w:tcBorders>
            <w:shd w:val="clear" w:color="auto" w:fill="auto"/>
            <w:vAlign w:val="center"/>
          </w:tcPr>
          <w:p>
            <w:pPr>
              <w:spacing w:after="0"/>
              <w:jc w:val="left"/>
              <w:rPr>
                <w:noProof/>
              </w:rPr>
            </w:pPr>
            <w:r>
              <w:rPr>
                <w:noProof/>
              </w:rPr>
              <w:t>Общ бюджет (EUR)</w:t>
            </w:r>
          </w:p>
        </w:tc>
        <w:tc>
          <w:tcPr>
            <w:tcW w:w="4786" w:type="dxa"/>
            <w:tcBorders>
              <w:top w:val="dotted" w:sz="4" w:space="0" w:color="auto"/>
              <w:bottom w:val="dotted" w:sz="4" w:space="0" w:color="auto"/>
            </w:tcBorders>
            <w:shd w:val="clear" w:color="auto" w:fill="auto"/>
            <w:vAlign w:val="center"/>
          </w:tcPr>
          <w:p>
            <w:pPr>
              <w:spacing w:before="60" w:after="60"/>
              <w:jc w:val="left"/>
              <w:rPr>
                <w:noProof/>
              </w:rPr>
            </w:pPr>
            <w:r>
              <w:rPr>
                <w:noProof/>
              </w:rPr>
              <w:t>3 040 069</w:t>
            </w:r>
          </w:p>
        </w:tc>
      </w:tr>
      <w:tr>
        <w:tc>
          <w:tcPr>
            <w:tcW w:w="4503" w:type="dxa"/>
            <w:tcBorders>
              <w:top w:val="dotted" w:sz="4" w:space="0" w:color="auto"/>
            </w:tcBorders>
            <w:shd w:val="clear" w:color="auto" w:fill="auto"/>
            <w:vAlign w:val="center"/>
          </w:tcPr>
          <w:p>
            <w:pPr>
              <w:spacing w:after="0"/>
              <w:jc w:val="left"/>
              <w:rPr>
                <w:noProof/>
              </w:rPr>
            </w:pPr>
            <w:r>
              <w:rPr>
                <w:noProof/>
              </w:rPr>
              <w:t>Финансово участие от ЕФПГ (60 %) (EUR)</w:t>
            </w:r>
          </w:p>
        </w:tc>
        <w:tc>
          <w:tcPr>
            <w:tcW w:w="4786" w:type="dxa"/>
            <w:tcBorders>
              <w:top w:val="dotted" w:sz="4" w:space="0" w:color="auto"/>
            </w:tcBorders>
            <w:shd w:val="clear" w:color="auto" w:fill="auto"/>
            <w:vAlign w:val="center"/>
          </w:tcPr>
          <w:p>
            <w:pPr>
              <w:spacing w:before="60" w:after="60"/>
              <w:jc w:val="left"/>
              <w:rPr>
                <w:noProof/>
              </w:rPr>
            </w:pPr>
            <w:r>
              <w:rPr>
                <w:noProof/>
              </w:rPr>
              <w:t>1 824 041</w:t>
            </w:r>
          </w:p>
        </w:tc>
      </w:tr>
    </w:tbl>
    <w:p>
      <w:pPr>
        <w:rPr>
          <w:noProof/>
        </w:rPr>
      </w:pPr>
    </w:p>
    <w:p>
      <w:pPr>
        <w:pStyle w:val="ManualHeading1"/>
        <w:rPr>
          <w:noProof/>
        </w:rPr>
      </w:pPr>
      <w:r>
        <w:t>3.</w:t>
      </w:r>
      <w:r>
        <w:tab/>
      </w:r>
      <w:r>
        <w:rPr>
          <w:noProof/>
        </w:rPr>
        <w:t>ОЦЕНКА НА ЗАЯВЛЕНИЕТО</w:t>
      </w:r>
    </w:p>
    <w:p>
      <w:pPr>
        <w:pStyle w:val="ManualHeading2"/>
        <w:rPr>
          <w:noProof/>
        </w:rPr>
      </w:pPr>
      <w:r>
        <w:t>3.1.</w:t>
      </w:r>
      <w:r>
        <w:tab/>
      </w:r>
      <w:r>
        <w:rPr>
          <w:noProof/>
        </w:rPr>
        <w:t>Процедура</w:t>
      </w:r>
    </w:p>
    <w:p>
      <w:pPr>
        <w:pStyle w:val="ManualNumPar1"/>
        <w:rPr>
          <w:noProof/>
        </w:rPr>
      </w:pPr>
      <w:r>
        <w:t>4.</w:t>
      </w:r>
      <w:r>
        <w:tab/>
      </w:r>
      <w:r>
        <w:rPr>
          <w:noProof/>
        </w:rPr>
        <w:t xml:space="preserve">Белгийските органи подадоха заявление EGF/2015/012 BE/Hainaut Machinery на 17 декември 2015 г. в срок от 12 седмици от датата, на която са изпълнени критериите за намеса, определени в член 4 от Регламента за ЕФПГ. В двуседмичен срок от датата на подаването му Комисията потвърди, че е получила заявлението, и поиска допълнителна информация от белгийските органи. Допълнителната информация бе предоставена в шестседмичен срок от датата на искането. Предвиденият 12-седмичен срок от датата на получаване на пълното заявление, в който Комисията следва да приключи оценката си за това дали то отговаря на условията за предоставяне на финансово участие, изтича на 5 май 2016 г. </w:t>
      </w:r>
    </w:p>
    <w:p>
      <w:pPr>
        <w:pStyle w:val="ManualHeading2"/>
        <w:rPr>
          <w:noProof/>
        </w:rPr>
      </w:pPr>
      <w:r>
        <w:t>3.2.</w:t>
      </w:r>
      <w:r>
        <w:tab/>
      </w:r>
      <w:r>
        <w:rPr>
          <w:noProof/>
        </w:rPr>
        <w:t>Допустимост на заявлението</w:t>
      </w:r>
    </w:p>
    <w:p>
      <w:pPr>
        <w:pStyle w:val="ManualHeading3"/>
        <w:rPr>
          <w:noProof/>
        </w:rPr>
      </w:pPr>
      <w:r>
        <w:t>3.2.1.</w:t>
      </w:r>
      <w:r>
        <w:tab/>
      </w:r>
      <w:r>
        <w:rPr>
          <w:noProof/>
        </w:rPr>
        <w:t>Засегнати предприятия и бенефициери</w:t>
      </w:r>
    </w:p>
    <w:p>
      <w:pPr>
        <w:pStyle w:val="ManualNumPar1"/>
        <w:rPr>
          <w:noProof/>
          <w:szCs w:val="24"/>
        </w:rPr>
      </w:pPr>
      <w:r>
        <w:t>5.</w:t>
      </w:r>
      <w:r>
        <w:tab/>
      </w:r>
      <w:r>
        <w:rPr>
          <w:noProof/>
        </w:rPr>
        <w:t>Заявлението се отнася до 488 работници, съкратени в икономически отрасъл от разделение 28 на NACE Rev. 2 („Производство на машини и оборудване, с общо и специално предназначение“). Направените от предприятията съкращения са в региона на ниво 2 по NUTS Hainaut (BE32).</w:t>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300"/>
        <w:gridCol w:w="1200"/>
      </w:tblGrid>
      <w:tr>
        <w:trPr>
          <w:trHeight w:val="284"/>
          <w:tblHeader/>
        </w:trPr>
        <w:tc>
          <w:tcPr>
            <w:tcW w:w="8340" w:type="dxa"/>
            <w:gridSpan w:val="4"/>
            <w:shd w:val="clear" w:color="auto" w:fill="D9D9D9"/>
          </w:tcPr>
          <w:p>
            <w:pPr>
              <w:spacing w:beforeLines="20" w:before="48" w:afterLines="20" w:after="48" w:line="276" w:lineRule="auto"/>
              <w:ind w:left="57"/>
              <w:jc w:val="center"/>
              <w:rPr>
                <w:noProof/>
                <w:szCs w:val="24"/>
              </w:rPr>
            </w:pPr>
            <w:r>
              <w:rPr>
                <w:b/>
                <w:noProof/>
              </w:rPr>
              <w:t>Предприятия и брой на съкратените лица по време на референтния период</w:t>
            </w:r>
          </w:p>
        </w:tc>
      </w:tr>
      <w:tr>
        <w:tc>
          <w:tcPr>
            <w:tcW w:w="3360" w:type="dxa"/>
            <w:tcBorders>
              <w:bottom w:val="nil"/>
              <w:right w:val="nil"/>
            </w:tcBorders>
            <w:shd w:val="clear" w:color="auto" w:fill="auto"/>
            <w:vAlign w:val="center"/>
          </w:tcPr>
          <w:p>
            <w:pPr>
              <w:spacing w:after="0"/>
              <w:ind w:right="252"/>
              <w:jc w:val="left"/>
              <w:rPr>
                <w:noProof/>
              </w:rPr>
            </w:pPr>
            <w:r>
              <w:rPr>
                <w:noProof/>
              </w:rPr>
              <w:t xml:space="preserve">Carwall SA </w:t>
            </w:r>
          </w:p>
        </w:tc>
        <w:tc>
          <w:tcPr>
            <w:tcW w:w="4980" w:type="dxa"/>
            <w:gridSpan w:val="3"/>
            <w:tcBorders>
              <w:left w:val="nil"/>
              <w:bottom w:val="nil"/>
            </w:tcBorders>
            <w:shd w:val="clear" w:color="auto" w:fill="auto"/>
            <w:vAlign w:val="center"/>
          </w:tcPr>
          <w:p>
            <w:pPr>
              <w:spacing w:after="0"/>
              <w:ind w:left="-828"/>
              <w:jc w:val="right"/>
              <w:rPr>
                <w:noProof/>
              </w:rPr>
            </w:pPr>
            <w:r>
              <w:rPr>
                <w:noProof/>
              </w:rPr>
              <w:t xml:space="preserve">                                                                                                    13</w:t>
            </w:r>
          </w:p>
        </w:tc>
      </w:tr>
      <w:tr>
        <w:tc>
          <w:tcPr>
            <w:tcW w:w="3360" w:type="dxa"/>
            <w:tcBorders>
              <w:bottom w:val="nil"/>
              <w:right w:val="nil"/>
            </w:tcBorders>
            <w:shd w:val="clear" w:color="auto" w:fill="auto"/>
            <w:vAlign w:val="center"/>
          </w:tcPr>
          <w:p>
            <w:pPr>
              <w:spacing w:after="0"/>
              <w:ind w:right="252"/>
              <w:jc w:val="left"/>
              <w:rPr>
                <w:noProof/>
              </w:rPr>
            </w:pPr>
            <w:r>
              <w:rPr>
                <w:noProof/>
              </w:rPr>
              <w:t>Caterpillar Belgium SA</w:t>
            </w:r>
          </w:p>
        </w:tc>
        <w:tc>
          <w:tcPr>
            <w:tcW w:w="4980" w:type="dxa"/>
            <w:gridSpan w:val="3"/>
            <w:tcBorders>
              <w:left w:val="nil"/>
              <w:bottom w:val="nil"/>
            </w:tcBorders>
            <w:shd w:val="clear" w:color="auto" w:fill="auto"/>
            <w:vAlign w:val="center"/>
          </w:tcPr>
          <w:p>
            <w:pPr>
              <w:spacing w:after="0"/>
              <w:ind w:left="-828"/>
              <w:jc w:val="right"/>
              <w:rPr>
                <w:noProof/>
              </w:rPr>
            </w:pPr>
            <w:r>
              <w:rPr>
                <w:noProof/>
              </w:rPr>
              <w:t>169</w:t>
            </w:r>
          </w:p>
        </w:tc>
      </w:tr>
      <w:tr>
        <w:tc>
          <w:tcPr>
            <w:tcW w:w="3360" w:type="dxa"/>
            <w:tcBorders>
              <w:bottom w:val="nil"/>
              <w:right w:val="nil"/>
            </w:tcBorders>
            <w:shd w:val="clear" w:color="auto" w:fill="auto"/>
            <w:vAlign w:val="center"/>
          </w:tcPr>
          <w:p>
            <w:pPr>
              <w:spacing w:after="0"/>
              <w:ind w:right="252"/>
              <w:jc w:val="left"/>
              <w:rPr>
                <w:noProof/>
              </w:rPr>
            </w:pPr>
            <w:r>
              <w:rPr>
                <w:noProof/>
              </w:rPr>
              <w:t>Doosan SA</w:t>
            </w:r>
          </w:p>
        </w:tc>
        <w:tc>
          <w:tcPr>
            <w:tcW w:w="4980" w:type="dxa"/>
            <w:gridSpan w:val="3"/>
            <w:tcBorders>
              <w:left w:val="nil"/>
              <w:bottom w:val="nil"/>
            </w:tcBorders>
            <w:shd w:val="clear" w:color="auto" w:fill="auto"/>
            <w:vAlign w:val="center"/>
          </w:tcPr>
          <w:p>
            <w:pPr>
              <w:spacing w:after="0"/>
              <w:ind w:left="-828"/>
              <w:jc w:val="right"/>
              <w:rPr>
                <w:noProof/>
              </w:rPr>
            </w:pPr>
            <w:r>
              <w:rPr>
                <w:noProof/>
              </w:rPr>
              <w:t>306</w:t>
            </w: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b/>
                <w:noProof/>
                <w:szCs w:val="24"/>
              </w:rPr>
            </w:pPr>
            <w:r>
              <w:rPr>
                <w:noProof/>
              </w:rPr>
              <w:br w:type="page"/>
            </w:r>
            <w:r>
              <w:rPr>
                <w:b/>
                <w:noProof/>
              </w:rPr>
              <w:t>Общо предприятия: 3</w:t>
            </w:r>
          </w:p>
        </w:tc>
        <w:tc>
          <w:tcPr>
            <w:tcW w:w="3300" w:type="dxa"/>
            <w:tcBorders>
              <w:left w:val="nil"/>
              <w:bottom w:val="nil"/>
              <w:right w:val="nil"/>
            </w:tcBorders>
            <w:shd w:val="clear" w:color="auto" w:fill="E6E6E6"/>
            <w:vAlign w:val="center"/>
          </w:tcPr>
          <w:p>
            <w:pPr>
              <w:spacing w:beforeLines="20" w:before="48" w:afterLines="20" w:after="48" w:line="276" w:lineRule="auto"/>
              <w:ind w:left="57" w:right="227"/>
              <w:jc w:val="left"/>
              <w:rPr>
                <w:b/>
                <w:noProof/>
                <w:szCs w:val="24"/>
              </w:rPr>
            </w:pPr>
            <w:r>
              <w:rPr>
                <w:noProof/>
              </w:rPr>
              <w:br w:type="page"/>
            </w:r>
            <w:r>
              <w:rPr>
                <w:b/>
                <w:noProof/>
              </w:rPr>
              <w:t xml:space="preserve">Общо съкратени лица: </w:t>
            </w:r>
          </w:p>
        </w:tc>
        <w:tc>
          <w:tcPr>
            <w:tcW w:w="1200" w:type="dxa"/>
            <w:tcBorders>
              <w:left w:val="nil"/>
              <w:bottom w:val="nil"/>
            </w:tcBorders>
            <w:shd w:val="clear" w:color="auto" w:fill="E6E6E6"/>
            <w:vAlign w:val="center"/>
          </w:tcPr>
          <w:p>
            <w:pPr>
              <w:spacing w:beforeLines="20" w:before="48" w:afterLines="20" w:after="48" w:line="276" w:lineRule="auto"/>
              <w:ind w:left="57" w:right="227"/>
              <w:jc w:val="left"/>
              <w:rPr>
                <w:b/>
                <w:noProof/>
                <w:szCs w:val="24"/>
              </w:rPr>
            </w:pPr>
            <w:r>
              <w:rPr>
                <w:b/>
                <w:noProof/>
              </w:rPr>
              <w:t>488</w:t>
            </w:r>
          </w:p>
        </w:tc>
      </w:tr>
      <w:tr>
        <w:trPr>
          <w:trHeight w:val="284"/>
        </w:trPr>
        <w:tc>
          <w:tcPr>
            <w:tcW w:w="7140" w:type="dxa"/>
            <w:gridSpan w:val="3"/>
            <w:tcBorders>
              <w:top w:val="nil"/>
              <w:bottom w:val="nil"/>
              <w:right w:val="nil"/>
            </w:tcBorders>
            <w:shd w:val="clear" w:color="auto" w:fill="E6E6E6"/>
            <w:vAlign w:val="center"/>
          </w:tcPr>
          <w:p>
            <w:pPr>
              <w:spacing w:beforeLines="20" w:before="48" w:afterLines="20" w:after="48" w:line="276" w:lineRule="auto"/>
              <w:ind w:left="57" w:right="227"/>
              <w:jc w:val="left"/>
              <w:rPr>
                <w:b/>
                <w:noProof/>
                <w:spacing w:val="-6"/>
                <w:szCs w:val="24"/>
              </w:rPr>
            </w:pPr>
            <w:r>
              <w:rPr>
                <w:b/>
                <w:noProof/>
                <w:spacing w:val="-6"/>
              </w:rPr>
              <w:t>Общо самостоятелно заети лица, чиято дейност е прекратена:</w:t>
            </w:r>
            <w:r>
              <w:rPr>
                <w:noProof/>
                <w:spacing w:val="-6"/>
              </w:rPr>
              <w:t xml:space="preserve"> </w:t>
            </w:r>
          </w:p>
        </w:tc>
        <w:tc>
          <w:tcPr>
            <w:tcW w:w="1200" w:type="dxa"/>
            <w:tcBorders>
              <w:top w:val="nil"/>
              <w:left w:val="nil"/>
              <w:bottom w:val="nil"/>
            </w:tcBorders>
            <w:shd w:val="clear" w:color="auto" w:fill="E6E6E6"/>
            <w:vAlign w:val="center"/>
          </w:tcPr>
          <w:p>
            <w:pPr>
              <w:spacing w:beforeLines="20" w:before="48" w:afterLines="20" w:after="48" w:line="276" w:lineRule="auto"/>
              <w:ind w:left="57" w:right="227"/>
              <w:jc w:val="left"/>
              <w:rPr>
                <w:b/>
                <w:noProof/>
                <w:szCs w:val="24"/>
              </w:rPr>
            </w:pPr>
            <w:r>
              <w:rPr>
                <w:b/>
                <w:noProof/>
              </w:rPr>
              <w:t>0</w:t>
            </w:r>
          </w:p>
        </w:tc>
      </w:tr>
      <w:tr>
        <w:trPr>
          <w:trHeight w:val="284"/>
        </w:trPr>
        <w:tc>
          <w:tcPr>
            <w:tcW w:w="7140" w:type="dxa"/>
            <w:gridSpan w:val="3"/>
            <w:tcBorders>
              <w:top w:val="nil"/>
              <w:right w:val="nil"/>
            </w:tcBorders>
            <w:shd w:val="clear" w:color="auto" w:fill="E6E6E6"/>
            <w:vAlign w:val="center"/>
          </w:tcPr>
          <w:p>
            <w:pPr>
              <w:spacing w:beforeLines="20" w:before="48" w:afterLines="20" w:after="48" w:line="276" w:lineRule="auto"/>
              <w:ind w:left="57"/>
              <w:jc w:val="left"/>
              <w:rPr>
                <w:b/>
                <w:noProof/>
                <w:szCs w:val="24"/>
              </w:rPr>
            </w:pPr>
            <w:r>
              <w:rPr>
                <w:b/>
                <w:noProof/>
              </w:rPr>
              <w:t xml:space="preserve">Общо отговарящи на критериите работници и самостоятелно заети лица: </w:t>
            </w:r>
          </w:p>
        </w:tc>
        <w:tc>
          <w:tcPr>
            <w:tcW w:w="1200" w:type="dxa"/>
            <w:tcBorders>
              <w:top w:val="nil"/>
              <w:left w:val="nil"/>
            </w:tcBorders>
            <w:shd w:val="clear" w:color="auto" w:fill="E6E6E6"/>
            <w:vAlign w:val="center"/>
          </w:tcPr>
          <w:p>
            <w:pPr>
              <w:spacing w:beforeLines="20" w:before="48" w:afterLines="20" w:after="48" w:line="276" w:lineRule="auto"/>
              <w:ind w:left="57" w:right="227"/>
              <w:jc w:val="left"/>
              <w:rPr>
                <w:b/>
                <w:noProof/>
                <w:szCs w:val="24"/>
              </w:rPr>
            </w:pPr>
            <w:r>
              <w:rPr>
                <w:b/>
                <w:noProof/>
              </w:rPr>
              <w:t>488</w:t>
            </w:r>
          </w:p>
        </w:tc>
      </w:tr>
    </w:tbl>
    <w:p>
      <w:pPr>
        <w:pStyle w:val="ManualHeading3"/>
        <w:rPr>
          <w:noProof/>
        </w:rPr>
      </w:pPr>
      <w:r>
        <w:t>3.2.2.</w:t>
      </w:r>
      <w:r>
        <w:tab/>
      </w:r>
      <w:r>
        <w:rPr>
          <w:noProof/>
        </w:rPr>
        <w:t>Критерии за намеса</w:t>
      </w:r>
    </w:p>
    <w:p>
      <w:pPr>
        <w:pStyle w:val="ManualNumPar1"/>
        <w:rPr>
          <w:noProof/>
        </w:rPr>
      </w:pPr>
      <w:r>
        <w:t>6.</w:t>
      </w:r>
      <w:r>
        <w:tab/>
      </w:r>
      <w:r>
        <w:rPr>
          <w:noProof/>
        </w:rPr>
        <w:t>Белгийските органи подаде заявлението съгласно критериите за намеса по член 4, параграф 2 от Регламента за ЕФПГ, чрез дерогация от критериите по член 4, параграф 1, буква б), съгласно този критерий са необходими най-малко 500 съкращения за референтния период от девет месеца в предприятия, извършващи дейност в един и същ икономически сектор на ниво разделение по NACE Rev. 2 и разположени в един или два съседни региона на ниво 2 по NUTS. Налице бяха 488 съкращения в региона на ниво 2 по NUTS Hainaut (BE32).</w:t>
      </w:r>
    </w:p>
    <w:p>
      <w:pPr>
        <w:pStyle w:val="ManualNumPar1"/>
        <w:rPr>
          <w:noProof/>
        </w:rPr>
      </w:pPr>
      <w:r>
        <w:t>7.</w:t>
      </w:r>
      <w:r>
        <w:tab/>
      </w:r>
      <w:r>
        <w:rPr>
          <w:noProof/>
        </w:rPr>
        <w:t>Деветмесечният референтен период за заявлението започва на 25 декември 2014 г. и приключва на 25 септември 2015 г.</w:t>
      </w:r>
    </w:p>
    <w:p>
      <w:pPr>
        <w:pStyle w:val="ManualHeading3"/>
        <w:rPr>
          <w:noProof/>
        </w:rPr>
      </w:pPr>
      <w:r>
        <w:t>3.2.3.</w:t>
      </w:r>
      <w:r>
        <w:tab/>
      </w:r>
      <w:r>
        <w:rPr>
          <w:noProof/>
        </w:rPr>
        <w:t>Изчисляване на съкращенията и на прекратяването на дейност</w:t>
      </w:r>
    </w:p>
    <w:p>
      <w:pPr>
        <w:pStyle w:val="ManualNumPar1"/>
        <w:rPr>
          <w:noProof/>
        </w:rPr>
      </w:pPr>
      <w:r>
        <w:t>8.</w:t>
      </w:r>
      <w:r>
        <w:tab/>
      </w:r>
      <w:r>
        <w:rPr>
          <w:noProof/>
        </w:rPr>
        <w:t>Съкращенията по време на референтния период са изчислени, както следва:</w:t>
      </w:r>
    </w:p>
    <w:p>
      <w:pPr>
        <w:pStyle w:val="Tiret1"/>
        <w:numPr>
          <w:ilvl w:val="0"/>
          <w:numId w:val="1"/>
        </w:numPr>
        <w:rPr>
          <w:noProof/>
        </w:rPr>
      </w:pPr>
      <w:r>
        <w:rPr>
          <w:noProof/>
        </w:rPr>
        <w:t>44, считано от датата, на която работодателят в съответствие с член 3, параграф 1 от Директива 98/59/ЕО на Съвета уведомява писмено компетентния публичен орган за планираните колективни съкращения; Преди датата на приключване на оценката от Комисията Белгия потвърди, че тези 44 съкращения действително са били извършени,</w:t>
      </w:r>
    </w:p>
    <w:p>
      <w:pPr>
        <w:pStyle w:val="Tiret1"/>
        <w:numPr>
          <w:ilvl w:val="0"/>
          <w:numId w:val="1"/>
        </w:numPr>
        <w:rPr>
          <w:noProof/>
        </w:rPr>
      </w:pPr>
      <w:r>
        <w:rPr>
          <w:noProof/>
        </w:rPr>
        <w:t>438, считано от датата на индивидуалното предизвестие от работодателя за съкращаване или за прекратяване на трудовия договор на работника.</w:t>
      </w:r>
    </w:p>
    <w:p>
      <w:pPr>
        <w:pStyle w:val="Tiret1"/>
        <w:numPr>
          <w:ilvl w:val="0"/>
          <w:numId w:val="1"/>
        </w:numPr>
        <w:rPr>
          <w:noProof/>
        </w:rPr>
      </w:pPr>
      <w:r>
        <w:rPr>
          <w:noProof/>
        </w:rPr>
        <w:t>6, считано от датата на фактическото прекратяване на трудовия договор или изтичането на неговия срок,</w:t>
      </w:r>
    </w:p>
    <w:p>
      <w:pPr>
        <w:pStyle w:val="ManualHeading3"/>
        <w:rPr>
          <w:noProof/>
        </w:rPr>
      </w:pPr>
      <w:r>
        <w:t>3.2.4.</w:t>
      </w:r>
      <w:r>
        <w:tab/>
      </w:r>
      <w:r>
        <w:rPr>
          <w:noProof/>
        </w:rPr>
        <w:t>Бенефициери, отговарящи на критериите</w:t>
      </w:r>
    </w:p>
    <w:p>
      <w:pPr>
        <w:pStyle w:val="ManualNumPar1"/>
        <w:rPr>
          <w:noProof/>
        </w:rPr>
      </w:pPr>
      <w:r>
        <w:t>9.</w:t>
      </w:r>
      <w:r>
        <w:tab/>
      </w:r>
      <w:r>
        <w:rPr>
          <w:noProof/>
        </w:rPr>
        <w:t>Общият брой на отговарящите на критериите бенефициери е 488 души.</w:t>
      </w:r>
    </w:p>
    <w:p>
      <w:pPr>
        <w:pStyle w:val="ManualHeading3"/>
        <w:rPr>
          <w:noProof/>
        </w:rPr>
      </w:pPr>
      <w:r>
        <w:t>3.2.5.</w:t>
      </w:r>
      <w:r>
        <w:tab/>
      </w:r>
      <w:r>
        <w:rPr>
          <w:noProof/>
        </w:rPr>
        <w:t>Връзка между съкращенията и големите структурни промени в моделите на световната търговия, произтичащи от глобализацията</w:t>
      </w:r>
    </w:p>
    <w:p>
      <w:pPr>
        <w:pStyle w:val="ManualNumPar1"/>
        <w:rPr>
          <w:noProof/>
        </w:rPr>
      </w:pPr>
      <w:r>
        <w:t>10.</w:t>
      </w:r>
      <w:r>
        <w:tab/>
      </w:r>
      <w:r>
        <w:rPr>
          <w:noProof/>
        </w:rPr>
        <w:t>С цел да се установи връзката между съкращенията и големите структурни промени в моделите на световната търговия, произтичащи от глобализацията, белгийските органи твърдят, че през последните години търговията със строителна техника в Съюза е претърпяла сериозни затруднения. Това е оказало отрицателно въздействие върху рентабилността в Европа на трите предприятия, които са специализирани в производството на компоненти и/или в сглобяването на машини, използвани в строителния сектор. Секторът, за който се отнася предложението, се характеризира с това, че производствените единици са разположени близо до пазара. Следователно трите предприятия произвеждат основно за европейския пазар. Намаляването на публичните и частните инвестиции в инфраструктурата води до свиване на търсенето на продуктите, произведени от трите предприятия. Производството на строителни машини в Европа е намаляло от 212 028 единици през 2007 г. на 116 461 единици през 2014 г., което представлява спад от 45,1 %.</w:t>
      </w:r>
      <w:r>
        <w:rPr>
          <w:rStyle w:val="FootnoteReference"/>
          <w:noProof/>
        </w:rPr>
        <w:footnoteReference w:id="6"/>
      </w:r>
      <w:r>
        <w:rPr>
          <w:noProof/>
        </w:rPr>
        <w:t xml:space="preserve"> Последицата от това е била драматична загуба на пазарен дял за европейските производители.  Едновременно с това цените на стоманата в Европа се увеличиха значително. Спадът в икономиите от мащаба и засилването на единичните разходи са довели до загуба на конкурентоспособност за европейските предприятия. Този спад на конкурентоспособността е довел до прехвърлянето на значителен производствен капацитет към трети държави (по-конкретно от това развитие са се възползвали азиатски предприятия).</w:t>
      </w:r>
    </w:p>
    <w:p>
      <w:pPr>
        <w:pStyle w:val="ManualNumPar1"/>
        <w:rPr>
          <w:noProof/>
        </w:rPr>
      </w:pPr>
      <w:r>
        <w:t>11.</w:t>
      </w:r>
      <w:r>
        <w:tab/>
      </w:r>
      <w:r>
        <w:rPr>
          <w:noProof/>
        </w:rPr>
        <w:t>Към днешна дата за сектора „Производство на машини и оборудване, с общо и специално предназначение“ са подадени 14 заявления за помощ от ЕФПГ, осем от които са свързани с глобализацията на търговията, а шест — със световната финансова и икономическа криза.</w:t>
      </w:r>
    </w:p>
    <w:p>
      <w:pPr>
        <w:pStyle w:val="ManualHeading3"/>
        <w:rPr>
          <w:noProof/>
        </w:rPr>
      </w:pPr>
      <w:r>
        <w:t>3.2.6.</w:t>
      </w:r>
      <w:r>
        <w:tab/>
      </w:r>
      <w:r>
        <w:rPr>
          <w:noProof/>
        </w:rPr>
        <w:t>Събития, довели до съкращенията и до прекратяване на дейността</w:t>
      </w:r>
    </w:p>
    <w:p>
      <w:pPr>
        <w:pStyle w:val="ManualNumPar1"/>
        <w:rPr>
          <w:noProof/>
        </w:rPr>
      </w:pPr>
      <w:r>
        <w:t>12.</w:t>
      </w:r>
      <w:r>
        <w:tab/>
      </w:r>
      <w:r>
        <w:rPr>
          <w:noProof/>
        </w:rPr>
        <w:t xml:space="preserve">Основното събитие, довело до съкращенията, е обявеното от Caterpillar Belgium S.A. на 23 февруари 2013 г. начало на процедура за колективни съкращения в производствения му обект, разположен в Госли. Повечето засегнатите 1 399 работници бяха обект на първото заявление по ЕФПГ, което се отнася до съкращения в предприятието. Настоящото предложение включва останалите 169 работници на обекта.  Carwall S.A., което е основен доставчик на кабини за Caterpillar Belgium S.A., търпи спад в търсенето на своите продукти главно поради по-малкото поръчки, идващи от Caterpillar, и бе принудено съответно да намали размера на производството. Третото предприятие, за което се отнася настоящото предложение, Doosan S.A., произвежда екскаватори. Свиването на търсенето на неговите продукти в Европа доведе до решението за затварянето на производствения обект, разположен във Фрамри, и за снабдяването на европейския пазар от производствените му обекти в Южна Корея.  </w:t>
      </w:r>
    </w:p>
    <w:p>
      <w:pPr>
        <w:pStyle w:val="ManualHeading3"/>
        <w:rPr>
          <w:noProof/>
        </w:rPr>
      </w:pPr>
      <w:r>
        <w:t>3.2.7.</w:t>
      </w:r>
      <w:r>
        <w:tab/>
      </w:r>
      <w:r>
        <w:rPr>
          <w:noProof/>
        </w:rPr>
        <w:t>Очаквано въздействие на съкращенията върху местната, регионалната или националната икономика и заетост</w:t>
      </w:r>
    </w:p>
    <w:p>
      <w:pPr>
        <w:pStyle w:val="ManualNumPar1"/>
        <w:rPr>
          <w:noProof/>
        </w:rPr>
      </w:pPr>
      <w:r>
        <w:t>13.</w:t>
      </w:r>
      <w:r>
        <w:tab/>
      </w:r>
      <w:r>
        <w:rPr>
          <w:noProof/>
        </w:rPr>
        <w:t>Очаква се въздействието на съкращенията върху местната и регионалната икономика и заетостта да бъде значително. Регионът Hainaut е изправен пред трудна ситуация на пазара на труда с равнище на заетостта от 52,7 % (9,2 процентни пункта по-ниско от средната стойност на национално равнище) и равнище на безработицата от 14,5 % (5,9 процентни пункта по-високо от средната стойност на национално равнище</w:t>
      </w:r>
      <w:r>
        <w:rPr>
          <w:rStyle w:val="FootnoteReference"/>
          <w:noProof/>
        </w:rPr>
        <w:footnoteReference w:id="7"/>
      </w:r>
      <w:r>
        <w:rPr>
          <w:noProof/>
        </w:rPr>
        <w:t>).  В този регион най-силно засегнати са предприятията от преработващата промишленост със спад на заетостта в този сектор от 15,3 % между 2007 и 2012 г. само в района на Шарлероа. Това положение е влошено още повече от намаляването на мащаба на производството в рамките на целия производствен сектор във Валония; през 2013 г. са закрити 1 236 работни места, а през 2014 г. — 1 878. Публичната служба по заетостта в района отбелязва също така значителен спад в предлаганите работни места от 13 % от 2012 г. насам. Освен това пазарът на труда на региона Hainaut се характеризира с висок дял на нискоквалифициран труд (малко повече от половината от търсещите работа лица в Hainaut нямат квалификации за завършено средно образование). Целевата група на настоящото заявление трудно ще може да намери сходна заетост предвид намаляването на мащаба на производството в рамките на целия производствен сектор и определено ще е необходимо да се положат усилия за повишаване на квалификацията.</w:t>
      </w:r>
    </w:p>
    <w:p>
      <w:pPr>
        <w:pStyle w:val="ManualHeading3"/>
        <w:rPr>
          <w:noProof/>
        </w:rPr>
      </w:pPr>
      <w:r>
        <w:t>3.2.8.</w:t>
      </w:r>
      <w:r>
        <w:tab/>
      </w:r>
      <w:r>
        <w:rPr>
          <w:noProof/>
        </w:rPr>
        <w:t>Обяснение за извънредните обстоятелства, свързани с допустимостта на заявлението</w:t>
      </w:r>
    </w:p>
    <w:p>
      <w:pPr>
        <w:pStyle w:val="ManualNumPar1"/>
        <w:rPr>
          <w:noProof/>
        </w:rPr>
      </w:pPr>
      <w:r>
        <w:t>14.</w:t>
      </w:r>
      <w:r>
        <w:tab/>
      </w:r>
      <w:r>
        <w:rPr>
          <w:noProof/>
        </w:rPr>
        <w:t>Белгия твърди, че макар в рамките на деветмесечния референтен период да са направени по-малко от 500 съкращения, това заявление следва да бъде приравнено на заявление съгласно член 4, параграф 1, буква б) от Регламента за ЕФПГ поради изключителните обстоятелства, които влияят сериозно на заетостта и на местната, регионалната или националната икономика. Други работници от едно от включените в това заявление предприятия, а именно Caterpillar Belgium S.A., бяха обект на по-ранно заявление (EGF/2014/011 BE/Caterpillar), което понастоящем е в процес на изпълнение. Настоящото заявление се смята за последващо заявление след първото, което бе свързано с масови съкращения в Caterpillar Belgium S.A., тъй като то е част от същата процедура на колективни съкращения.  Трите предприятия, включени в това заявление, са важни участници в района в сектора на производството на строителни машини, и осигуряват 72 % от работните места в този район. Освен това 12,3 % от работната сила в засегнатия регион е заета в производствен сектор, в който от 2007 г. насам заетостта е спаднала с 8 процентни пункта. Извънредните обстоятелства, свързани с настоящия случай, бяха влошени поради неблагоприятната ситуация на пазара на труда в региона, за която свидетелстват по-ниските нива от средните равнища на заетост, високият дял на неквалифициран труд, както и високото равнище на дългосрочна безработица, която е 39,0 % от общата безработица в района Hainaut.</w:t>
      </w:r>
    </w:p>
    <w:p>
      <w:pPr>
        <w:pStyle w:val="ManualHeading2"/>
        <w:rPr>
          <w:noProof/>
        </w:rPr>
      </w:pPr>
      <w:r>
        <w:t>3.3.</w:t>
      </w:r>
      <w:r>
        <w:tab/>
      </w:r>
      <w:r>
        <w:rPr>
          <w:noProof/>
        </w:rPr>
        <w:t>Бенефициери от целевата група и предложени действия</w:t>
      </w:r>
    </w:p>
    <w:p>
      <w:pPr>
        <w:pStyle w:val="ManualHeading3"/>
        <w:rPr>
          <w:noProof/>
        </w:rPr>
      </w:pPr>
      <w:r>
        <w:t>3.3.1.</w:t>
      </w:r>
      <w:r>
        <w:tab/>
      </w:r>
      <w:r>
        <w:rPr>
          <w:noProof/>
        </w:rPr>
        <w:t>Бенефициери от целевата група</w:t>
      </w:r>
    </w:p>
    <w:p>
      <w:pPr>
        <w:pStyle w:val="ManualNumPar1"/>
        <w:rPr>
          <w:noProof/>
        </w:rPr>
      </w:pPr>
      <w:r>
        <w:t>15.</w:t>
      </w:r>
      <w:r>
        <w:tab/>
      </w:r>
      <w:r>
        <w:rPr>
          <w:noProof/>
        </w:rPr>
        <w:t>Прогнозният брой на съкратените работници, които се очаква да вземат участие в мерките, е 488. Разпределението на тези съкратени работници по пол, гражданство и възрастова група е следното:</w:t>
      </w:r>
    </w:p>
    <w:tbl>
      <w:tblPr>
        <w:tblW w:w="0" w:type="auto"/>
        <w:jc w:val="center"/>
        <w:tblLook w:val="04A0" w:firstRow="1" w:lastRow="0" w:firstColumn="1" w:lastColumn="0" w:noHBand="0" w:noVBand="1"/>
      </w:tblPr>
      <w:tblGrid>
        <w:gridCol w:w="2943"/>
        <w:gridCol w:w="3016"/>
        <w:gridCol w:w="1439"/>
        <w:gridCol w:w="1891"/>
      </w:tblGrid>
      <w:tr>
        <w:trPr>
          <w:jc w:val="center"/>
        </w:trPr>
        <w:tc>
          <w:tcPr>
            <w:tcW w:w="5959" w:type="dxa"/>
            <w:gridSpan w:val="2"/>
            <w:tcBorders>
              <w:top w:val="single" w:sz="4" w:space="0" w:color="auto"/>
              <w:left w:val="nil"/>
              <w:bottom w:val="single" w:sz="4" w:space="0" w:color="auto"/>
              <w:right w:val="nil"/>
            </w:tcBorders>
            <w:hideMark/>
          </w:tcPr>
          <w:p>
            <w:pPr>
              <w:spacing w:before="60" w:after="60"/>
              <w:jc w:val="center"/>
              <w:rPr>
                <w:noProof/>
              </w:rPr>
            </w:pPr>
            <w:r>
              <w:rPr>
                <w:noProof/>
              </w:rPr>
              <w:t>Категория</w:t>
            </w:r>
          </w:p>
        </w:tc>
        <w:tc>
          <w:tcPr>
            <w:tcW w:w="3330" w:type="dxa"/>
            <w:gridSpan w:val="2"/>
            <w:tcBorders>
              <w:top w:val="single" w:sz="4" w:space="0" w:color="auto"/>
              <w:left w:val="nil"/>
              <w:bottom w:val="single" w:sz="4" w:space="0" w:color="auto"/>
              <w:right w:val="nil"/>
            </w:tcBorders>
            <w:hideMark/>
          </w:tcPr>
          <w:p>
            <w:pPr>
              <w:spacing w:before="60" w:after="60"/>
              <w:jc w:val="center"/>
              <w:rPr>
                <w:noProof/>
              </w:rPr>
            </w:pPr>
            <w:r>
              <w:rPr>
                <w:noProof/>
              </w:rPr>
              <w:t>Брой бенефициери от целевата група</w:t>
            </w:r>
          </w:p>
        </w:tc>
      </w:tr>
      <w:tr>
        <w:trPr>
          <w:jc w:val="center"/>
        </w:trPr>
        <w:tc>
          <w:tcPr>
            <w:tcW w:w="2943" w:type="dxa"/>
            <w:tcBorders>
              <w:top w:val="single" w:sz="4" w:space="0" w:color="auto"/>
              <w:left w:val="nil"/>
              <w:bottom w:val="nil"/>
              <w:right w:val="nil"/>
            </w:tcBorders>
            <w:hideMark/>
          </w:tcPr>
          <w:p>
            <w:pPr>
              <w:spacing w:before="60" w:after="60"/>
              <w:rPr>
                <w:noProof/>
              </w:rPr>
            </w:pPr>
            <w:r>
              <w:rPr>
                <w:noProof/>
              </w:rPr>
              <w:t>Пол:</w:t>
            </w:r>
          </w:p>
        </w:tc>
        <w:tc>
          <w:tcPr>
            <w:tcW w:w="3016" w:type="dxa"/>
            <w:tcBorders>
              <w:top w:val="single" w:sz="4" w:space="0" w:color="auto"/>
              <w:left w:val="nil"/>
              <w:bottom w:val="nil"/>
              <w:right w:val="nil"/>
            </w:tcBorders>
            <w:hideMark/>
          </w:tcPr>
          <w:p>
            <w:pPr>
              <w:spacing w:before="60" w:after="60"/>
              <w:rPr>
                <w:noProof/>
              </w:rPr>
            </w:pPr>
            <w:r>
              <w:rPr>
                <w:noProof/>
              </w:rPr>
              <w:t>Мъже:</w:t>
            </w:r>
          </w:p>
        </w:tc>
        <w:tc>
          <w:tcPr>
            <w:tcW w:w="1439" w:type="dxa"/>
            <w:tcBorders>
              <w:top w:val="single" w:sz="4" w:space="0" w:color="auto"/>
              <w:left w:val="nil"/>
              <w:bottom w:val="nil"/>
              <w:right w:val="nil"/>
            </w:tcBorders>
            <w:hideMark/>
          </w:tcPr>
          <w:p>
            <w:pPr>
              <w:spacing w:before="60" w:after="60"/>
              <w:jc w:val="right"/>
              <w:rPr>
                <w:noProof/>
              </w:rPr>
            </w:pPr>
            <w:r>
              <w:rPr>
                <w:noProof/>
              </w:rPr>
              <w:t>460</w:t>
            </w:r>
          </w:p>
        </w:tc>
        <w:tc>
          <w:tcPr>
            <w:tcW w:w="1891" w:type="dxa"/>
            <w:tcBorders>
              <w:top w:val="single" w:sz="4" w:space="0" w:color="auto"/>
              <w:left w:val="nil"/>
              <w:bottom w:val="nil"/>
              <w:right w:val="nil"/>
            </w:tcBorders>
            <w:hideMark/>
          </w:tcPr>
          <w:p>
            <w:pPr>
              <w:spacing w:before="60" w:after="60"/>
              <w:jc w:val="right"/>
              <w:rPr>
                <w:noProof/>
              </w:rPr>
            </w:pPr>
            <w:r>
              <w:rPr>
                <w:noProof/>
              </w:rPr>
              <w:t>(94,3 %)</w:t>
            </w:r>
          </w:p>
        </w:tc>
      </w:tr>
      <w:tr>
        <w:trPr>
          <w:jc w:val="center"/>
        </w:trPr>
        <w:tc>
          <w:tcPr>
            <w:tcW w:w="2943" w:type="dxa"/>
            <w:tcBorders>
              <w:top w:val="nil"/>
              <w:left w:val="nil"/>
              <w:bottom w:val="single" w:sz="4" w:space="0" w:color="auto"/>
              <w:right w:val="nil"/>
            </w:tcBorders>
          </w:tcPr>
          <w:p>
            <w:pPr>
              <w:spacing w:before="60" w:after="60"/>
              <w:rPr>
                <w:noProof/>
              </w:rPr>
            </w:pPr>
          </w:p>
        </w:tc>
        <w:tc>
          <w:tcPr>
            <w:tcW w:w="3016" w:type="dxa"/>
            <w:tcBorders>
              <w:top w:val="nil"/>
              <w:left w:val="nil"/>
              <w:bottom w:val="single" w:sz="4" w:space="0" w:color="auto"/>
              <w:right w:val="nil"/>
            </w:tcBorders>
            <w:hideMark/>
          </w:tcPr>
          <w:p>
            <w:pPr>
              <w:spacing w:before="60" w:after="60"/>
              <w:rPr>
                <w:noProof/>
              </w:rPr>
            </w:pPr>
            <w:r>
              <w:rPr>
                <w:noProof/>
              </w:rPr>
              <w:t>Жени:</w:t>
            </w:r>
          </w:p>
        </w:tc>
        <w:tc>
          <w:tcPr>
            <w:tcW w:w="1439" w:type="dxa"/>
            <w:hideMark/>
          </w:tcPr>
          <w:p>
            <w:pPr>
              <w:spacing w:before="60" w:after="60"/>
              <w:jc w:val="right"/>
              <w:rPr>
                <w:noProof/>
              </w:rPr>
            </w:pPr>
            <w:r>
              <w:rPr>
                <w:noProof/>
              </w:rPr>
              <w:t>28</w:t>
            </w:r>
          </w:p>
        </w:tc>
        <w:tc>
          <w:tcPr>
            <w:tcW w:w="1891" w:type="dxa"/>
            <w:hideMark/>
          </w:tcPr>
          <w:p>
            <w:pPr>
              <w:spacing w:before="60" w:after="60"/>
              <w:jc w:val="right"/>
              <w:rPr>
                <w:noProof/>
              </w:rPr>
            </w:pPr>
            <w:r>
              <w:rPr>
                <w:noProof/>
              </w:rPr>
              <w:t>(5,7 %)</w:t>
            </w:r>
          </w:p>
        </w:tc>
      </w:tr>
      <w:tr>
        <w:trPr>
          <w:jc w:val="center"/>
        </w:trPr>
        <w:tc>
          <w:tcPr>
            <w:tcW w:w="2943" w:type="dxa"/>
            <w:tcBorders>
              <w:top w:val="single" w:sz="4" w:space="0" w:color="auto"/>
              <w:left w:val="nil"/>
              <w:bottom w:val="nil"/>
              <w:right w:val="nil"/>
            </w:tcBorders>
            <w:hideMark/>
          </w:tcPr>
          <w:p>
            <w:pPr>
              <w:spacing w:before="60" w:after="60"/>
              <w:rPr>
                <w:noProof/>
              </w:rPr>
            </w:pPr>
            <w:r>
              <w:rPr>
                <w:noProof/>
              </w:rPr>
              <w:t>Гражданство:</w:t>
            </w:r>
          </w:p>
        </w:tc>
        <w:tc>
          <w:tcPr>
            <w:tcW w:w="3016" w:type="dxa"/>
            <w:tcBorders>
              <w:top w:val="single" w:sz="4" w:space="0" w:color="auto"/>
              <w:left w:val="nil"/>
              <w:bottom w:val="nil"/>
              <w:right w:val="nil"/>
            </w:tcBorders>
            <w:hideMark/>
          </w:tcPr>
          <w:p>
            <w:pPr>
              <w:spacing w:before="60" w:after="60"/>
              <w:rPr>
                <w:noProof/>
              </w:rPr>
            </w:pPr>
            <w:r>
              <w:rPr>
                <w:noProof/>
              </w:rPr>
              <w:t>Граждани на държави — членки на ЕС:</w:t>
            </w:r>
          </w:p>
        </w:tc>
        <w:tc>
          <w:tcPr>
            <w:tcW w:w="1439" w:type="dxa"/>
            <w:hideMark/>
          </w:tcPr>
          <w:p>
            <w:pPr>
              <w:spacing w:before="60" w:after="60"/>
              <w:jc w:val="right"/>
              <w:rPr>
                <w:noProof/>
              </w:rPr>
            </w:pPr>
            <w:r>
              <w:rPr>
                <w:noProof/>
              </w:rPr>
              <w:t>485</w:t>
            </w:r>
          </w:p>
        </w:tc>
        <w:tc>
          <w:tcPr>
            <w:tcW w:w="1891" w:type="dxa"/>
            <w:hideMark/>
          </w:tcPr>
          <w:p>
            <w:pPr>
              <w:spacing w:before="60" w:after="60"/>
              <w:jc w:val="right"/>
              <w:rPr>
                <w:noProof/>
              </w:rPr>
            </w:pPr>
            <w:r>
              <w:rPr>
                <w:noProof/>
              </w:rPr>
              <w:t>(99,4 %)</w:t>
            </w:r>
          </w:p>
        </w:tc>
      </w:tr>
      <w:tr>
        <w:trPr>
          <w:jc w:val="center"/>
        </w:trPr>
        <w:tc>
          <w:tcPr>
            <w:tcW w:w="2943" w:type="dxa"/>
            <w:tcBorders>
              <w:top w:val="nil"/>
              <w:left w:val="nil"/>
              <w:bottom w:val="single" w:sz="4" w:space="0" w:color="auto"/>
              <w:right w:val="nil"/>
            </w:tcBorders>
          </w:tcPr>
          <w:p>
            <w:pPr>
              <w:spacing w:before="60" w:after="60"/>
              <w:rPr>
                <w:noProof/>
              </w:rPr>
            </w:pPr>
          </w:p>
        </w:tc>
        <w:tc>
          <w:tcPr>
            <w:tcW w:w="3016" w:type="dxa"/>
            <w:tcBorders>
              <w:top w:val="nil"/>
              <w:left w:val="nil"/>
              <w:bottom w:val="single" w:sz="4" w:space="0" w:color="auto"/>
              <w:right w:val="nil"/>
            </w:tcBorders>
            <w:hideMark/>
          </w:tcPr>
          <w:p>
            <w:pPr>
              <w:spacing w:before="60" w:after="60"/>
              <w:rPr>
                <w:noProof/>
              </w:rPr>
            </w:pPr>
            <w:r>
              <w:rPr>
                <w:noProof/>
              </w:rPr>
              <w:t>Граждани на държави извън ЕС:</w:t>
            </w:r>
          </w:p>
        </w:tc>
        <w:tc>
          <w:tcPr>
            <w:tcW w:w="1439" w:type="dxa"/>
            <w:hideMark/>
          </w:tcPr>
          <w:p>
            <w:pPr>
              <w:spacing w:before="60" w:after="60"/>
              <w:jc w:val="right"/>
              <w:rPr>
                <w:noProof/>
              </w:rPr>
            </w:pPr>
            <w:r>
              <w:rPr>
                <w:noProof/>
              </w:rPr>
              <w:t>3</w:t>
            </w:r>
          </w:p>
        </w:tc>
        <w:tc>
          <w:tcPr>
            <w:tcW w:w="1891" w:type="dxa"/>
            <w:hideMark/>
          </w:tcPr>
          <w:p>
            <w:pPr>
              <w:spacing w:before="60" w:after="60"/>
              <w:jc w:val="right"/>
              <w:rPr>
                <w:noProof/>
              </w:rPr>
            </w:pPr>
            <w:r>
              <w:rPr>
                <w:noProof/>
              </w:rPr>
              <w:t>(0,6 %)</w:t>
            </w:r>
          </w:p>
        </w:tc>
      </w:tr>
      <w:tr>
        <w:trPr>
          <w:jc w:val="center"/>
        </w:trPr>
        <w:tc>
          <w:tcPr>
            <w:tcW w:w="2943" w:type="dxa"/>
            <w:tcBorders>
              <w:top w:val="single" w:sz="4" w:space="0" w:color="auto"/>
              <w:left w:val="nil"/>
              <w:bottom w:val="nil"/>
              <w:right w:val="nil"/>
            </w:tcBorders>
            <w:hideMark/>
          </w:tcPr>
          <w:p>
            <w:pPr>
              <w:spacing w:before="60" w:after="60"/>
              <w:rPr>
                <w:noProof/>
              </w:rPr>
            </w:pPr>
            <w:r>
              <w:rPr>
                <w:noProof/>
              </w:rPr>
              <w:t>Възрастова група:</w:t>
            </w:r>
          </w:p>
        </w:tc>
        <w:tc>
          <w:tcPr>
            <w:tcW w:w="3016" w:type="dxa"/>
            <w:tcBorders>
              <w:top w:val="single" w:sz="4" w:space="0" w:color="auto"/>
              <w:left w:val="nil"/>
              <w:bottom w:val="nil"/>
              <w:right w:val="nil"/>
            </w:tcBorders>
            <w:hideMark/>
          </w:tcPr>
          <w:p>
            <w:pPr>
              <w:spacing w:before="60" w:after="60"/>
              <w:rPr>
                <w:noProof/>
              </w:rPr>
            </w:pPr>
            <w:r>
              <w:rPr>
                <w:noProof/>
              </w:rPr>
              <w:t>15—24 години:</w:t>
            </w:r>
          </w:p>
        </w:tc>
        <w:tc>
          <w:tcPr>
            <w:tcW w:w="1439" w:type="dxa"/>
            <w:hideMark/>
          </w:tcPr>
          <w:p>
            <w:pPr>
              <w:spacing w:before="60" w:after="60"/>
              <w:jc w:val="right"/>
              <w:rPr>
                <w:noProof/>
              </w:rPr>
            </w:pPr>
            <w:r>
              <w:rPr>
                <w:noProof/>
              </w:rPr>
              <w:t>29</w:t>
            </w:r>
          </w:p>
        </w:tc>
        <w:tc>
          <w:tcPr>
            <w:tcW w:w="1891" w:type="dxa"/>
            <w:hideMark/>
          </w:tcPr>
          <w:p>
            <w:pPr>
              <w:spacing w:before="60" w:after="60"/>
              <w:jc w:val="right"/>
              <w:rPr>
                <w:noProof/>
              </w:rPr>
            </w:pPr>
            <w:r>
              <w:rPr>
                <w:noProof/>
              </w:rPr>
              <w:t>(5,9 %)</w:t>
            </w:r>
          </w:p>
        </w:tc>
      </w:tr>
      <w:tr>
        <w:trPr>
          <w:jc w:val="center"/>
        </w:trPr>
        <w:tc>
          <w:tcPr>
            <w:tcW w:w="2943" w:type="dxa"/>
          </w:tcPr>
          <w:p>
            <w:pPr>
              <w:spacing w:before="60" w:after="60"/>
              <w:rPr>
                <w:noProof/>
              </w:rPr>
            </w:pPr>
          </w:p>
        </w:tc>
        <w:tc>
          <w:tcPr>
            <w:tcW w:w="3016" w:type="dxa"/>
            <w:hideMark/>
          </w:tcPr>
          <w:p>
            <w:pPr>
              <w:spacing w:before="60" w:after="60"/>
              <w:rPr>
                <w:noProof/>
              </w:rPr>
            </w:pPr>
            <w:r>
              <w:rPr>
                <w:noProof/>
              </w:rPr>
              <w:t>25—29 години:</w:t>
            </w:r>
          </w:p>
        </w:tc>
        <w:tc>
          <w:tcPr>
            <w:tcW w:w="1439" w:type="dxa"/>
            <w:hideMark/>
          </w:tcPr>
          <w:p>
            <w:pPr>
              <w:spacing w:before="60" w:after="60"/>
              <w:jc w:val="right"/>
              <w:rPr>
                <w:noProof/>
              </w:rPr>
            </w:pPr>
            <w:r>
              <w:rPr>
                <w:noProof/>
              </w:rPr>
              <w:t>33</w:t>
            </w:r>
          </w:p>
        </w:tc>
        <w:tc>
          <w:tcPr>
            <w:tcW w:w="1891" w:type="dxa"/>
            <w:hideMark/>
          </w:tcPr>
          <w:p>
            <w:pPr>
              <w:spacing w:before="60" w:after="60"/>
              <w:jc w:val="right"/>
              <w:rPr>
                <w:noProof/>
              </w:rPr>
            </w:pPr>
            <w:r>
              <w:rPr>
                <w:noProof/>
              </w:rPr>
              <w:t>(6,8 %)</w:t>
            </w:r>
          </w:p>
        </w:tc>
      </w:tr>
      <w:tr>
        <w:trPr>
          <w:jc w:val="center"/>
        </w:trPr>
        <w:tc>
          <w:tcPr>
            <w:tcW w:w="2943" w:type="dxa"/>
          </w:tcPr>
          <w:p>
            <w:pPr>
              <w:spacing w:before="60" w:after="60"/>
              <w:rPr>
                <w:noProof/>
              </w:rPr>
            </w:pPr>
          </w:p>
        </w:tc>
        <w:tc>
          <w:tcPr>
            <w:tcW w:w="3016" w:type="dxa"/>
            <w:hideMark/>
          </w:tcPr>
          <w:p>
            <w:pPr>
              <w:spacing w:before="60" w:after="60"/>
              <w:rPr>
                <w:noProof/>
              </w:rPr>
            </w:pPr>
            <w:r>
              <w:rPr>
                <w:noProof/>
              </w:rPr>
              <w:t>30—54 години:</w:t>
            </w:r>
          </w:p>
        </w:tc>
        <w:tc>
          <w:tcPr>
            <w:tcW w:w="1439" w:type="dxa"/>
            <w:hideMark/>
          </w:tcPr>
          <w:p>
            <w:pPr>
              <w:spacing w:before="60" w:after="60"/>
              <w:jc w:val="right"/>
              <w:rPr>
                <w:noProof/>
              </w:rPr>
            </w:pPr>
            <w:r>
              <w:rPr>
                <w:noProof/>
              </w:rPr>
              <w:t>251</w:t>
            </w:r>
          </w:p>
        </w:tc>
        <w:tc>
          <w:tcPr>
            <w:tcW w:w="1891" w:type="dxa"/>
            <w:hideMark/>
          </w:tcPr>
          <w:p>
            <w:pPr>
              <w:spacing w:before="60" w:after="60"/>
              <w:jc w:val="right"/>
              <w:rPr>
                <w:noProof/>
              </w:rPr>
            </w:pPr>
            <w:r>
              <w:rPr>
                <w:noProof/>
              </w:rPr>
              <w:t>(51,4 %)</w:t>
            </w:r>
          </w:p>
        </w:tc>
      </w:tr>
      <w:tr>
        <w:trPr>
          <w:jc w:val="center"/>
        </w:trPr>
        <w:tc>
          <w:tcPr>
            <w:tcW w:w="2943" w:type="dxa"/>
          </w:tcPr>
          <w:p>
            <w:pPr>
              <w:spacing w:before="60" w:after="60"/>
              <w:rPr>
                <w:noProof/>
              </w:rPr>
            </w:pPr>
          </w:p>
        </w:tc>
        <w:tc>
          <w:tcPr>
            <w:tcW w:w="3016" w:type="dxa"/>
            <w:hideMark/>
          </w:tcPr>
          <w:p>
            <w:pPr>
              <w:spacing w:before="60" w:after="60"/>
              <w:rPr>
                <w:noProof/>
              </w:rPr>
            </w:pPr>
            <w:r>
              <w:rPr>
                <w:noProof/>
              </w:rPr>
              <w:t>55—64 години:</w:t>
            </w:r>
          </w:p>
        </w:tc>
        <w:tc>
          <w:tcPr>
            <w:tcW w:w="1439" w:type="dxa"/>
            <w:hideMark/>
          </w:tcPr>
          <w:p>
            <w:pPr>
              <w:spacing w:before="60" w:after="60"/>
              <w:jc w:val="right"/>
              <w:rPr>
                <w:noProof/>
              </w:rPr>
            </w:pPr>
            <w:r>
              <w:rPr>
                <w:noProof/>
              </w:rPr>
              <w:t>175</w:t>
            </w:r>
          </w:p>
        </w:tc>
        <w:tc>
          <w:tcPr>
            <w:tcW w:w="1891" w:type="dxa"/>
            <w:hideMark/>
          </w:tcPr>
          <w:p>
            <w:pPr>
              <w:spacing w:before="60" w:after="60"/>
              <w:jc w:val="right"/>
              <w:rPr>
                <w:noProof/>
              </w:rPr>
            </w:pPr>
            <w:r>
              <w:rPr>
                <w:noProof/>
              </w:rPr>
              <w:t>(35,9 %)</w:t>
            </w:r>
          </w:p>
        </w:tc>
      </w:tr>
      <w:tr>
        <w:trPr>
          <w:jc w:val="center"/>
        </w:trPr>
        <w:tc>
          <w:tcPr>
            <w:tcW w:w="2943" w:type="dxa"/>
            <w:tcBorders>
              <w:top w:val="nil"/>
              <w:left w:val="nil"/>
              <w:bottom w:val="single" w:sz="4" w:space="0" w:color="auto"/>
              <w:right w:val="nil"/>
            </w:tcBorders>
          </w:tcPr>
          <w:p>
            <w:pPr>
              <w:spacing w:before="60" w:after="60"/>
              <w:rPr>
                <w:noProof/>
              </w:rPr>
            </w:pPr>
          </w:p>
        </w:tc>
        <w:tc>
          <w:tcPr>
            <w:tcW w:w="3016" w:type="dxa"/>
            <w:tcBorders>
              <w:top w:val="nil"/>
              <w:left w:val="nil"/>
              <w:bottom w:val="single" w:sz="4" w:space="0" w:color="auto"/>
              <w:right w:val="nil"/>
            </w:tcBorders>
            <w:hideMark/>
          </w:tcPr>
          <w:p>
            <w:pPr>
              <w:spacing w:before="60" w:after="60"/>
              <w:rPr>
                <w:noProof/>
              </w:rPr>
            </w:pPr>
            <w:r>
              <w:rPr>
                <w:noProof/>
              </w:rPr>
              <w:t>над 64 години:</w:t>
            </w:r>
          </w:p>
        </w:tc>
        <w:tc>
          <w:tcPr>
            <w:tcW w:w="1439" w:type="dxa"/>
            <w:tcBorders>
              <w:top w:val="nil"/>
              <w:left w:val="nil"/>
              <w:bottom w:val="single" w:sz="4" w:space="0" w:color="auto"/>
              <w:right w:val="nil"/>
            </w:tcBorders>
            <w:hideMark/>
          </w:tcPr>
          <w:p>
            <w:pPr>
              <w:spacing w:before="60" w:after="60"/>
              <w:jc w:val="right"/>
              <w:rPr>
                <w:noProof/>
              </w:rPr>
            </w:pPr>
            <w:r>
              <w:rPr>
                <w:noProof/>
              </w:rPr>
              <w:t>0</w:t>
            </w:r>
          </w:p>
        </w:tc>
        <w:tc>
          <w:tcPr>
            <w:tcW w:w="1891" w:type="dxa"/>
            <w:tcBorders>
              <w:top w:val="nil"/>
              <w:left w:val="nil"/>
              <w:bottom w:val="single" w:sz="4" w:space="0" w:color="auto"/>
              <w:right w:val="nil"/>
            </w:tcBorders>
            <w:hideMark/>
          </w:tcPr>
          <w:p>
            <w:pPr>
              <w:spacing w:before="60" w:after="60"/>
              <w:jc w:val="right"/>
              <w:rPr>
                <w:noProof/>
              </w:rPr>
            </w:pPr>
            <w:r>
              <w:rPr>
                <w:noProof/>
              </w:rPr>
              <w:t>(0,0 %)</w:t>
            </w:r>
          </w:p>
        </w:tc>
      </w:tr>
    </w:tbl>
    <w:p>
      <w:pPr>
        <w:pStyle w:val="ManualNumPar1"/>
        <w:rPr>
          <w:noProof/>
        </w:rPr>
      </w:pPr>
      <w:r>
        <w:t>16.</w:t>
      </w:r>
      <w:r>
        <w:tab/>
      </w:r>
      <w:r>
        <w:rPr>
          <w:noProof/>
        </w:rPr>
        <w:t>Освен това белгийските органи ще предоставят персонализирани услуги, съфинансирани от ЕФПГ, на до 300 млади хора, които не работят и не са ангажирани в никаква форма на образование или обучение (NEET) на възраст под 25 години към датата на подаване на заявлението, предвид обстоятелството, че 488 от посочените в точка 15 съкращения са извършени в региона на ниво 2 по NUTS Hainaut (B32), който отговаря на установените критерии в рамките на инициативата за младежка заетост.</w:t>
      </w:r>
    </w:p>
    <w:p>
      <w:pPr>
        <w:pStyle w:val="ManualNumPar1"/>
        <w:rPr>
          <w:noProof/>
        </w:rPr>
      </w:pPr>
      <w:r>
        <w:t>17.</w:t>
      </w:r>
      <w:r>
        <w:tab/>
      </w:r>
      <w:r>
        <w:rPr>
          <w:noProof/>
        </w:rPr>
        <w:t>Поради това общият прогнозен брой на бенефициерите от целевата група, които се очаква да участват в мерките, включително млади хора, които не работят и не са ангажирани в никаква форма на образование или обучение (NEET), е 788 души.</w:t>
      </w:r>
    </w:p>
    <w:p>
      <w:pPr>
        <w:pStyle w:val="ManualHeading3"/>
        <w:rPr>
          <w:noProof/>
        </w:rPr>
      </w:pPr>
      <w:r>
        <w:t>3.3.2.</w:t>
      </w:r>
      <w:r>
        <w:tab/>
      </w:r>
      <w:r>
        <w:rPr>
          <w:noProof/>
        </w:rPr>
        <w:t>Допустимост на предложените действия</w:t>
      </w:r>
    </w:p>
    <w:p>
      <w:pPr>
        <w:pStyle w:val="ManualNumPar1"/>
        <w:rPr>
          <w:noProof/>
        </w:rPr>
      </w:pPr>
      <w:bookmarkStart w:id="1" w:name="_Ref372214239"/>
      <w:r>
        <w:t>18.</w:t>
      </w:r>
      <w:r>
        <w:tab/>
      </w:r>
      <w:r>
        <w:rPr>
          <w:noProof/>
        </w:rPr>
        <w:t xml:space="preserve">Персонализираните услуги, които се предвижда да бъдат предоставени на съкратените работници и на неработещите, неучещи и необучаващи се млади хора, се заключават в следните действия. </w:t>
      </w:r>
      <w:bookmarkEnd w:id="1"/>
    </w:p>
    <w:p>
      <w:pPr>
        <w:pStyle w:val="Tiret1"/>
        <w:numPr>
          <w:ilvl w:val="0"/>
          <w:numId w:val="1"/>
        </w:numPr>
        <w:rPr>
          <w:noProof/>
        </w:rPr>
      </w:pPr>
      <w:bookmarkStart w:id="2" w:name="_Ref372214242"/>
      <w:r>
        <w:rPr>
          <w:noProof/>
          <w:u w:val="single"/>
        </w:rPr>
        <w:t>Подпомагане/насоки/съдействие за интегриране:</w:t>
      </w:r>
      <w:r>
        <w:rPr>
          <w:noProof/>
        </w:rPr>
        <w:t xml:space="preserve"> Този пакет от услуги се основава на обичайните дейности, които извършват звената за пренасочване. Услугите ще бъдат предоставяни от екип, съставен от специализиран персонал на FOREM</w:t>
      </w:r>
      <w:r>
        <w:rPr>
          <w:rStyle w:val="FootnoteReference"/>
          <w:noProof/>
        </w:rPr>
        <w:footnoteReference w:id="8"/>
      </w:r>
      <w:r>
        <w:rPr>
          <w:noProof/>
        </w:rPr>
        <w:t xml:space="preserve">, в партньорство с организации, представляващи бивши работници, с цел участниците да бъдат насърчени да участват в мерките и да им се помага за справяне с административните процедури. Услугите се предоставят съвместно за всички съкратени работници в специално предназначени помещения, за да бъдат улеснени контактите между работниците. В услугите са включени три типа дейности: i) колективни информационни дейности за запознаване с техники за търсене на работа (писане на автобиография (CV) и писмо за кандидатстване, използване на интернет ресурси и др.); ii) индивидуални интервюта с помощта на консултант от FOREM (проверка на уменията, кариерно развитие, насоки за обучение и др.); iii) безплатен и свободен достъп до инструменти за търсене на работа (ИТ оборудване с интернет връзка, телефон, специализирана документация и др.). </w:t>
      </w:r>
    </w:p>
    <w:p>
      <w:pPr>
        <w:pStyle w:val="Tiret1"/>
        <w:numPr>
          <w:ilvl w:val="0"/>
          <w:numId w:val="1"/>
        </w:numPr>
        <w:rPr>
          <w:noProof/>
        </w:rPr>
      </w:pPr>
      <w:r>
        <w:rPr>
          <w:noProof/>
          <w:u w:val="single"/>
        </w:rPr>
        <w:t>Улесняване на търсенето на работа:</w:t>
      </w:r>
      <w:r>
        <w:rPr>
          <w:noProof/>
        </w:rPr>
        <w:t xml:space="preserve"> FOREM ще проведе специфични дейности, имащи за цел да помогнат на работниците в търсенето на работа и преодоляването на трудностите в процеса на пренасочване. Тези дейности включват срещи между съкратените работници и потенциални работодатели (връзка между търсещи и предлагащи работа), посещения на предприятия, срещи със специалисти по набиране на персонал с цел подготовка за интервю за работа и обмяна на опит с други работници, които вече са преквалифицирани, или такива, които са си намерили работа след колективно съкращение.</w:t>
      </w:r>
    </w:p>
    <w:p>
      <w:pPr>
        <w:pStyle w:val="Tiret1"/>
        <w:numPr>
          <w:ilvl w:val="0"/>
          <w:numId w:val="1"/>
        </w:numPr>
        <w:rPr>
          <w:noProof/>
        </w:rPr>
      </w:pPr>
      <w:r>
        <w:rPr>
          <w:noProof/>
          <w:u w:val="single"/>
        </w:rPr>
        <w:t>Интегрирано обучение:</w:t>
      </w:r>
      <w:r>
        <w:rPr>
          <w:noProof/>
        </w:rPr>
        <w:t xml:space="preserve"> Редица специфични курсове за обучение ще бъдат предоставени от FOREM, от centres de competences или от IFAPME</w:t>
      </w:r>
      <w:r>
        <w:rPr>
          <w:rStyle w:val="FootnoteReference"/>
          <w:noProof/>
        </w:rPr>
        <w:footnoteReference w:id="9"/>
      </w:r>
      <w:r>
        <w:rPr>
          <w:noProof/>
        </w:rPr>
        <w:t xml:space="preserve">. Като първа стъпка е предвидено персоналът на FOREM да помогне на всеки от участниците поотделно да определи своите цели във връзка с работата и да ги насочи към някой от предлаганите модули на обучение. В края на всеки модул на обучението може да се направи оценка на новите умения и да се издаде съответен документ. Според вида на обучението и областта на компетентностите участниците ще получат или формално сертифициране на уменията (например свидетелство за професионална компетентност), или удостоверение за преминато обучение (за компетентности или професии, за които няма свидетелства за формално обучение), или валидиране на уменията (за умения и компетентности, придобити извън курсовете на формалното обучение). </w:t>
      </w:r>
    </w:p>
    <w:p>
      <w:pPr>
        <w:pStyle w:val="Tiret1"/>
        <w:numPr>
          <w:ilvl w:val="0"/>
          <w:numId w:val="1"/>
        </w:numPr>
        <w:rPr>
          <w:noProof/>
        </w:rPr>
      </w:pPr>
      <w:r>
        <w:rPr>
          <w:noProof/>
          <w:u w:val="single"/>
        </w:rPr>
        <w:t>Подкрепа при създаването на собствено предприятие:</w:t>
      </w:r>
      <w:r>
        <w:rPr>
          <w:noProof/>
        </w:rPr>
        <w:t xml:space="preserve"> Работниците, които обмислят възможността да започнат собствен бизнес, ще получат насоки и подкрепа в хода на целия процес. Тази подкрепа се състои от две основни дейности: i) колективни информационни срещи за повишаване на осведомеността относно възможностите за създаване на предприятия, предоставяне на информация за правните аспекти и мерките в подкрепа на създаването на предприятия; ii) индивидуални интервюта със заинтересованите работници за обсъждане на техните планове и предоставяне на данни за контакт с организации за подкрепа на бизнеса и доставчици на услуги. </w:t>
      </w:r>
    </w:p>
    <w:p>
      <w:pPr>
        <w:pStyle w:val="Tiret1"/>
        <w:numPr>
          <w:ilvl w:val="0"/>
          <w:numId w:val="1"/>
        </w:numPr>
        <w:rPr>
          <w:noProof/>
        </w:rPr>
      </w:pPr>
      <w:r>
        <w:rPr>
          <w:noProof/>
          <w:u w:val="single"/>
        </w:rPr>
        <w:t>Подкрепа за колективни проекти:</w:t>
      </w:r>
      <w:r>
        <w:rPr>
          <w:noProof/>
        </w:rPr>
        <w:t xml:space="preserve"> Работниците, които обмислят създаването на „социално предприятие“ заедно като група, ще получат насоки и подкрепа от специализирана консултантска служба и от звеното за пренасочване. Тази подкрепа се състои в информационни сесии и сесии за повишаване на осведомеността относно създаването на собствен бизнес и основните бизнес умения, както и в съвети за учредяване на дружество (например изготвяне на бизнес план, съставяне на правен статут, маркетинг и др.). Комитет за подпомагане, в който участват представители на организации на работодателите, на синдикатите и FOREM, оценява заявлението и решава дали да се отпускат безвъзмездни средства. Всеки участващ в проекта работник може да получи безвъзмездна помощ в размер от 5 000 EUR (като средствата се предоставят общо за всички участващи работници). Безвъзмездните средства могат да се използват за покриване на разходите, свързани със закупуването на оборудване, стоки, популяризиране, консултантски услуги, обучение и т.н. Консултантската организация изплаща отпуснатите безвъзмездните средства и докладва пред FOREM относно извършените разходи (с фактури и разходооправдателни документи). </w:t>
      </w:r>
    </w:p>
    <w:p>
      <w:pPr>
        <w:pStyle w:val="Tiret1"/>
        <w:numPr>
          <w:ilvl w:val="0"/>
          <w:numId w:val="1"/>
        </w:numPr>
        <w:rPr>
          <w:noProof/>
        </w:rPr>
      </w:pPr>
      <w:r>
        <w:rPr>
          <w:noProof/>
          <w:u w:val="single"/>
        </w:rPr>
        <w:t>Помощи:</w:t>
      </w:r>
      <w:r>
        <w:rPr>
          <w:noProof/>
        </w:rPr>
        <w:t xml:space="preserve"> На участниците ще бъдат предоставени и помощи за търсене на работа и за обучение.</w:t>
      </w:r>
    </w:p>
    <w:p>
      <w:pPr>
        <w:autoSpaceDE w:val="0"/>
        <w:autoSpaceDN w:val="0"/>
        <w:adjustRightInd w:val="0"/>
        <w:spacing w:after="0"/>
        <w:jc w:val="left"/>
        <w:rPr>
          <w:noProof/>
        </w:rPr>
      </w:pPr>
      <w:r>
        <w:rPr>
          <w:noProof/>
        </w:rPr>
        <w:t xml:space="preserve">Персонализираните услуги, които ще се предоставят на NEET, се основават на подобен подход, както е описано по-горе, и се състоят от следните действия: </w:t>
      </w:r>
    </w:p>
    <w:p>
      <w:pPr>
        <w:pStyle w:val="Tiret1"/>
        <w:numPr>
          <w:ilvl w:val="0"/>
          <w:numId w:val="1"/>
        </w:numPr>
        <w:rPr>
          <w:noProof/>
        </w:rPr>
      </w:pPr>
      <w:r>
        <w:rPr>
          <w:noProof/>
          <w:u w:val="single"/>
        </w:rPr>
        <w:t>Мобилизиране и ориентиране:</w:t>
      </w:r>
      <w:r>
        <w:rPr>
          <w:noProof/>
        </w:rPr>
        <w:t xml:space="preserve"> Подробното профилиране ще позволи на младите хора или директно да започнат по-нататъшно образование/обучение, или да посещават специална въвеждаща сесия, предназначена за повишаване на самочувствието и за проучване на интереси.</w:t>
      </w:r>
      <w:r>
        <w:rPr>
          <w:noProof/>
          <w:highlight w:val="yellow"/>
        </w:rPr>
        <w:t xml:space="preserve"> </w:t>
      </w:r>
    </w:p>
    <w:p>
      <w:pPr>
        <w:pStyle w:val="Tiret1"/>
        <w:numPr>
          <w:ilvl w:val="0"/>
          <w:numId w:val="1"/>
        </w:numPr>
        <w:rPr>
          <w:noProof/>
        </w:rPr>
      </w:pPr>
      <w:r>
        <w:rPr>
          <w:noProof/>
          <w:u w:val="single"/>
        </w:rPr>
        <w:t>Обучение:</w:t>
      </w:r>
      <w:r>
        <w:rPr>
          <w:noProof/>
        </w:rPr>
        <w:t xml:space="preserve"> Редица специфични курсове за обучение ще бъдат предоставени от FOREM, от centres de competences или от IFAPME.</w:t>
      </w:r>
    </w:p>
    <w:p>
      <w:pPr>
        <w:pStyle w:val="Tiret1"/>
        <w:numPr>
          <w:ilvl w:val="0"/>
          <w:numId w:val="1"/>
        </w:numPr>
        <w:rPr>
          <w:noProof/>
        </w:rPr>
      </w:pPr>
      <w:r>
        <w:rPr>
          <w:noProof/>
          <w:u w:val="single"/>
        </w:rPr>
        <w:t>Персонализирано повишаване на квалификацията:</w:t>
      </w:r>
      <w:r>
        <w:rPr>
          <w:noProof/>
        </w:rPr>
        <w:t xml:space="preserve"> За всяко NEET, участващо в тази мярка, ще бъде изготвен план за персонализирано повишаване на квалификацията. </w:t>
      </w:r>
    </w:p>
    <w:p>
      <w:pPr>
        <w:pStyle w:val="Tiret1"/>
        <w:numPr>
          <w:ilvl w:val="0"/>
          <w:numId w:val="1"/>
        </w:numPr>
        <w:rPr>
          <w:noProof/>
        </w:rPr>
      </w:pPr>
      <w:r>
        <w:rPr>
          <w:noProof/>
          <w:u w:val="single"/>
        </w:rPr>
        <w:t>Помощи:</w:t>
      </w:r>
      <w:r>
        <w:rPr>
          <w:noProof/>
        </w:rPr>
        <w:t xml:space="preserve"> На участниците ще бъдат предоставени и помощи за търсене на работа, за обучение и за мобилност.</w:t>
      </w:r>
    </w:p>
    <w:p>
      <w:pPr>
        <w:pStyle w:val="ManualNumPar1"/>
        <w:rPr>
          <w:noProof/>
        </w:rPr>
      </w:pPr>
      <w:r>
        <w:t>19.</w:t>
      </w:r>
      <w:r>
        <w:tab/>
      </w:r>
      <w:r>
        <w:rPr>
          <w:noProof/>
        </w:rPr>
        <w:t>Предложените действия, описани в настоящия документ, представляват активни мерки на пазара на труда в рамките на допустимите действия, посочени в член 7 от Регламента за ЕФПГ. Тези действия не заместват пасивните мерки за социална закрила.</w:t>
      </w:r>
    </w:p>
    <w:p>
      <w:pPr>
        <w:pStyle w:val="ManualNumPar1"/>
        <w:rPr>
          <w:noProof/>
        </w:rPr>
      </w:pPr>
      <w:r>
        <w:t>20.</w:t>
      </w:r>
      <w:r>
        <w:tab/>
      </w:r>
      <w:r>
        <w:rPr>
          <w:noProof/>
        </w:rPr>
        <w:t>Белгийските органи предоставиха поисканата информация относно действията, които са задължителни за засегнатите предприятия по силата на националното законодателство или в съответствие с колективни споразумения. Те потвърдиха, че финансовото участие от страна на ЕФПГ няма да замени тези действия.</w:t>
      </w:r>
    </w:p>
    <w:bookmarkEnd w:id="2"/>
    <w:p>
      <w:pPr>
        <w:pStyle w:val="ManualHeading3"/>
        <w:rPr>
          <w:noProof/>
        </w:rPr>
      </w:pPr>
      <w:r>
        <w:t>3.3.3.</w:t>
      </w:r>
      <w:r>
        <w:tab/>
      </w:r>
      <w:r>
        <w:rPr>
          <w:noProof/>
        </w:rPr>
        <w:t>Прогнозен бюджет</w:t>
      </w:r>
    </w:p>
    <w:p>
      <w:pPr>
        <w:pStyle w:val="ManualNumPar1"/>
        <w:rPr>
          <w:noProof/>
        </w:rPr>
      </w:pPr>
      <w:r>
        <w:t>21.</w:t>
      </w:r>
      <w:r>
        <w:tab/>
      </w:r>
      <w:r>
        <w:rPr>
          <w:noProof/>
        </w:rPr>
        <w:t>Общите прогнозни разходи са в размер на 3 040 069 EUR, като в тях се включват разходи за персонализирани услуги на стойност 2 972 669 EUR и разходи за дейности по подготовка, управление, информиране и публичност, контрол и докладване в размер на 67 400 EUR.</w:t>
      </w:r>
    </w:p>
    <w:p>
      <w:pPr>
        <w:pStyle w:val="ManualNumPar1"/>
        <w:rPr>
          <w:noProof/>
        </w:rPr>
      </w:pPr>
      <w:r>
        <w:t>22.</w:t>
      </w:r>
      <w:r>
        <w:tab/>
      </w:r>
      <w:r>
        <w:rPr>
          <w:noProof/>
        </w:rPr>
        <w:t>Общият размер на поисканото финансово участие от ЕФПГ възлиза на 1 824 041 EUR (60 % от общите разходи.).</w:t>
      </w:r>
    </w:p>
    <w:tbl>
      <w:tblPr>
        <w:tblW w:w="0" w:type="auto"/>
        <w:tblBorders>
          <w:top w:val="single" w:sz="4" w:space="0" w:color="auto"/>
          <w:left w:val="nil"/>
          <w:bottom w:val="single" w:sz="4" w:space="0" w:color="auto"/>
          <w:right w:val="nil"/>
          <w:insideH w:val="single" w:sz="4" w:space="0" w:color="auto"/>
          <w:insideV w:val="single" w:sz="4" w:space="0" w:color="auto"/>
        </w:tblBorders>
        <w:tblLook w:val="01E0" w:firstRow="1" w:lastRow="1" w:firstColumn="1" w:lastColumn="1" w:noHBand="0" w:noVBand="0"/>
      </w:tblPr>
      <w:tblGrid>
        <w:gridCol w:w="4202"/>
        <w:gridCol w:w="1676"/>
        <w:gridCol w:w="1690"/>
        <w:gridCol w:w="1721"/>
      </w:tblGrid>
      <w:tr>
        <w:tc>
          <w:tcPr>
            <w:tcW w:w="2296" w:type="dxa"/>
            <w:shd w:val="clear" w:color="auto" w:fill="auto"/>
            <w:vAlign w:val="center"/>
          </w:tcPr>
          <w:p>
            <w:pPr>
              <w:spacing w:before="60" w:after="60"/>
              <w:jc w:val="center"/>
              <w:rPr>
                <w:rFonts w:eastAsia="Times New Roman"/>
                <w:noProof/>
              </w:rPr>
            </w:pPr>
            <w:r>
              <w:rPr>
                <w:noProof/>
              </w:rPr>
              <w:t>Действия</w:t>
            </w:r>
          </w:p>
        </w:tc>
        <w:tc>
          <w:tcPr>
            <w:tcW w:w="2279" w:type="dxa"/>
            <w:shd w:val="clear" w:color="auto" w:fill="auto"/>
            <w:vAlign w:val="center"/>
          </w:tcPr>
          <w:p>
            <w:pPr>
              <w:spacing w:before="60" w:after="60"/>
              <w:jc w:val="center"/>
              <w:rPr>
                <w:rFonts w:eastAsia="Times New Roman"/>
                <w:noProof/>
              </w:rPr>
            </w:pPr>
            <w:r>
              <w:rPr>
                <w:noProof/>
              </w:rPr>
              <w:t>Прогнозен брой участници</w:t>
            </w:r>
          </w:p>
        </w:tc>
        <w:tc>
          <w:tcPr>
            <w:tcW w:w="2279" w:type="dxa"/>
            <w:shd w:val="clear" w:color="auto" w:fill="auto"/>
            <w:vAlign w:val="center"/>
          </w:tcPr>
          <w:p>
            <w:pPr>
              <w:spacing w:before="60" w:after="60"/>
              <w:jc w:val="center"/>
              <w:rPr>
                <w:rFonts w:eastAsia="Times New Roman"/>
                <w:noProof/>
              </w:rPr>
            </w:pPr>
            <w:r>
              <w:rPr>
                <w:noProof/>
              </w:rPr>
              <w:t>Прогнозни разходи за един участник (EUR</w:t>
            </w:r>
            <w:r>
              <w:rPr>
                <w:rStyle w:val="FootnoteReference"/>
                <w:noProof/>
              </w:rPr>
              <w:footnoteReference w:id="10"/>
            </w:r>
            <w:r>
              <w:rPr>
                <w:noProof/>
              </w:rPr>
              <w:t>)</w:t>
            </w:r>
          </w:p>
        </w:tc>
        <w:tc>
          <w:tcPr>
            <w:tcW w:w="2435" w:type="dxa"/>
            <w:shd w:val="clear" w:color="auto" w:fill="auto"/>
            <w:vAlign w:val="center"/>
          </w:tcPr>
          <w:p>
            <w:pPr>
              <w:spacing w:before="60" w:after="60"/>
              <w:jc w:val="center"/>
              <w:rPr>
                <w:rFonts w:eastAsia="Times New Roman"/>
                <w:noProof/>
              </w:rPr>
            </w:pPr>
            <w:r>
              <w:rPr>
                <w:noProof/>
              </w:rPr>
              <w:t>Общо прогнозни разходи (EUR)</w:t>
            </w:r>
            <w:r>
              <w:rPr>
                <w:i/>
                <w:noProof/>
              </w:rPr>
              <w:t xml:space="preserve"> </w:t>
            </w:r>
          </w:p>
        </w:tc>
      </w:tr>
      <w:tr>
        <w:tc>
          <w:tcPr>
            <w:tcW w:w="9289" w:type="dxa"/>
            <w:gridSpan w:val="4"/>
            <w:shd w:val="clear" w:color="auto" w:fill="auto"/>
          </w:tcPr>
          <w:p>
            <w:pPr>
              <w:spacing w:before="60" w:after="60"/>
              <w:jc w:val="left"/>
              <w:rPr>
                <w:rFonts w:eastAsia="Times New Roman"/>
                <w:noProof/>
              </w:rPr>
            </w:pPr>
            <w:r>
              <w:rPr>
                <w:noProof/>
              </w:rPr>
              <w:t>Персонализирани услуги (действия по член 7, параграф 1, букви а) и в) от Регламента за ЕФПГ)</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szCs w:val="24"/>
              </w:rPr>
            </w:pPr>
            <w:r>
              <w:rPr>
                <w:b/>
                <w:noProof/>
              </w:rPr>
              <w:t>Пренасочване (Reconversion):</w:t>
            </w:r>
          </w:p>
          <w:p>
            <w:pPr>
              <w:spacing w:before="60" w:after="60"/>
              <w:jc w:val="left"/>
              <w:rPr>
                <w:noProof/>
              </w:rPr>
            </w:pPr>
            <w:r>
              <w:rPr>
                <w:noProof/>
              </w:rPr>
              <w:t>Подпомагане/насоки/съдействие за интегриране (Accompagnement/Orientation/Insertion)</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488</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2 849</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1 390 089</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 xml:space="preserve">Улесняване на търсенето на работа (Dynamisation de la recherche d'emploi) </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163</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32 500</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before="60" w:after="60"/>
              <w:jc w:val="left"/>
              <w:rPr>
                <w:b/>
                <w:noProof/>
              </w:rPr>
            </w:pPr>
            <w:r>
              <w:rPr>
                <w:b/>
                <w:noProof/>
              </w:rPr>
              <w:t>Обучение (Formation)</w:t>
            </w:r>
          </w:p>
          <w:p>
            <w:pPr>
              <w:spacing w:before="60" w:after="60"/>
              <w:jc w:val="left"/>
              <w:rPr>
                <w:noProof/>
              </w:rPr>
            </w:pPr>
            <w:r>
              <w:rPr>
                <w:noProof/>
              </w:rPr>
              <w:t>Интегрирано обучение (Formations intégrées)</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594</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118 850</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before="60" w:after="60"/>
              <w:jc w:val="left"/>
              <w:rPr>
                <w:b/>
                <w:noProof/>
              </w:rPr>
            </w:pPr>
            <w:r>
              <w:rPr>
                <w:b/>
                <w:noProof/>
              </w:rPr>
              <w:t>Подкрепа за създаването на собствено предприятие (Aide à la creation d'emploi)</w:t>
            </w:r>
          </w:p>
          <w:p>
            <w:pPr>
              <w:spacing w:after="0"/>
              <w:ind w:rightChars="192" w:right="461"/>
              <w:jc w:val="left"/>
              <w:rPr>
                <w:noProof/>
              </w:rPr>
            </w:pPr>
            <w:r>
              <w:rPr>
                <w:noProof/>
              </w:rPr>
              <w:t>Подкрепа за колективни проекти (Autocreation d'emploi individuelle)</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117</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35 000</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 xml:space="preserve">Колективни проекти за повишаване на осведомеността (Sensibilisation aux projets collectifs) </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160</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47 868</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 xml:space="preserve">Безвъзмездни средства за изготвяне на колективни проекти (Bourses de création de projets collectifs) </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5 000</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50 000</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 xml:space="preserve">NEET: Мобилизиране и ориентиране (Mobilisation/accompagnement) </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300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3 350</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1 004 896</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NEET Прехвърляне на опит (Formations intégrées)</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850</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85 000</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NEET Персонализирано повишаване на квалификацията (Remédiation et mise à niveau)</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1 300</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65 000</w:t>
            </w:r>
          </w:p>
        </w:tc>
      </w:tr>
      <w:tr>
        <w:trPr>
          <w:trHeight w:val="398"/>
        </w:trPr>
        <w:tc>
          <w:tcPr>
            <w:tcW w:w="2296" w:type="dxa"/>
            <w:vMerge w:val="restart"/>
            <w:shd w:val="clear" w:color="auto" w:fill="auto"/>
            <w:vAlign w:val="center"/>
          </w:tcPr>
          <w:p>
            <w:pPr>
              <w:spacing w:before="60" w:after="60"/>
              <w:jc w:val="right"/>
              <w:rPr>
                <w:rFonts w:eastAsia="Times New Roman"/>
                <w:noProof/>
              </w:rPr>
            </w:pPr>
            <w:r>
              <w:rPr>
                <w:noProof/>
              </w:rPr>
              <w:t>Междинен сбор (a):</w:t>
            </w:r>
          </w:p>
          <w:p>
            <w:pPr>
              <w:spacing w:before="60" w:after="60"/>
              <w:jc w:val="right"/>
              <w:rPr>
                <w:rFonts w:eastAsia="Times New Roman"/>
                <w:noProof/>
              </w:rPr>
            </w:pPr>
            <w:r>
              <w:rPr>
                <w:noProof/>
              </w:rPr>
              <w:t xml:space="preserve">Процент от пакета от персонализирани услуги: </w:t>
            </w:r>
          </w:p>
        </w:tc>
        <w:tc>
          <w:tcPr>
            <w:tcW w:w="4558" w:type="dxa"/>
            <w:gridSpan w:val="2"/>
            <w:vMerge w:val="restart"/>
            <w:shd w:val="clear" w:color="auto" w:fill="D9D9D9"/>
            <w:vAlign w:val="center"/>
          </w:tcPr>
          <w:p>
            <w:pPr>
              <w:spacing w:before="60" w:after="60"/>
              <w:jc w:val="center"/>
              <w:rPr>
                <w:rFonts w:eastAsia="Times New Roman"/>
                <w:noProof/>
              </w:rPr>
            </w:pPr>
            <w:r>
              <w:rPr>
                <w:noProof/>
              </w:rPr>
              <w:t>–</w:t>
            </w:r>
          </w:p>
        </w:tc>
        <w:tc>
          <w:tcPr>
            <w:tcW w:w="2435" w:type="dxa"/>
            <w:tcBorders>
              <w:bottom w:val="nil"/>
            </w:tcBorders>
            <w:shd w:val="clear" w:color="auto" w:fill="auto"/>
            <w:vAlign w:val="center"/>
          </w:tcPr>
          <w:p>
            <w:pPr>
              <w:spacing w:before="60" w:after="60"/>
              <w:jc w:val="center"/>
              <w:rPr>
                <w:rFonts w:eastAsia="Times New Roman"/>
                <w:noProof/>
              </w:rPr>
            </w:pPr>
            <w:r>
              <w:rPr>
                <w:noProof/>
              </w:rPr>
              <w:t>2 829 203</w:t>
            </w:r>
          </w:p>
        </w:tc>
      </w:tr>
      <w:tr>
        <w:trPr>
          <w:trHeight w:val="397"/>
        </w:trPr>
        <w:tc>
          <w:tcPr>
            <w:tcW w:w="2296" w:type="dxa"/>
            <w:vMerge/>
            <w:shd w:val="clear" w:color="auto" w:fill="auto"/>
            <w:vAlign w:val="center"/>
          </w:tcPr>
          <w:p>
            <w:pPr>
              <w:spacing w:before="60" w:after="60"/>
              <w:jc w:val="right"/>
              <w:rPr>
                <w:rFonts w:eastAsia="Times New Roman"/>
                <w:noProof/>
              </w:rPr>
            </w:pPr>
          </w:p>
        </w:tc>
        <w:tc>
          <w:tcPr>
            <w:tcW w:w="4558" w:type="dxa"/>
            <w:gridSpan w:val="2"/>
            <w:vMerge/>
            <w:shd w:val="clear" w:color="auto" w:fill="D9D9D9"/>
            <w:vAlign w:val="center"/>
          </w:tcPr>
          <w:p>
            <w:pPr>
              <w:spacing w:before="60" w:after="60"/>
              <w:jc w:val="center"/>
              <w:rPr>
                <w:rFonts w:eastAsia="Times New Roman"/>
                <w:noProof/>
              </w:rPr>
            </w:pPr>
          </w:p>
        </w:tc>
        <w:tc>
          <w:tcPr>
            <w:tcW w:w="2435" w:type="dxa"/>
            <w:tcBorders>
              <w:top w:val="nil"/>
            </w:tcBorders>
            <w:shd w:val="clear" w:color="auto" w:fill="auto"/>
            <w:vAlign w:val="center"/>
          </w:tcPr>
          <w:p>
            <w:pPr>
              <w:spacing w:before="60" w:after="60"/>
              <w:jc w:val="center"/>
              <w:rPr>
                <w:rFonts w:eastAsia="Times New Roman"/>
                <w:noProof/>
              </w:rPr>
            </w:pPr>
            <w:r>
              <w:rPr>
                <w:noProof/>
              </w:rPr>
              <w:t>(95,17 %)</w:t>
            </w:r>
          </w:p>
        </w:tc>
      </w:tr>
      <w:tr>
        <w:tc>
          <w:tcPr>
            <w:tcW w:w="9289" w:type="dxa"/>
            <w:gridSpan w:val="4"/>
            <w:shd w:val="clear" w:color="auto" w:fill="auto"/>
            <w:vAlign w:val="center"/>
          </w:tcPr>
          <w:p>
            <w:pPr>
              <w:spacing w:before="60" w:after="60"/>
              <w:jc w:val="left"/>
              <w:rPr>
                <w:noProof/>
              </w:rPr>
            </w:pPr>
            <w:r>
              <w:rPr>
                <w:noProof/>
              </w:rPr>
              <w:t xml:space="preserve">Помощи и стимули (действия по член 7, параграф 1, буква б) от Регламента за ЕФПГ) </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 xml:space="preserve">Помощ за търсене на работа (Allocations de recherche d'emploi)  </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488</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153</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74 844</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 xml:space="preserve">Помощ за обучение (Allocations de formation) </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200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62</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12 372</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 xml:space="preserve">NEET: Помощ за търсене на работа (Allocations de recherche d'emploi) </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125</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18 750</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 xml:space="preserve">NEET: Помощ за мобилност (Allocations de mobilité) </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125</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18 750</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 xml:space="preserve">NEET: Помощ за обучение (Allocations de formation) </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100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125</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12 500</w:t>
            </w:r>
          </w:p>
        </w:tc>
      </w:tr>
      <w:tr>
        <w:trPr>
          <w:trHeight w:val="802"/>
        </w:trPr>
        <w:tc>
          <w:tcPr>
            <w:tcW w:w="2296" w:type="dxa"/>
            <w:tcBorders>
              <w:top w:val="single" w:sz="4" w:space="0" w:color="auto"/>
              <w:left w:val="nil"/>
              <w:bottom w:val="single" w:sz="4" w:space="0" w:color="auto"/>
              <w:right w:val="single" w:sz="4" w:space="0" w:color="auto"/>
            </w:tcBorders>
            <w:vAlign w:val="center"/>
            <w:hideMark/>
          </w:tcPr>
          <w:p>
            <w:pPr>
              <w:spacing w:after="0"/>
              <w:ind w:rightChars="192" w:right="461"/>
              <w:jc w:val="left"/>
              <w:rPr>
                <w:noProof/>
              </w:rPr>
            </w:pPr>
            <w:r>
              <w:rPr>
                <w:noProof/>
              </w:rPr>
              <w:t xml:space="preserve">Персонализирана помощ за повишаване на квалификацията (Allocations remédiation) </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50</w:t>
            </w:r>
          </w:p>
        </w:tc>
        <w:tc>
          <w:tcPr>
            <w:tcW w:w="2279"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125</w:t>
            </w:r>
          </w:p>
        </w:tc>
        <w:tc>
          <w:tcPr>
            <w:tcW w:w="2435"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6 250</w:t>
            </w:r>
          </w:p>
        </w:tc>
      </w:tr>
      <w:tr>
        <w:trPr>
          <w:trHeight w:val="203"/>
        </w:trPr>
        <w:tc>
          <w:tcPr>
            <w:tcW w:w="2296" w:type="dxa"/>
            <w:vMerge w:val="restart"/>
            <w:shd w:val="clear" w:color="auto" w:fill="auto"/>
            <w:vAlign w:val="center"/>
          </w:tcPr>
          <w:p>
            <w:pPr>
              <w:spacing w:before="60" w:after="60"/>
              <w:jc w:val="right"/>
              <w:rPr>
                <w:rFonts w:eastAsia="Times New Roman"/>
                <w:noProof/>
              </w:rPr>
            </w:pPr>
            <w:r>
              <w:rPr>
                <w:noProof/>
              </w:rPr>
              <w:t>Междинен сбор (б):</w:t>
            </w:r>
          </w:p>
          <w:p>
            <w:pPr>
              <w:spacing w:before="60" w:after="60"/>
              <w:jc w:val="right"/>
              <w:rPr>
                <w:rFonts w:eastAsia="Times New Roman"/>
                <w:noProof/>
              </w:rPr>
            </w:pPr>
            <w:r>
              <w:rPr>
                <w:noProof/>
              </w:rPr>
              <w:t>Процент от пакета от персонализирани услуги:</w:t>
            </w:r>
          </w:p>
        </w:tc>
        <w:tc>
          <w:tcPr>
            <w:tcW w:w="4558" w:type="dxa"/>
            <w:gridSpan w:val="2"/>
            <w:vMerge w:val="restart"/>
            <w:shd w:val="clear" w:color="auto" w:fill="D9D9D9"/>
            <w:vAlign w:val="center"/>
          </w:tcPr>
          <w:p>
            <w:pPr>
              <w:spacing w:before="60" w:after="60"/>
              <w:jc w:val="center"/>
              <w:rPr>
                <w:rFonts w:eastAsia="Times New Roman"/>
                <w:noProof/>
              </w:rPr>
            </w:pPr>
            <w:r>
              <w:rPr>
                <w:noProof/>
              </w:rPr>
              <w:t>–</w:t>
            </w:r>
          </w:p>
        </w:tc>
        <w:tc>
          <w:tcPr>
            <w:tcW w:w="2435" w:type="dxa"/>
            <w:tcBorders>
              <w:bottom w:val="nil"/>
            </w:tcBorders>
            <w:shd w:val="clear" w:color="auto" w:fill="auto"/>
            <w:vAlign w:val="center"/>
          </w:tcPr>
          <w:p>
            <w:pPr>
              <w:spacing w:before="60" w:after="60"/>
              <w:jc w:val="center"/>
              <w:rPr>
                <w:rFonts w:eastAsia="Times New Roman"/>
                <w:noProof/>
              </w:rPr>
            </w:pPr>
            <w:r>
              <w:rPr>
                <w:noProof/>
              </w:rPr>
              <w:t>143 466</w:t>
            </w:r>
          </w:p>
        </w:tc>
      </w:tr>
      <w:tr>
        <w:trPr>
          <w:trHeight w:val="202"/>
        </w:trPr>
        <w:tc>
          <w:tcPr>
            <w:tcW w:w="2296" w:type="dxa"/>
            <w:vMerge/>
            <w:shd w:val="clear" w:color="auto" w:fill="auto"/>
            <w:vAlign w:val="center"/>
          </w:tcPr>
          <w:p>
            <w:pPr>
              <w:spacing w:before="60" w:after="60"/>
              <w:jc w:val="right"/>
              <w:rPr>
                <w:rFonts w:eastAsia="Times New Roman"/>
                <w:noProof/>
              </w:rPr>
            </w:pPr>
          </w:p>
        </w:tc>
        <w:tc>
          <w:tcPr>
            <w:tcW w:w="4558" w:type="dxa"/>
            <w:gridSpan w:val="2"/>
            <w:vMerge/>
            <w:shd w:val="clear" w:color="auto" w:fill="D9D9D9"/>
            <w:vAlign w:val="center"/>
          </w:tcPr>
          <w:p>
            <w:pPr>
              <w:spacing w:before="60" w:after="60"/>
              <w:jc w:val="center"/>
              <w:rPr>
                <w:rFonts w:eastAsia="Times New Roman"/>
                <w:noProof/>
              </w:rPr>
            </w:pPr>
          </w:p>
        </w:tc>
        <w:tc>
          <w:tcPr>
            <w:tcW w:w="2435" w:type="dxa"/>
            <w:tcBorders>
              <w:top w:val="nil"/>
            </w:tcBorders>
            <w:shd w:val="clear" w:color="auto" w:fill="auto"/>
            <w:vAlign w:val="center"/>
          </w:tcPr>
          <w:p>
            <w:pPr>
              <w:spacing w:before="60" w:after="60"/>
              <w:jc w:val="center"/>
              <w:rPr>
                <w:rFonts w:eastAsia="Times New Roman"/>
                <w:noProof/>
              </w:rPr>
            </w:pPr>
            <w:r>
              <w:rPr>
                <w:noProof/>
              </w:rPr>
              <w:t>(4,83 %)</w:t>
            </w:r>
          </w:p>
        </w:tc>
      </w:tr>
      <w:tr>
        <w:tc>
          <w:tcPr>
            <w:tcW w:w="9289" w:type="dxa"/>
            <w:gridSpan w:val="4"/>
            <w:shd w:val="clear" w:color="auto" w:fill="auto"/>
            <w:vAlign w:val="center"/>
          </w:tcPr>
          <w:p>
            <w:pPr>
              <w:spacing w:before="60" w:after="60"/>
              <w:jc w:val="left"/>
              <w:rPr>
                <w:rFonts w:eastAsia="Times New Roman"/>
                <w:noProof/>
              </w:rPr>
            </w:pPr>
            <w:r>
              <w:rPr>
                <w:noProof/>
              </w:rPr>
              <w:t>Действия по член 7, параграф 4 от Регламента за ЕФПГ</w:t>
            </w:r>
          </w:p>
        </w:tc>
      </w:tr>
      <w:tr>
        <w:tc>
          <w:tcPr>
            <w:tcW w:w="2296" w:type="dxa"/>
            <w:shd w:val="clear" w:color="auto" w:fill="auto"/>
          </w:tcPr>
          <w:p>
            <w:pPr>
              <w:spacing w:before="60" w:after="60"/>
              <w:ind w:left="284"/>
              <w:jc w:val="left"/>
              <w:rPr>
                <w:rFonts w:eastAsia="Times New Roman"/>
                <w:noProof/>
              </w:rPr>
            </w:pPr>
            <w:r>
              <w:rPr>
                <w:noProof/>
              </w:rPr>
              <w:t>1. Дейности по подготовката</w:t>
            </w:r>
          </w:p>
        </w:tc>
        <w:tc>
          <w:tcPr>
            <w:tcW w:w="4558" w:type="dxa"/>
            <w:gridSpan w:val="2"/>
            <w:shd w:val="clear" w:color="auto" w:fill="D9D9D9"/>
            <w:vAlign w:val="center"/>
          </w:tcPr>
          <w:p>
            <w:pPr>
              <w:spacing w:before="60" w:after="60"/>
              <w:jc w:val="center"/>
              <w:rPr>
                <w:rFonts w:eastAsia="Times New Roman"/>
                <w:noProof/>
              </w:rPr>
            </w:pPr>
            <w:r>
              <w:rPr>
                <w:noProof/>
              </w:rPr>
              <w:t>–</w:t>
            </w:r>
          </w:p>
        </w:tc>
        <w:tc>
          <w:tcPr>
            <w:tcW w:w="2435" w:type="dxa"/>
            <w:shd w:val="clear" w:color="auto" w:fill="auto"/>
          </w:tcPr>
          <w:p>
            <w:pPr>
              <w:spacing w:before="60" w:after="60"/>
              <w:jc w:val="center"/>
              <w:rPr>
                <w:rFonts w:eastAsia="Times New Roman"/>
                <w:noProof/>
              </w:rPr>
            </w:pPr>
            <w:r>
              <w:rPr>
                <w:noProof/>
              </w:rPr>
              <w:t>1 500</w:t>
            </w:r>
          </w:p>
        </w:tc>
      </w:tr>
      <w:tr>
        <w:tc>
          <w:tcPr>
            <w:tcW w:w="2296" w:type="dxa"/>
            <w:shd w:val="clear" w:color="auto" w:fill="auto"/>
          </w:tcPr>
          <w:p>
            <w:pPr>
              <w:spacing w:before="60" w:after="60"/>
              <w:ind w:left="284"/>
              <w:jc w:val="left"/>
              <w:rPr>
                <w:rFonts w:eastAsia="Times New Roman"/>
                <w:noProof/>
              </w:rPr>
            </w:pPr>
            <w:r>
              <w:rPr>
                <w:noProof/>
              </w:rPr>
              <w:t>2. Управление</w:t>
            </w:r>
          </w:p>
        </w:tc>
        <w:tc>
          <w:tcPr>
            <w:tcW w:w="4558" w:type="dxa"/>
            <w:gridSpan w:val="2"/>
            <w:shd w:val="clear" w:color="auto" w:fill="D9D9D9"/>
            <w:vAlign w:val="center"/>
          </w:tcPr>
          <w:p>
            <w:pPr>
              <w:spacing w:before="60" w:after="60"/>
              <w:jc w:val="center"/>
              <w:rPr>
                <w:rFonts w:eastAsia="Times New Roman"/>
                <w:noProof/>
              </w:rPr>
            </w:pPr>
            <w:r>
              <w:rPr>
                <w:noProof/>
              </w:rPr>
              <w:t>–</w:t>
            </w:r>
          </w:p>
        </w:tc>
        <w:tc>
          <w:tcPr>
            <w:tcW w:w="2435" w:type="dxa"/>
            <w:shd w:val="clear" w:color="auto" w:fill="auto"/>
          </w:tcPr>
          <w:p>
            <w:pPr>
              <w:spacing w:before="60" w:after="60"/>
              <w:jc w:val="center"/>
              <w:rPr>
                <w:rFonts w:eastAsia="Times New Roman"/>
                <w:noProof/>
              </w:rPr>
            </w:pPr>
            <w:r>
              <w:rPr>
                <w:noProof/>
              </w:rPr>
              <w:t>8 000</w:t>
            </w:r>
          </w:p>
        </w:tc>
      </w:tr>
      <w:tr>
        <w:tc>
          <w:tcPr>
            <w:tcW w:w="2296" w:type="dxa"/>
            <w:shd w:val="clear" w:color="auto" w:fill="auto"/>
          </w:tcPr>
          <w:p>
            <w:pPr>
              <w:spacing w:before="60" w:after="60"/>
              <w:ind w:left="284"/>
              <w:jc w:val="left"/>
              <w:rPr>
                <w:rFonts w:eastAsia="Times New Roman"/>
                <w:noProof/>
              </w:rPr>
            </w:pPr>
            <w:r>
              <w:rPr>
                <w:noProof/>
              </w:rPr>
              <w:t>3. Информиране и публичност</w:t>
            </w:r>
          </w:p>
        </w:tc>
        <w:tc>
          <w:tcPr>
            <w:tcW w:w="4558" w:type="dxa"/>
            <w:gridSpan w:val="2"/>
            <w:shd w:val="clear" w:color="auto" w:fill="D9D9D9"/>
            <w:vAlign w:val="center"/>
          </w:tcPr>
          <w:p>
            <w:pPr>
              <w:spacing w:before="60" w:after="60"/>
              <w:jc w:val="center"/>
              <w:rPr>
                <w:rFonts w:eastAsia="Times New Roman"/>
                <w:noProof/>
              </w:rPr>
            </w:pPr>
            <w:r>
              <w:rPr>
                <w:noProof/>
              </w:rPr>
              <w:t>–</w:t>
            </w:r>
          </w:p>
        </w:tc>
        <w:tc>
          <w:tcPr>
            <w:tcW w:w="2435" w:type="dxa"/>
            <w:shd w:val="clear" w:color="auto" w:fill="auto"/>
          </w:tcPr>
          <w:p>
            <w:pPr>
              <w:spacing w:before="60" w:after="60"/>
              <w:jc w:val="center"/>
              <w:rPr>
                <w:rFonts w:eastAsia="Times New Roman"/>
                <w:noProof/>
              </w:rPr>
            </w:pPr>
            <w:r>
              <w:rPr>
                <w:noProof/>
              </w:rPr>
              <w:t>45 000</w:t>
            </w:r>
          </w:p>
        </w:tc>
      </w:tr>
      <w:tr>
        <w:tc>
          <w:tcPr>
            <w:tcW w:w="2296" w:type="dxa"/>
            <w:shd w:val="clear" w:color="auto" w:fill="auto"/>
          </w:tcPr>
          <w:p>
            <w:pPr>
              <w:spacing w:before="60" w:after="60"/>
              <w:ind w:left="284"/>
              <w:jc w:val="left"/>
              <w:rPr>
                <w:rFonts w:eastAsia="Times New Roman"/>
                <w:noProof/>
              </w:rPr>
            </w:pPr>
            <w:r>
              <w:rPr>
                <w:noProof/>
              </w:rPr>
              <w:t>4. Контрол и докладване</w:t>
            </w:r>
          </w:p>
        </w:tc>
        <w:tc>
          <w:tcPr>
            <w:tcW w:w="4558" w:type="dxa"/>
            <w:gridSpan w:val="2"/>
            <w:shd w:val="clear" w:color="auto" w:fill="D9D9D9"/>
            <w:vAlign w:val="center"/>
          </w:tcPr>
          <w:p>
            <w:pPr>
              <w:spacing w:before="60" w:after="60"/>
              <w:jc w:val="center"/>
              <w:rPr>
                <w:rFonts w:eastAsia="Times New Roman"/>
                <w:noProof/>
              </w:rPr>
            </w:pPr>
            <w:r>
              <w:rPr>
                <w:noProof/>
              </w:rPr>
              <w:t>–</w:t>
            </w:r>
          </w:p>
        </w:tc>
        <w:tc>
          <w:tcPr>
            <w:tcW w:w="2435" w:type="dxa"/>
            <w:tcBorders>
              <w:bottom w:val="single" w:sz="4" w:space="0" w:color="auto"/>
            </w:tcBorders>
            <w:shd w:val="clear" w:color="auto" w:fill="auto"/>
          </w:tcPr>
          <w:p>
            <w:pPr>
              <w:spacing w:before="60" w:after="60"/>
              <w:jc w:val="center"/>
              <w:rPr>
                <w:rFonts w:eastAsia="Times New Roman"/>
                <w:noProof/>
              </w:rPr>
            </w:pPr>
            <w:r>
              <w:rPr>
                <w:noProof/>
              </w:rPr>
              <w:t>12 900</w:t>
            </w:r>
          </w:p>
        </w:tc>
      </w:tr>
      <w:tr>
        <w:trPr>
          <w:trHeight w:val="203"/>
        </w:trPr>
        <w:tc>
          <w:tcPr>
            <w:tcW w:w="2296" w:type="dxa"/>
            <w:vMerge w:val="restart"/>
            <w:shd w:val="clear" w:color="auto" w:fill="auto"/>
            <w:vAlign w:val="center"/>
          </w:tcPr>
          <w:p>
            <w:pPr>
              <w:spacing w:before="60" w:after="60"/>
              <w:jc w:val="right"/>
              <w:rPr>
                <w:rFonts w:eastAsia="Times New Roman"/>
                <w:noProof/>
              </w:rPr>
            </w:pPr>
            <w:r>
              <w:rPr>
                <w:noProof/>
              </w:rPr>
              <w:t>Междинен сбор (в):</w:t>
            </w:r>
          </w:p>
          <w:p>
            <w:pPr>
              <w:spacing w:before="60" w:after="60"/>
              <w:jc w:val="right"/>
              <w:rPr>
                <w:rFonts w:eastAsia="Times New Roman"/>
                <w:noProof/>
              </w:rPr>
            </w:pPr>
            <w:r>
              <w:rPr>
                <w:noProof/>
              </w:rPr>
              <w:t>Процент от общите разходи:</w:t>
            </w:r>
          </w:p>
        </w:tc>
        <w:tc>
          <w:tcPr>
            <w:tcW w:w="4558" w:type="dxa"/>
            <w:gridSpan w:val="2"/>
            <w:vMerge w:val="restart"/>
            <w:shd w:val="clear" w:color="auto" w:fill="D9D9D9"/>
            <w:vAlign w:val="center"/>
          </w:tcPr>
          <w:p>
            <w:pPr>
              <w:spacing w:after="0"/>
              <w:jc w:val="center"/>
              <w:rPr>
                <w:rFonts w:eastAsia="Times New Roman"/>
                <w:noProof/>
              </w:rPr>
            </w:pPr>
            <w:r>
              <w:rPr>
                <w:noProof/>
              </w:rPr>
              <w:t>–</w:t>
            </w:r>
          </w:p>
        </w:tc>
        <w:tc>
          <w:tcPr>
            <w:tcW w:w="2435" w:type="dxa"/>
            <w:tcBorders>
              <w:bottom w:val="nil"/>
            </w:tcBorders>
            <w:shd w:val="clear" w:color="auto" w:fill="auto"/>
            <w:vAlign w:val="center"/>
          </w:tcPr>
          <w:p>
            <w:pPr>
              <w:spacing w:before="60" w:after="60"/>
              <w:jc w:val="center"/>
              <w:rPr>
                <w:rFonts w:eastAsia="Times New Roman"/>
                <w:noProof/>
              </w:rPr>
            </w:pPr>
            <w:r>
              <w:rPr>
                <w:noProof/>
              </w:rPr>
              <w:t>67 400</w:t>
            </w:r>
          </w:p>
        </w:tc>
      </w:tr>
      <w:tr>
        <w:trPr>
          <w:trHeight w:val="202"/>
        </w:trPr>
        <w:tc>
          <w:tcPr>
            <w:tcW w:w="2296" w:type="dxa"/>
            <w:vMerge/>
            <w:shd w:val="clear" w:color="auto" w:fill="auto"/>
          </w:tcPr>
          <w:p>
            <w:pPr>
              <w:spacing w:after="0"/>
              <w:jc w:val="right"/>
              <w:rPr>
                <w:rFonts w:eastAsia="Times New Roman"/>
                <w:noProof/>
              </w:rPr>
            </w:pPr>
          </w:p>
        </w:tc>
        <w:tc>
          <w:tcPr>
            <w:tcW w:w="4558" w:type="dxa"/>
            <w:gridSpan w:val="2"/>
            <w:vMerge/>
            <w:shd w:val="clear" w:color="auto" w:fill="D9D9D9"/>
            <w:vAlign w:val="center"/>
          </w:tcPr>
          <w:p>
            <w:pPr>
              <w:spacing w:after="0"/>
              <w:jc w:val="center"/>
              <w:rPr>
                <w:rFonts w:eastAsia="Times New Roman"/>
                <w:noProof/>
              </w:rPr>
            </w:pPr>
          </w:p>
        </w:tc>
        <w:tc>
          <w:tcPr>
            <w:tcW w:w="2435" w:type="dxa"/>
            <w:tcBorders>
              <w:top w:val="nil"/>
            </w:tcBorders>
            <w:shd w:val="clear" w:color="auto" w:fill="auto"/>
            <w:vAlign w:val="center"/>
          </w:tcPr>
          <w:p>
            <w:pPr>
              <w:spacing w:before="60" w:after="60"/>
              <w:jc w:val="center"/>
              <w:rPr>
                <w:rFonts w:eastAsia="Times New Roman"/>
                <w:noProof/>
              </w:rPr>
            </w:pPr>
            <w:r>
              <w:rPr>
                <w:noProof/>
              </w:rPr>
              <w:t>(2,22 %)</w:t>
            </w:r>
          </w:p>
        </w:tc>
      </w:tr>
      <w:tr>
        <w:tc>
          <w:tcPr>
            <w:tcW w:w="2296" w:type="dxa"/>
            <w:shd w:val="clear" w:color="auto" w:fill="auto"/>
          </w:tcPr>
          <w:p>
            <w:pPr>
              <w:spacing w:before="60" w:after="60"/>
              <w:jc w:val="left"/>
              <w:rPr>
                <w:rFonts w:eastAsia="Times New Roman"/>
                <w:noProof/>
              </w:rPr>
            </w:pPr>
            <w:r>
              <w:rPr>
                <w:noProof/>
              </w:rPr>
              <w:t>Общо разходи (а + б + в):</w:t>
            </w:r>
          </w:p>
        </w:tc>
        <w:tc>
          <w:tcPr>
            <w:tcW w:w="4558" w:type="dxa"/>
            <w:gridSpan w:val="2"/>
            <w:shd w:val="clear" w:color="auto" w:fill="D9D9D9"/>
            <w:vAlign w:val="center"/>
          </w:tcPr>
          <w:p>
            <w:pPr>
              <w:spacing w:before="60" w:after="60"/>
              <w:jc w:val="center"/>
              <w:rPr>
                <w:rFonts w:eastAsia="Times New Roman"/>
                <w:noProof/>
              </w:rPr>
            </w:pPr>
            <w:r>
              <w:rPr>
                <w:noProof/>
              </w:rPr>
              <w:t>–</w:t>
            </w:r>
          </w:p>
        </w:tc>
        <w:tc>
          <w:tcPr>
            <w:tcW w:w="2435" w:type="dxa"/>
            <w:shd w:val="clear" w:color="auto" w:fill="auto"/>
          </w:tcPr>
          <w:p>
            <w:pPr>
              <w:spacing w:before="60" w:after="60"/>
              <w:jc w:val="center"/>
              <w:rPr>
                <w:noProof/>
              </w:rPr>
            </w:pPr>
            <w:r>
              <w:rPr>
                <w:noProof/>
              </w:rPr>
              <w:t>3 040 069</w:t>
            </w:r>
          </w:p>
        </w:tc>
      </w:tr>
      <w:tr>
        <w:tc>
          <w:tcPr>
            <w:tcW w:w="2296" w:type="dxa"/>
            <w:shd w:val="clear" w:color="auto" w:fill="auto"/>
          </w:tcPr>
          <w:p>
            <w:pPr>
              <w:spacing w:before="60" w:after="60"/>
              <w:jc w:val="left"/>
              <w:rPr>
                <w:rFonts w:eastAsia="Times New Roman"/>
                <w:noProof/>
              </w:rPr>
            </w:pPr>
            <w:r>
              <w:rPr>
                <w:noProof/>
              </w:rPr>
              <w:t>Участие на ЕФПГ (60 % от общия размер на разходите)</w:t>
            </w:r>
          </w:p>
        </w:tc>
        <w:tc>
          <w:tcPr>
            <w:tcW w:w="4558" w:type="dxa"/>
            <w:gridSpan w:val="2"/>
            <w:shd w:val="clear" w:color="auto" w:fill="D9D9D9"/>
            <w:vAlign w:val="center"/>
          </w:tcPr>
          <w:p>
            <w:pPr>
              <w:spacing w:before="60" w:after="60"/>
              <w:jc w:val="center"/>
              <w:rPr>
                <w:rFonts w:eastAsia="Times New Roman"/>
                <w:noProof/>
              </w:rPr>
            </w:pPr>
            <w:r>
              <w:rPr>
                <w:noProof/>
              </w:rPr>
              <w:t>–</w:t>
            </w:r>
          </w:p>
        </w:tc>
        <w:tc>
          <w:tcPr>
            <w:tcW w:w="2435" w:type="dxa"/>
            <w:shd w:val="clear" w:color="auto" w:fill="auto"/>
          </w:tcPr>
          <w:p>
            <w:pPr>
              <w:spacing w:before="60" w:after="60"/>
              <w:jc w:val="center"/>
              <w:rPr>
                <w:rFonts w:eastAsia="Times New Roman"/>
                <w:noProof/>
              </w:rPr>
            </w:pPr>
            <w:r>
              <w:rPr>
                <w:noProof/>
              </w:rPr>
              <w:t>1 824 041</w:t>
            </w:r>
          </w:p>
        </w:tc>
      </w:tr>
    </w:tbl>
    <w:p>
      <w:pPr>
        <w:pStyle w:val="ManualNumPar1"/>
        <w:rPr>
          <w:noProof/>
        </w:rPr>
      </w:pPr>
      <w:r>
        <w:t>23.</w:t>
      </w:r>
      <w:r>
        <w:tab/>
      </w:r>
      <w:r>
        <w:rPr>
          <w:noProof/>
        </w:rPr>
        <w:t>Разходите за дейностите, определени в горната таблица като дейности по член 7, параграф 1, буква б) от Регламента за ЕФПГ, не надвишават 35 % от общия размер на разходите за съгласувания пакет от персонализирани услуги. Белгия потвърди, че тези действия са обвързани с активното участие на бенефициерите от целевата група в дейности по търсене на работа или обучение.</w:t>
      </w:r>
    </w:p>
    <w:p>
      <w:pPr>
        <w:pStyle w:val="ManualNumPar1"/>
        <w:rPr>
          <w:noProof/>
        </w:rPr>
      </w:pPr>
      <w:r>
        <w:t>24.</w:t>
      </w:r>
      <w:r>
        <w:tab/>
      </w:r>
      <w:r>
        <w:rPr>
          <w:noProof/>
        </w:rPr>
        <w:t>Белгийските органи потвърдиха, че разходите за инвестиции за самостоятелна заетост, започване на стопанска дейност и придобиване от служителите няма да надхвърлят сумата от 15 000 EUR за бенефициер.</w:t>
      </w:r>
    </w:p>
    <w:p>
      <w:pPr>
        <w:pStyle w:val="ManualHeading3"/>
        <w:rPr>
          <w:noProof/>
        </w:rPr>
      </w:pPr>
      <w:r>
        <w:t>3.3.4.</w:t>
      </w:r>
      <w:r>
        <w:tab/>
      </w:r>
      <w:r>
        <w:rPr>
          <w:noProof/>
        </w:rPr>
        <w:t>Период на допустимост на разходите</w:t>
      </w:r>
    </w:p>
    <w:p>
      <w:pPr>
        <w:pStyle w:val="ManualNumPar1"/>
        <w:rPr>
          <w:noProof/>
        </w:rPr>
      </w:pPr>
      <w:r>
        <w:t>25.</w:t>
      </w:r>
      <w:r>
        <w:tab/>
      </w:r>
      <w:r>
        <w:rPr>
          <w:noProof/>
        </w:rPr>
        <w:t>Белгийските органи са започнали да предоставят персонализирани услуги на бенефициерите от целевата група на 1 януари 2015 г. Поради това разходите за дейностите, посочени в параграф 22, следва да бъдат допустими за финансово участие от ЕФПГ от 1 януари 2015 г. до 17 декември 2017 г., с изключение на разходите за обучение или за курсове за обучение с продължителност е две или повече години, които ще бъдат допустими до 17 юни 2018 г.</w:t>
      </w:r>
    </w:p>
    <w:p>
      <w:pPr>
        <w:pStyle w:val="ManualNumPar1"/>
        <w:rPr>
          <w:noProof/>
        </w:rPr>
      </w:pPr>
      <w:r>
        <w:t>26.</w:t>
      </w:r>
      <w:r>
        <w:tab/>
      </w:r>
      <w:r>
        <w:rPr>
          <w:noProof/>
        </w:rPr>
        <w:t xml:space="preserve">Белгийските органи са започнали да извършват административни разходи по прилагането на ЕФПГ на 1 януари 2015 г. За тази цел това разходите за дейностите по подготовка, управление, информиране и публичност, контрол и докладване са допустими за предоставяне на финансово участие от ЕФПГ през периода от 1 януари 2015 г. до 17 юни 2018 г. </w:t>
      </w:r>
    </w:p>
    <w:p>
      <w:pPr>
        <w:pStyle w:val="ManualHeading3"/>
        <w:rPr>
          <w:noProof/>
        </w:rPr>
      </w:pPr>
      <w:r>
        <w:t>3.3.5.</w:t>
      </w:r>
      <w:r>
        <w:tab/>
      </w:r>
      <w:r>
        <w:rPr>
          <w:noProof/>
        </w:rPr>
        <w:t>Допълване с действия, финансирани от национални фондове или фондове на Съюза</w:t>
      </w:r>
    </w:p>
    <w:p>
      <w:pPr>
        <w:pStyle w:val="ManualNumPar1"/>
        <w:rPr>
          <w:i/>
          <w:noProof/>
        </w:rPr>
      </w:pPr>
      <w:r>
        <w:t>27.</w:t>
      </w:r>
      <w:r>
        <w:tab/>
      </w:r>
      <w:r>
        <w:rPr>
          <w:noProof/>
        </w:rPr>
        <w:t>Източниците на национално предварително финансиране или съфинансиране са Публичната служба по заетостта на регион Валония (FOREM) и региона на Валония.</w:t>
      </w:r>
    </w:p>
    <w:p>
      <w:pPr>
        <w:pStyle w:val="ManualNumPar1"/>
        <w:rPr>
          <w:noProof/>
        </w:rPr>
      </w:pPr>
      <w:r>
        <w:t>28.</w:t>
      </w:r>
      <w:r>
        <w:tab/>
      </w:r>
      <w:r>
        <w:rPr>
          <w:noProof/>
        </w:rPr>
        <w:t>Белгийските органи са потвърдили, че за описаните по-горе мерки, за които се предоставя финансово участие от ЕФПГ, няма да получат финансова подкрепа от други финансови инструменти на Съюза.</w:t>
      </w:r>
    </w:p>
    <w:p>
      <w:pPr>
        <w:pStyle w:val="ManualHeading3"/>
        <w:rPr>
          <w:noProof/>
        </w:rPr>
      </w:pPr>
      <w:r>
        <w:t>3.3.6.</w:t>
      </w:r>
      <w:r>
        <w:tab/>
      </w:r>
      <w:r>
        <w:rPr>
          <w:noProof/>
        </w:rPr>
        <w:t>Процедури за провеждане на консултации с бенефициерите от целевата група или техни представители или със социалните партньори, както и с местните и регионалните органи</w:t>
      </w:r>
    </w:p>
    <w:p>
      <w:pPr>
        <w:pStyle w:val="ManualNumPar1"/>
        <w:rPr>
          <w:noProof/>
        </w:rPr>
      </w:pPr>
      <w:r>
        <w:t>29.</w:t>
      </w:r>
      <w:r>
        <w:tab/>
      </w:r>
      <w:r>
        <w:rPr>
          <w:noProof/>
        </w:rPr>
        <w:t>Белгийските органи са посочили, че съгласуваният пакет от персонализирани услуги е изготвен след консултации с всички заинтересувани страни, включително социалните партньори, предприятията и публичните служби по заетостта. Тези заинтересовани страни ще следят отблизо изпълнението на предложените мерки посредством комитет за мониторинг.</w:t>
      </w:r>
    </w:p>
    <w:p>
      <w:pPr>
        <w:pStyle w:val="ManualHeading2"/>
        <w:rPr>
          <w:noProof/>
        </w:rPr>
      </w:pPr>
      <w:r>
        <w:t>3.4.</w:t>
      </w:r>
      <w:r>
        <w:tab/>
      </w:r>
      <w:r>
        <w:rPr>
          <w:noProof/>
        </w:rPr>
        <w:t>Системи за управление и контрол</w:t>
      </w:r>
    </w:p>
    <w:p>
      <w:pPr>
        <w:pStyle w:val="ManualNumPar1"/>
        <w:rPr>
          <w:noProof/>
        </w:rPr>
      </w:pPr>
      <w:r>
        <w:t>30.</w:t>
      </w:r>
      <w:r>
        <w:tab/>
      </w:r>
      <w:r>
        <w:rPr>
          <w:noProof/>
        </w:rPr>
        <w:t>Заявлението съдържа описание на системата за управление и контрол, в което са посочени отговорностите на съответните органи. Белгия уведоми Комисията, че финансовото участие ще бъде управлявано и контролирано от същите органи, които управляват и контролират Европейския социален фонд (ЕСФ).</w:t>
      </w:r>
    </w:p>
    <w:p>
      <w:pPr>
        <w:pStyle w:val="ManualHeading2"/>
        <w:rPr>
          <w:noProof/>
        </w:rPr>
      </w:pPr>
      <w:r>
        <w:t>3.5.</w:t>
      </w:r>
      <w:r>
        <w:tab/>
      </w:r>
      <w:r>
        <w:rPr>
          <w:noProof/>
        </w:rPr>
        <w:t>Ангажименти, поети от съответната държава членка</w:t>
      </w:r>
    </w:p>
    <w:p>
      <w:pPr>
        <w:pStyle w:val="ManualNumPar1"/>
        <w:rPr>
          <w:noProof/>
        </w:rPr>
      </w:pPr>
      <w:r>
        <w:t>31.</w:t>
      </w:r>
      <w:r>
        <w:tab/>
      </w:r>
      <w:r>
        <w:rPr>
          <w:noProof/>
        </w:rPr>
        <w:t xml:space="preserve">Белгийските органи са предоставили всички необходими гаранции за това, че: </w:t>
      </w:r>
    </w:p>
    <w:p>
      <w:pPr>
        <w:pStyle w:val="Tiret1"/>
        <w:numPr>
          <w:ilvl w:val="0"/>
          <w:numId w:val="6"/>
        </w:numPr>
        <w:rPr>
          <w:noProof/>
        </w:rPr>
      </w:pPr>
      <w:r>
        <w:rPr>
          <w:noProof/>
        </w:rPr>
        <w:t>при достъпа до предложените действия и тяхното изпълнение ще се спазват принципите на равнопоставеност и недискриминация;</w:t>
      </w:r>
    </w:p>
    <w:p>
      <w:pPr>
        <w:pStyle w:val="Tiret1"/>
        <w:numPr>
          <w:ilvl w:val="0"/>
          <w:numId w:val="6"/>
        </w:numPr>
        <w:rPr>
          <w:noProof/>
        </w:rPr>
      </w:pPr>
      <w:r>
        <w:rPr>
          <w:noProof/>
        </w:rPr>
        <w:t>са спазени изискванията, определени в националното законодателство и в законодателството на ЕС относно колективните съкращения;</w:t>
      </w:r>
    </w:p>
    <w:p>
      <w:pPr>
        <w:pStyle w:val="Tiret1"/>
        <w:numPr>
          <w:ilvl w:val="0"/>
          <w:numId w:val="6"/>
        </w:numPr>
        <w:rPr>
          <w:noProof/>
        </w:rPr>
      </w:pPr>
      <w:r>
        <w:rPr>
          <w:noProof/>
        </w:rPr>
        <w:t>когато дружеството, извършило съкращенията, е продължило дейността си след освобождаването на работниците, то е спазило своите правни задължения във връзка със съкращенията и е предприело съответните действия във връзка с работниците си;</w:t>
      </w:r>
    </w:p>
    <w:p>
      <w:pPr>
        <w:pStyle w:val="Tiret1"/>
        <w:numPr>
          <w:ilvl w:val="0"/>
          <w:numId w:val="6"/>
        </w:numPr>
        <w:rPr>
          <w:noProof/>
        </w:rPr>
      </w:pPr>
      <w:r>
        <w:rPr>
          <w:noProof/>
        </w:rPr>
        <w:t>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w:t>
      </w:r>
    </w:p>
    <w:p>
      <w:pPr>
        <w:pStyle w:val="Tiret1"/>
        <w:numPr>
          <w:ilvl w:val="0"/>
          <w:numId w:val="6"/>
        </w:numPr>
        <w:rPr>
          <w:noProof/>
        </w:rPr>
      </w:pPr>
      <w:r>
        <w:rPr>
          <w:noProof/>
        </w:rPr>
        <w:t>предложените действия ще допълват действия, финансирани от структурните фондове;</w:t>
      </w:r>
    </w:p>
    <w:p>
      <w:pPr>
        <w:pStyle w:val="Tiret1"/>
        <w:numPr>
          <w:ilvl w:val="0"/>
          <w:numId w:val="6"/>
        </w:numPr>
        <w:rPr>
          <w:noProof/>
        </w:rPr>
      </w:pPr>
      <w:r>
        <w:rPr>
          <w:noProof/>
        </w:rPr>
        <w:t>финансовото участие от ЕФПГ ще бъде съобразено с процедурните и материалноправните разпоредби на Съюза относно държавните помощи.</w:t>
      </w:r>
    </w:p>
    <w:p>
      <w:pPr>
        <w:pStyle w:val="ManualHeading1"/>
        <w:rPr>
          <w:noProof/>
        </w:rPr>
      </w:pPr>
      <w:r>
        <w:t>4.</w:t>
      </w:r>
      <w:r>
        <w:tab/>
      </w:r>
      <w:r>
        <w:rPr>
          <w:noProof/>
        </w:rPr>
        <w:t>ОТРАЖЕНИЕ ВЪРХУ БЮДЖЕТА</w:t>
      </w:r>
    </w:p>
    <w:p>
      <w:pPr>
        <w:pStyle w:val="ManualHeading2"/>
        <w:rPr>
          <w:noProof/>
        </w:rPr>
      </w:pPr>
      <w:r>
        <w:t>4.1.</w:t>
      </w:r>
      <w:r>
        <w:tab/>
      </w:r>
      <w:r>
        <w:rPr>
          <w:noProof/>
        </w:rPr>
        <w:t>Бюджетно предложение</w:t>
      </w:r>
    </w:p>
    <w:p>
      <w:pPr>
        <w:pStyle w:val="ManualNumPar1"/>
        <w:rPr>
          <w:noProof/>
        </w:rPr>
      </w:pPr>
      <w:r>
        <w:t>32.</w:t>
      </w:r>
      <w:r>
        <w:tab/>
      </w:r>
      <w:r>
        <w:rPr>
          <w:noProof/>
        </w:rPr>
        <w:t>В съответствие с предвиденото в член 12 от Регламент (ЕС, Евратом) № 1311/2013 на Съвета от 2 декември 2013 г. за определяне на многогодишната финансова рамка за годините 2014 — 2020</w:t>
      </w:r>
      <w:r>
        <w:rPr>
          <w:rStyle w:val="FootnoteReference"/>
          <w:noProof/>
        </w:rPr>
        <w:footnoteReference w:id="11"/>
      </w:r>
      <w:r>
        <w:rPr>
          <w:noProof/>
        </w:rPr>
        <w:t xml:space="preserve"> ЕФПГ не може да надхвърля максимален годишен размер от 150 милиона евро (по цени от 2011 г.).</w:t>
      </w:r>
    </w:p>
    <w:p>
      <w:pPr>
        <w:pStyle w:val="ManualNumPar1"/>
        <w:rPr>
          <w:noProof/>
        </w:rPr>
      </w:pPr>
      <w:r>
        <w:t>33.</w:t>
      </w:r>
      <w:r>
        <w:tab/>
      </w:r>
      <w:r>
        <w:rPr>
          <w:noProof/>
        </w:rPr>
        <w:t>След като проучи заявлението с оглед на условията, определени в член 13, параграф 1 от Регламента за ЕФПГ, и като отчете броя на бенефициерите от целевата група, предложените действия и прогнозните разходи, Комисията предлага да бъдат мобилизирани средства от ЕФПГ в размер на 1 824 041 EUR, което представлява 60 % от общите разходи за предложените действия, за предоставяне на финансово участие по заявлението.</w:t>
      </w:r>
    </w:p>
    <w:p>
      <w:pPr>
        <w:pStyle w:val="ManualNumPar1"/>
        <w:rPr>
          <w:rFonts w:eastAsia="Times New Roman"/>
          <w:noProof/>
        </w:rPr>
      </w:pPr>
      <w:r>
        <w:t>34.</w:t>
      </w:r>
      <w:r>
        <w:tab/>
      </w:r>
      <w:r>
        <w:rPr>
          <w:noProof/>
        </w:rPr>
        <w:t>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 13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2"/>
      </w:r>
      <w:r>
        <w:rPr>
          <w:noProof/>
        </w:rPr>
        <w:t>.</w:t>
      </w:r>
    </w:p>
    <w:p>
      <w:pPr>
        <w:pStyle w:val="ManualHeading2"/>
        <w:rPr>
          <w:noProof/>
        </w:rPr>
      </w:pPr>
      <w:r>
        <w:t>4.2.</w:t>
      </w:r>
      <w:r>
        <w:tab/>
      </w:r>
      <w:r>
        <w:rPr>
          <w:noProof/>
        </w:rPr>
        <w:t>Свързани законодателни актове</w:t>
      </w:r>
    </w:p>
    <w:p>
      <w:pPr>
        <w:pStyle w:val="ManualNumPar1"/>
        <w:rPr>
          <w:noProof/>
        </w:rPr>
      </w:pPr>
      <w:r>
        <w:t>35.</w:t>
      </w:r>
      <w:r>
        <w:tab/>
      </w:r>
      <w:r>
        <w:rPr>
          <w:noProof/>
        </w:rPr>
        <w:t>Едновременно с предложението за решение за мобилизиране на средства от ЕФПГ Комисията ще представи на Европейския парламент и на Съвета предложение за прехвърляне на сумата от 1 824 041  EUR към съответния бюджетен ред.</w:t>
      </w:r>
    </w:p>
    <w:p>
      <w:pPr>
        <w:pStyle w:val="ManualNumPar1"/>
        <w:rPr>
          <w:noProof/>
        </w:rPr>
      </w:pPr>
      <w:r>
        <w:t>36.</w:t>
      </w:r>
      <w:r>
        <w:tab/>
      </w:r>
      <w:r>
        <w:rPr>
          <w:noProof/>
        </w:rPr>
        <w:t>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 който ще влезе в сила на датата, на която Европейският парламент и Съветът приемат предложеното решение за мобилизиране на средства от ЕФПГ.</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мобилизиране на средства от Европейския фонд за приспособяване към глобализацията (заявление от Белгия — EGF/2015/012 BE/Hainaut Machinery)</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Регламент (EС) № 1309/2013 на Европейския парламент и на Съвета от 17 декември 2013 г. относно Европейския фонд за приспособяване към глобализацията (2014 — 2020 г.) и за отмяна на Регламент (ЕО) № 1927/2006</w:t>
      </w:r>
      <w:r>
        <w:rPr>
          <w:rStyle w:val="FootnoteReference"/>
          <w:noProof/>
        </w:rPr>
        <w:footnoteReference w:id="13"/>
      </w:r>
      <w:r>
        <w:rPr>
          <w:noProof/>
        </w:rPr>
        <w:t>, и по-специално член 15, параграф 4 от него,</w:t>
      </w:r>
    </w:p>
    <w:p>
      <w:pPr>
        <w:rPr>
          <w:noProof/>
        </w:rPr>
      </w:pPr>
      <w:r>
        <w:rPr>
          <w:noProof/>
        </w:rPr>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14"/>
      </w:r>
      <w:r>
        <w:rPr>
          <w:noProof/>
        </w:rPr>
        <w:t>, и по-специално точка 13 от него,</w:t>
      </w:r>
    </w:p>
    <w:p>
      <w:pPr>
        <w:rPr>
          <w:noProof/>
        </w:rPr>
      </w:pPr>
      <w:r>
        <w:rPr>
          <w:noProof/>
        </w:rPr>
        <w:t>като взеха предвид предложението на Европейската комисия, като имат предвид, че:</w:t>
      </w:r>
    </w:p>
    <w:p>
      <w:pPr>
        <w:rPr>
          <w:noProof/>
        </w:rPr>
      </w:pPr>
      <w:r>
        <w:rPr>
          <w:noProof/>
        </w:rPr>
        <w:t>като имат предвид, че:</w:t>
      </w:r>
    </w:p>
    <w:p>
      <w:pPr>
        <w:pStyle w:val="ManualConsidrant"/>
        <w:rPr>
          <w:noProof/>
        </w:rPr>
      </w:pPr>
      <w:r>
        <w:t>(1)</w:t>
      </w:r>
      <w:r>
        <w:tab/>
      </w:r>
      <w:r>
        <w:rPr>
          <w:noProof/>
        </w:rPr>
        <w:t>Европейският фонд за приспособяване към глобализацията (ЕФПГ) е създаден с цел оказване на подкрепа на съкратени работници и самостоятелно заети лица, чиято дейност е прекратена в резултат на големи структурни промени в моделите на световната търговия вследствие на глобализацията, в резултат на продължаване на световната финансова и икономическа криза, предмет на разпоредбите на Регламент (ЕО) № 546/2009 на Европейския парламент и на Съвета, или в резултат на нова световна финансова и икономическа криза, както и с цел подпомагане на тяхната реинтеграция на пазара на труда.</w:t>
      </w:r>
    </w:p>
    <w:p>
      <w:pPr>
        <w:pStyle w:val="ManualConsidrant"/>
        <w:rPr>
          <w:noProof/>
        </w:rPr>
      </w:pPr>
      <w:r>
        <w:t>(2)</w:t>
      </w:r>
      <w:r>
        <w:tab/>
      </w:r>
      <w:r>
        <w:rPr>
          <w:noProof/>
        </w:rPr>
        <w:t>В съответствие с предвиденото в член 12 от Регламент (ЕС, Евратом) № 1311/2013 на Съвета</w:t>
      </w:r>
      <w:r>
        <w:rPr>
          <w:rStyle w:val="FootnoteReference"/>
          <w:noProof/>
        </w:rPr>
        <w:footnoteReference w:id="15"/>
      </w:r>
      <w:r>
        <w:rPr>
          <w:noProof/>
        </w:rPr>
        <w:t xml:space="preserve"> ЕФПГ не може да надхвърля максимален годишен размер от 150 милиона евро (по цени от 2011 г.).</w:t>
      </w:r>
    </w:p>
    <w:p>
      <w:pPr>
        <w:pStyle w:val="ManualConsidrant"/>
        <w:rPr>
          <w:noProof/>
        </w:rPr>
      </w:pPr>
      <w:r>
        <w:t>(3)</w:t>
      </w:r>
      <w:r>
        <w:tab/>
      </w:r>
      <w:r>
        <w:rPr>
          <w:noProof/>
        </w:rPr>
        <w:t xml:space="preserve">На 17 декември 2015 г. белгийските органи подадоха заявление EGF/2015/012 BE/Hainaut Machinery за предоставяне на финансово участие от ЕФПГ вследствие на съкращения в икономически отрасъл от разделение 28 по NACE Rev. 2 („Производство на машини и оборудване, с общо и специално предназначение“) в региона на ниво 2 по NUTS Hainaut (BE32) в Белгия.  Към него беше предоставена допълнителна информация в съответствие с член 8, параграф 3 от Регламент (ЕС) № 1309/2013. Заявлението е в съответствие с изискванията за определяне на финансово участие по линия на ЕФПГ съгласно член 13 от Регламент (ЕС) № 1309/2013. </w:t>
      </w:r>
    </w:p>
    <w:p>
      <w:pPr>
        <w:pStyle w:val="ManualConsidrant"/>
        <w:rPr>
          <w:noProof/>
        </w:rPr>
      </w:pPr>
      <w:r>
        <w:t>(4)</w:t>
      </w:r>
      <w:r>
        <w:tab/>
      </w:r>
      <w:r>
        <w:rPr>
          <w:noProof/>
        </w:rPr>
        <w:t>В съответствие с член 6, параграф 2 от Регламент (ЕС) № 1309/2013 Белгия е решила да предостави персонализирани услуги, съфинансирани от ЕФПГ, и за 300 млади хора, които не работят и не са ангажирани в никаква форма на образование или обучение (NEET).</w:t>
      </w:r>
    </w:p>
    <w:p>
      <w:pPr>
        <w:pStyle w:val="ManualConsidrant"/>
        <w:rPr>
          <w:noProof/>
        </w:rPr>
      </w:pPr>
      <w:r>
        <w:t>(5)</w:t>
      </w:r>
      <w:r>
        <w:tab/>
      </w:r>
      <w:r>
        <w:rPr>
          <w:noProof/>
        </w:rPr>
        <w:t>В съответствие с член 4, параграф 2 от Регламент (ЕС) № 1309/2013 заявлението на Белгия се счита за допустимо, тъй като съкращенията имат сериозно отражение върху заетостта и върху местната, регионалната и националната икономика.</w:t>
      </w:r>
    </w:p>
    <w:p>
      <w:pPr>
        <w:pStyle w:val="ManualConsidrant"/>
        <w:rPr>
          <w:noProof/>
        </w:rPr>
      </w:pPr>
      <w:r>
        <w:t>(6)</w:t>
      </w:r>
      <w:r>
        <w:tab/>
      </w:r>
      <w:r>
        <w:rPr>
          <w:noProof/>
        </w:rPr>
        <w:t>Поради това, за да бъде удовлетворено подаденото от Белгия заявление, следва да бъдат мобилизирани средства за предоставяне на финансово участие от ЕФПГ в размер на 1 824 041 EUR.</w:t>
      </w:r>
    </w:p>
    <w:p>
      <w:pPr>
        <w:pStyle w:val="ManualConsidrant"/>
        <w:rPr>
          <w:noProof/>
        </w:rPr>
      </w:pPr>
      <w:r>
        <w:t>(7)</w:t>
      </w:r>
      <w:r>
        <w:tab/>
      </w:r>
      <w:r>
        <w:rPr>
          <w:noProof/>
        </w:rPr>
        <w:t>С цел да се сведе до минимум времето, необходимо за мобилизиране на средства от ЕФПГ, настоящото решение следва да се прилага от датата на приемането му,</w:t>
      </w:r>
    </w:p>
    <w:p>
      <w:pPr>
        <w:pStyle w:val="Formuledadoption"/>
        <w:rPr>
          <w:noProof/>
        </w:rPr>
      </w:pPr>
      <w:r>
        <w:rPr>
          <w:noProof/>
        </w:rPr>
        <w:t xml:space="preserve">ПРИЕХА НАСТОЯЩОТО РЕШЕНИЕ: </w:t>
      </w:r>
    </w:p>
    <w:p>
      <w:pPr>
        <w:pStyle w:val="Titrearticle"/>
        <w:rPr>
          <w:noProof/>
        </w:rPr>
      </w:pPr>
      <w:r>
        <w:rPr>
          <w:noProof/>
        </w:rPr>
        <w:t>Член 1</w:t>
      </w:r>
    </w:p>
    <w:p>
      <w:pPr>
        <w:rPr>
          <w:noProof/>
        </w:rPr>
      </w:pPr>
      <w:r>
        <w:rPr>
          <w:noProof/>
        </w:rPr>
        <w:t>В рамките на общия бюджет на Европейския съюз за финансовата 2016 година от Европейския фонд за приспособяване към глобализацията се мобилизират средства за предоставяне на сумата от 1 824 041 EUR под формата на бюджетни кредити за поети задължения и бюджетни кредити за плащания.</w:t>
      </w:r>
    </w:p>
    <w:p>
      <w:pPr>
        <w:pStyle w:val="Titrearticle"/>
        <w:rPr>
          <w:noProof/>
        </w:rPr>
      </w:pPr>
      <w:r>
        <w:rPr>
          <w:noProof/>
        </w:rPr>
        <w:t>Член 2</w:t>
      </w:r>
    </w:p>
    <w:p>
      <w:pPr>
        <w:keepNext/>
        <w:keepLines/>
        <w:rPr>
          <w:noProof/>
        </w:rPr>
      </w:pPr>
      <w:r>
        <w:rPr>
          <w:noProof/>
        </w:rPr>
        <w:t xml:space="preserve">Настоящото решение влиза в сила в деня на публикуването му в </w:t>
      </w:r>
      <w:r>
        <w:rPr>
          <w:i/>
          <w:noProof/>
        </w:rPr>
        <w:t>Официален вестник на Европейския съюз</w:t>
      </w:r>
      <w:r>
        <w:rPr>
          <w:noProof/>
        </w:rPr>
        <w:t>. То се прилага от</w:t>
      </w:r>
      <w:r>
        <w:rPr>
          <w:noProof/>
          <w:color w:val="FF0000"/>
        </w:rPr>
        <w:t xml:space="preserve"> [</w:t>
      </w:r>
      <w:r>
        <w:rPr>
          <w:i/>
          <w:noProof/>
          <w:color w:val="FF0000"/>
        </w:rPr>
        <w:t>датата на приемането му</w:t>
      </w:r>
      <w:r>
        <w:rPr>
          <w:noProof/>
          <w:color w:val="FF0000"/>
        </w:rPr>
        <w:t>]</w:t>
      </w:r>
      <w:r>
        <w:rPr>
          <w:rStyle w:val="FootnoteReference"/>
        </w:rPr>
        <w:sym w:font="Symbol" w:char="F02A"/>
      </w:r>
      <w:r>
        <w:rPr>
          <w:noProof/>
        </w:rPr>
        <w:t>.</w:t>
      </w:r>
    </w:p>
    <w:p>
      <w:pPr>
        <w:pStyle w:val="Fait"/>
        <w:rPr>
          <w:noProof/>
        </w:rPr>
      </w:pPr>
      <w:r>
        <w:rPr>
          <w:noProof/>
        </w:rPr>
        <w:footnoteReference w:customMarkFollows="1" w:id="16"/>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ab/>
        <w:t>ОВ L 347, 20.12.2013 г., стр. 855.</w:t>
      </w:r>
    </w:p>
  </w:footnote>
  <w:footnote w:id="2">
    <w:p>
      <w:pPr>
        <w:pStyle w:val="FootnoteText"/>
      </w:pPr>
      <w:r>
        <w:rPr>
          <w:rStyle w:val="FootnoteReference"/>
        </w:rPr>
        <w:footnoteRef/>
      </w:r>
      <w:r>
        <w:tab/>
        <w:t>По смисъла на член 3 от Регламента за ЕФПГ.</w:t>
      </w:r>
    </w:p>
  </w:footnote>
  <w:footnote w:id="3">
    <w:p>
      <w:pPr>
        <w:pStyle w:val="FootnoteText"/>
      </w:pPr>
      <w:r>
        <w:rPr>
          <w:rStyle w:val="FootnoteReference"/>
        </w:rPr>
        <w:footnoteRef/>
      </w:r>
      <w:r>
        <w:tab/>
        <w:t xml:space="preserve">Регламент (ЕС) № 1046/2012 на Комисията от 8 ноември 2012 г. за прилагане на Регламент (ЕО) № 1059/2003 на Европейския парламент и на Съвета за установяване на обща класификация на териториалните единици за статистически цели (NUTS) по отношение на предоставянето на динамичните редове според новото регионално деление (OВ L 310, 9.11.2012 г., стр. 34). </w:t>
      </w:r>
    </w:p>
  </w:footnote>
  <w:footnote w:id="4">
    <w:p>
      <w:pPr>
        <w:pStyle w:val="FootnoteText"/>
      </w:pPr>
      <w:r>
        <w:rPr>
          <w:rStyle w:val="FootnoteReference"/>
        </w:rPr>
        <w:footnoteRef/>
      </w:r>
      <w:r>
        <w:tab/>
        <w:t>OВ L 393, 30.12.2006 г., стр. 1.</w:t>
      </w:r>
    </w:p>
  </w:footnote>
  <w:footnote w:id="5">
    <w:p>
      <w:pPr>
        <w:pStyle w:val="FootnoteText"/>
      </w:pPr>
      <w:r>
        <w:rPr>
          <w:rStyle w:val="FootnoteReference"/>
        </w:rPr>
        <w:footnoteRef/>
      </w:r>
      <w:r>
        <w:tab/>
        <w:t>В съответствие с член 7, параграф 4 от Регламент (EС) № 1309/2013.</w:t>
      </w:r>
    </w:p>
  </w:footnote>
  <w:footnote w:id="6">
    <w:p>
      <w:pPr>
        <w:pStyle w:val="FootnoteText"/>
      </w:pPr>
      <w:r>
        <w:rPr>
          <w:rStyle w:val="FootnoteReference"/>
        </w:rPr>
        <w:footnoteRef/>
      </w:r>
      <w:r>
        <w:tab/>
        <w:t>OFF-Highway Research, годишен преглед и прогноза за 2014 г., април 2010 г.</w:t>
      </w:r>
    </w:p>
  </w:footnote>
  <w:footnote w:id="7">
    <w:p>
      <w:pPr>
        <w:pStyle w:val="FootnoteText"/>
      </w:pPr>
      <w:r>
        <w:rPr>
          <w:rStyle w:val="FootnoteReference"/>
        </w:rPr>
        <w:footnoteRef/>
      </w:r>
      <w:r>
        <w:tab/>
        <w:t>SPF Economie, Classes moyennes et Energie, Enquête sur les forces de travail, („Самонаемането и енергетиката, наблюдение на работната сила“, Център по въпросите на икономиката), 2015 г.</w:t>
      </w:r>
    </w:p>
  </w:footnote>
  <w:footnote w:id="8">
    <w:p>
      <w:pPr>
        <w:pStyle w:val="FootnoteText"/>
      </w:pPr>
      <w:r>
        <w:rPr>
          <w:rStyle w:val="FootnoteReference"/>
        </w:rPr>
        <w:footnoteRef/>
      </w:r>
      <w:r>
        <w:tab/>
        <w:t>Публична служба по заетостта на Валония.</w:t>
      </w:r>
    </w:p>
  </w:footnote>
  <w:footnote w:id="9">
    <w:p>
      <w:pPr>
        <w:pStyle w:val="FootnoteText"/>
      </w:pPr>
      <w:r>
        <w:rPr>
          <w:rStyle w:val="FootnoteReference"/>
        </w:rPr>
        <w:footnoteRef/>
      </w:r>
      <w:r>
        <w:tab/>
        <w:t>IFAPME (Institut wallon de Formation en Alternance et des indépendants et Petites et Moyennes Entreprises) е публичен институт за предоставяне на обучение, който предлага дуално обучение на работното място под формата на чиракуване и специфични курсове за ръководители на МСП.</w:t>
      </w:r>
    </w:p>
  </w:footnote>
  <w:footnote w:id="10">
    <w:p>
      <w:pPr>
        <w:pStyle w:val="FootnoteText"/>
      </w:pPr>
      <w:r>
        <w:rPr>
          <w:rStyle w:val="FootnoteReference"/>
        </w:rPr>
        <w:footnoteRef/>
      </w:r>
      <w:r>
        <w:tab/>
        <w:t>Приблизителни стойности въз основа на броя на участниците и общите разходи</w:t>
      </w:r>
    </w:p>
  </w:footnote>
  <w:footnote w:id="11">
    <w:p>
      <w:pPr>
        <w:pStyle w:val="FootnoteText"/>
      </w:pPr>
      <w:r>
        <w:rPr>
          <w:rStyle w:val="FootnoteReference"/>
        </w:rPr>
        <w:footnoteRef/>
      </w:r>
      <w:r>
        <w:tab/>
        <w:t>ОВ L 347, 20.12.2013 г., стр. 884.</w:t>
      </w:r>
    </w:p>
  </w:footnote>
  <w:footnote w:id="12">
    <w:p>
      <w:pPr>
        <w:pStyle w:val="FootnoteText"/>
      </w:pPr>
      <w:r>
        <w:rPr>
          <w:rStyle w:val="FootnoteReference"/>
        </w:rPr>
        <w:footnoteRef/>
      </w:r>
      <w:r>
        <w:tab/>
        <w:t>ОВ С 373, 20.12.2013 г., стр. 1.</w:t>
      </w:r>
    </w:p>
  </w:footnote>
  <w:footnote w:id="13">
    <w:p>
      <w:pPr>
        <w:pStyle w:val="FootnoteText"/>
      </w:pPr>
      <w:r>
        <w:rPr>
          <w:rStyle w:val="FootnoteReference"/>
        </w:rPr>
        <w:footnoteRef/>
      </w:r>
      <w:r>
        <w:tab/>
        <w:t>ОВ L 347, 20.12.2013 г., стр. 855.</w:t>
      </w:r>
    </w:p>
  </w:footnote>
  <w:footnote w:id="14">
    <w:p>
      <w:pPr>
        <w:pStyle w:val="FootnoteText"/>
      </w:pPr>
      <w:r>
        <w:rPr>
          <w:rStyle w:val="FootnoteReference"/>
        </w:rPr>
        <w:footnoteRef/>
      </w:r>
      <w:r>
        <w:tab/>
        <w:t>ОВ С 373, 20.12.2013 г., стр. 1.</w:t>
      </w:r>
    </w:p>
  </w:footnote>
  <w:footnote w:id="15">
    <w:p>
      <w:pPr>
        <w:pStyle w:val="FootnoteText"/>
      </w:pPr>
      <w:r>
        <w:rPr>
          <w:rStyle w:val="FootnoteReference"/>
        </w:rPr>
        <w:footnoteRef/>
      </w:r>
      <w:r>
        <w:tab/>
        <w:t>Регламент (ЕС, Евратом) № 1311/2013 на Съвета за определяне на многогодишната финансова рамка за годините 2014—2020 (ОВ L 347, 20.12.2013 г., стр. 884).</w:t>
      </w:r>
    </w:p>
  </w:footnote>
  <w:footnote w:id="16">
    <w:p>
      <w:pPr>
        <w:pStyle w:val="FootnoteText"/>
        <w:rPr>
          <w:color w:val="FF0000"/>
        </w:rPr>
      </w:pPr>
      <w:r>
        <w:rPr>
          <w:rStyle w:val="FootnoteReference"/>
        </w:rPr>
        <w:sym w:font="Symbol" w:char="F02A"/>
      </w:r>
      <w:r>
        <w:rPr>
          <w:color w:val="FF0000"/>
        </w:rPr>
        <w:tab/>
        <w:t>Да се попълни от Парламента преди публикуването в 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singleLevel"/>
    <w:tmpl w:val="0B948FC6"/>
    <w:name w:val="List Dash 1223"/>
    <w:lvl w:ilvl="0">
      <w:start w:val="1"/>
      <w:numFmt w:val="bullet"/>
      <w:lvlRestart w:val="0"/>
      <w:pStyle w:val="ListDash4"/>
      <w:lvlText w:val="-"/>
      <w:lvlJc w:val="left"/>
      <w:pPr>
        <w:tabs>
          <w:tab w:val="num" w:pos="283"/>
        </w:tabs>
        <w:ind w:left="283" w:hanging="283"/>
      </w:pPr>
      <w:rPr>
        <w:rFonts w:ascii="Symbol" w:hAnsi="Symbol" w:cs="Times New Roman" w:hint="default"/>
      </w:rPr>
    </w:lvl>
  </w:abstractNum>
  <w:abstractNum w:abstractNumId="1">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978A2CCC"/>
    <w:lvl w:ilvl="0">
      <w:start w:val="1"/>
      <w:numFmt w:val="bullet"/>
      <w:lvlRestart w:val="0"/>
      <w:pStyle w:val="ListBullet4"/>
      <w:lvlText w:val=""/>
      <w:lvlJc w:val="left"/>
      <w:pPr>
        <w:tabs>
          <w:tab w:val="num" w:pos="283"/>
        </w:tabs>
        <w:ind w:left="283" w:hanging="283"/>
      </w:pPr>
      <w:rPr>
        <w:rFonts w:ascii="Symbol" w:hAnsi="Symbol" w:hint="default"/>
      </w:rPr>
    </w:lvl>
  </w:abstractNum>
  <w:abstractNum w:abstractNumId="4">
    <w:nsid w:val="143D0A16"/>
    <w:multiLevelType w:val="singleLevel"/>
    <w:tmpl w:val="733AE0FC"/>
    <w:lvl w:ilvl="0">
      <w:start w:val="1"/>
      <w:numFmt w:val="bullet"/>
      <w:lvlRestart w:val="0"/>
      <w:pStyle w:val="ListBullet3"/>
      <w:lvlText w:val=""/>
      <w:lvlJc w:val="left"/>
      <w:pPr>
        <w:tabs>
          <w:tab w:val="num" w:pos="283"/>
        </w:tabs>
        <w:ind w:left="283" w:hanging="283"/>
      </w:pPr>
      <w:rPr>
        <w:rFonts w:ascii="Symbol" w:hAnsi="Symbol" w:hint="default"/>
      </w:rPr>
    </w:lvl>
  </w:abstractNum>
  <w:abstractNum w:abstractNumId="5">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C7B624F"/>
    <w:multiLevelType w:val="singleLevel"/>
    <w:tmpl w:val="55144760"/>
    <w:name w:val="ListDash 1222"/>
    <w:lvl w:ilvl="0">
      <w:start w:val="1"/>
      <w:numFmt w:val="bullet"/>
      <w:lvlRestart w:val="0"/>
      <w:pStyle w:val="ListDash2"/>
      <w:lvlText w:val="-"/>
      <w:lvlJc w:val="left"/>
      <w:pPr>
        <w:tabs>
          <w:tab w:val="num" w:pos="283"/>
        </w:tabs>
        <w:ind w:left="283" w:hanging="283"/>
      </w:pPr>
      <w:rPr>
        <w:rFonts w:ascii="Symbol" w:hAnsi="Symbol" w:cs="Times New Roman"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8D5AD3"/>
    <w:multiLevelType w:val="singleLevel"/>
    <w:tmpl w:val="4650FA8E"/>
    <w:lvl w:ilvl="0">
      <w:start w:val="1"/>
      <w:numFmt w:val="bullet"/>
      <w:lvlRestart w:val="0"/>
      <w:pStyle w:val="ListBullet2"/>
      <w:lvlText w:val=""/>
      <w:lvlJc w:val="left"/>
      <w:pPr>
        <w:tabs>
          <w:tab w:val="num" w:pos="283"/>
        </w:tabs>
        <w:ind w:left="283" w:hanging="283"/>
      </w:pPr>
      <w:rPr>
        <w:rFonts w:ascii="Symbol" w:hAnsi="Symbol" w:hint="default"/>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324F1E"/>
    <w:multiLevelType w:val="singleLevel"/>
    <w:tmpl w:val="E7764108"/>
    <w:name w:val="List Dash 1222"/>
    <w:lvl w:ilvl="0">
      <w:start w:val="1"/>
      <w:numFmt w:val="bullet"/>
      <w:lvlRestart w:val="0"/>
      <w:pStyle w:val="ListDash3"/>
      <w:lvlText w:val="-"/>
      <w:lvlJc w:val="left"/>
      <w:pPr>
        <w:tabs>
          <w:tab w:val="num" w:pos="283"/>
        </w:tabs>
        <w:ind w:left="283" w:hanging="283"/>
      </w:pPr>
      <w:rPr>
        <w:rFonts w:ascii="Symbol" w:hAnsi="Symbol" w:cs="Times New Roman" w:hint="default"/>
      </w:rPr>
    </w:lvl>
  </w:abstractNum>
  <w:abstractNum w:abstractNumId="14">
    <w:nsid w:val="37CB1E1C"/>
    <w:multiLevelType w:val="singleLevel"/>
    <w:tmpl w:val="628C12D0"/>
    <w:name w:val="List Dash 1223"/>
    <w:lvl w:ilvl="0">
      <w:start w:val="1"/>
      <w:numFmt w:val="bullet"/>
      <w:lvlRestart w:val="0"/>
      <w:pStyle w:val="ListDash1"/>
      <w:lvlText w:val="-"/>
      <w:lvlJc w:val="left"/>
      <w:pPr>
        <w:tabs>
          <w:tab w:val="num" w:pos="283"/>
        </w:tabs>
        <w:ind w:left="283" w:hanging="283"/>
      </w:pPr>
      <w:rPr>
        <w:rFonts w:ascii="Symbol" w:hAnsi="Symbol" w:cs="Times New Roman" w:hint="default"/>
      </w:rPr>
    </w:lvl>
  </w:abstractNum>
  <w:abstractNum w:abstractNumId="15">
    <w:nsid w:val="3A7730C4"/>
    <w:multiLevelType w:val="singleLevel"/>
    <w:tmpl w:val="39001130"/>
    <w:lvl w:ilvl="0">
      <w:start w:val="1"/>
      <w:numFmt w:val="bullet"/>
      <w:lvlRestart w:val="0"/>
      <w:pStyle w:val="ListBullet1"/>
      <w:lvlText w:val=""/>
      <w:lvlJc w:val="left"/>
      <w:pPr>
        <w:tabs>
          <w:tab w:val="num" w:pos="283"/>
        </w:tabs>
        <w:ind w:left="283" w:hanging="283"/>
      </w:pPr>
      <w:rPr>
        <w:rFonts w:ascii="Symbol" w:hAnsi="Symbol" w:hint="default"/>
      </w:rPr>
    </w:lvl>
  </w:abstractNum>
  <w:abstractNum w:abstractNumId="16">
    <w:nsid w:val="41F05E8F"/>
    <w:multiLevelType w:val="singleLevel"/>
    <w:tmpl w:val="C6D6A4B0"/>
    <w:name w:val="List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5072619B"/>
    <w:multiLevelType w:val="singleLevel"/>
    <w:tmpl w:val="54CC9184"/>
    <w:name w:val="List Dash2"/>
    <w:lvl w:ilvl="0">
      <w:start w:val="1"/>
      <w:numFmt w:val="bullet"/>
      <w:lvlRestart w:val="0"/>
      <w:pStyle w:val="ListDash"/>
      <w:lvlText w:val="-"/>
      <w:lvlJc w:val="left"/>
      <w:pPr>
        <w:tabs>
          <w:tab w:val="num" w:pos="283"/>
        </w:tabs>
        <w:ind w:left="283" w:hanging="283"/>
      </w:pPr>
      <w:rPr>
        <w:rFonts w:ascii="Symbol" w:hAnsi="Symbol" w:cs="Times New Roman"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65145E"/>
    <w:multiLevelType w:val="multilevel"/>
    <w:tmpl w:val="7B247EF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rPr>
        <w:u w:val="none"/>
      </w:rPr>
    </w:lvl>
    <w:lvl w:ilvl="3">
      <w:start w:val="1"/>
      <w:numFmt w:val="decimal"/>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3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num>
  <w:num w:numId="6">
    <w:abstractNumId w:val="17"/>
  </w:num>
  <w:num w:numId="7">
    <w:abstractNumId w:val="4"/>
  </w:num>
  <w:num w:numId="8">
    <w:abstractNumId w:val="3"/>
  </w:num>
  <w:num w:numId="9">
    <w:abstractNumId w:val="15"/>
  </w:num>
  <w:num w:numId="10">
    <w:abstractNumId w:val="9"/>
  </w:num>
  <w:num w:numId="11">
    <w:abstractNumId w:val="29"/>
  </w:num>
  <w:num w:numId="12">
    <w:abstractNumId w:val="2"/>
  </w:num>
  <w:num w:numId="13">
    <w:abstractNumId w:val="18"/>
  </w:num>
  <w:num w:numId="14">
    <w:abstractNumId w:val="5"/>
  </w:num>
  <w:num w:numId="15">
    <w:abstractNumId w:val="1"/>
  </w:num>
  <w:num w:numId="16">
    <w:abstractNumId w:val="28"/>
  </w:num>
  <w:num w:numId="17">
    <w:abstractNumId w:val="16"/>
  </w:num>
  <w:num w:numId="18">
    <w:abstractNumId w:val="21"/>
  </w:num>
  <w:num w:numId="19">
    <w:abstractNumId w:val="7"/>
  </w:num>
  <w:num w:numId="20">
    <w:abstractNumId w:val="14"/>
  </w:num>
  <w:num w:numId="21">
    <w:abstractNumId w:val="13"/>
  </w:num>
  <w:num w:numId="22">
    <w:abstractNumId w:val="0"/>
  </w:num>
  <w:num w:numId="23">
    <w:abstractNumId w:val="12"/>
  </w:num>
  <w:num w:numId="24">
    <w:abstractNumId w:val="25"/>
  </w:num>
  <w:num w:numId="25">
    <w:abstractNumId w:val="17"/>
  </w:num>
  <w:num w:numId="26">
    <w:abstractNumId w:val="27"/>
  </w:num>
  <w:num w:numId="27">
    <w:abstractNumId w:val="11"/>
  </w:num>
  <w:num w:numId="28">
    <w:abstractNumId w:val="19"/>
  </w:num>
  <w:num w:numId="29">
    <w:abstractNumId w:val="8"/>
  </w:num>
  <w:num w:numId="30">
    <w:abstractNumId w:val="26"/>
  </w:num>
  <w:num w:numId="31">
    <w:abstractNumId w:val="6"/>
  </w:num>
  <w:num w:numId="32">
    <w:abstractNumId w:val="20"/>
  </w:num>
  <w:num w:numId="33">
    <w:abstractNumId w:val="23"/>
  </w:num>
  <w:num w:numId="34">
    <w:abstractNumId w:val="24"/>
  </w:num>
  <w:num w:numId="35">
    <w:abstractNumId w:val="10"/>
  </w:num>
  <w:num w:numId="36">
    <w:abstractNumId w:val="22"/>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5"/>
  <w:hideSpellingErrors/>
  <w:hideGrammaticalErrors/>
  <w:attachedTemplate r:id="rId1"/>
  <w:revisionView w:markup="0"/>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3 17:47:02"/>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3DC652FDE1904F49A0E09924E24E608A"/>
    <w:docVar w:name="LW_CROSSREFERENCE" w:val="&lt;UNUSED&gt;"/>
    <w:docVar w:name="LW_DocType" w:val="COM"/>
    <w:docVar w:name="LW_EMISSION" w:val="4.5.2016"/>
    <w:docVar w:name="LW_EMISSION_ISODATE" w:val="2016-05-04"/>
    <w:docVar w:name="LW_EMISSION_LOCATION" w:val="BRX"/>
    <w:docVar w:name="LW_EMISSION_PREFIX" w:val="Брюксел, "/>
    <w:docVar w:name="LW_EMISSION_SUFFIX" w:val=" \u1075?."/>
    <w:docVar w:name="LW_ID_DOCMODEL" w:val="SJ-026"/>
    <w:docVar w:name="LW_ID_DOCSIGNATURE" w:val="SJ-026"/>
    <w:docVar w:name="LW_ID_DOCSTRUCTURE" w:val="COM/PL/ORG"/>
    <w:docVar w:name="LW_ID_DOCTYPE" w:val="SJ-026"/>
    <w:docVar w:name="LW_ID_STATUT" w:val="SJ-02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242"/>
    <w:docVar w:name="LW_REF.INTERNE" w:val="&lt;UNUSED&gt;"/>
    <w:docVar w:name="LW_SOUS.TITRE.OBJ.CP" w:val="&lt;UNUSED&gt;"/>
    <w:docVar w:name="LW_STATUT.CP" w:val="\u1055?\u1088?\u1077?\u1076?\u1083?\u1086?\u1078?\u1077?\u1085?\u1080?\u1077? \u1079?\u1072?"/>
    <w:docVar w:name="LW_SUPERTITRE" w:val="&lt;UNUSED&gt;"/>
    <w:docVar w:name="LW_TITRE.OBJ.CP" w:val="\u1079?\u1072? \u1084?\u1086?\u1073?\u1080?\u1083?\u1080?\u1079?\u1080?\u1088?\u1072?\u1085?\u1077? \u1085?\u1072? \u1089?\u1088?\u1077?\u1076?\u1089?\u1090?\u1074?\u1072? \u1086?\u1090? \u1045?\u1074?\u1088?\u1086?\u1087?\u1077?\u1081?\u1089?\u1082?\u1080?\u1103? \u1092?\u1086?\u1085?\u1076? \u1079?\u1072? \u1087?\u1088?\u1080?\u1089?\u1087?\u1086?\u1089?\u1086?\u1073?\u1103?\u1074?\u1072?\u1085?\u1077? \u1082?\u1098?\u1084? \u1075?\u1083?\u1086?\u1073?\u1072?\u1083?\u1080?\u1079?\u1072?\u1094?\u1080?\u1103?\u1090?\u1072? (\u1079?\u1072?\u1103?\u1074?\u1083?\u1077?\u1085?\u1080?\u1077? \u1086?\u1090? \u1041?\u1077?\u1083?\u1075?\u1080?\u1103? \u8212? EGF/2015/012 BE/Hainaut Machinery)"/>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Right/>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qFormat/>
    <w:pPr>
      <w:numPr>
        <w:ilvl w:val="4"/>
        <w:numId w:val="11"/>
      </w:numPr>
      <w:spacing w:before="40"/>
      <w:outlineLvl w:val="4"/>
    </w:pPr>
  </w:style>
  <w:style w:type="paragraph" w:styleId="Heading6">
    <w:name w:val="heading 6"/>
    <w:basedOn w:val="Normal"/>
    <w:next w:val="Normal"/>
    <w:qFormat/>
    <w:pPr>
      <w:numPr>
        <w:ilvl w:val="5"/>
        <w:numId w:val="11"/>
      </w:numPr>
      <w:spacing w:before="40"/>
      <w:outlineLvl w:val="5"/>
    </w:pPr>
  </w:style>
  <w:style w:type="paragraph" w:styleId="Heading7">
    <w:name w:val="heading 7"/>
    <w:basedOn w:val="Normal"/>
    <w:next w:val="Normal"/>
    <w:qFormat/>
    <w:pPr>
      <w:numPr>
        <w:ilvl w:val="6"/>
        <w:numId w:val="11"/>
      </w:numPr>
      <w:spacing w:before="40"/>
      <w:outlineLvl w:val="6"/>
    </w:pPr>
  </w:style>
  <w:style w:type="paragraph" w:styleId="Heading8">
    <w:name w:val="heading 8"/>
    <w:basedOn w:val="Normal"/>
    <w:next w:val="Normal"/>
    <w:qFormat/>
    <w:pPr>
      <w:numPr>
        <w:ilvl w:val="7"/>
        <w:numId w:val="11"/>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rPr>
      <w:rFonts w:ascii="Times New Roman" w:hAnsi="Times New Roman"/>
      <w:sz w:val="24"/>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Contact">
    <w:name w:val="Contact"/>
    <w:basedOn w:val="Normal"/>
    <w:next w:val="Normal"/>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0"/>
      </w:numPr>
      <w:tabs>
        <w:tab w:val="num" w:pos="709"/>
      </w:tabs>
      <w:ind w:left="709" w:hanging="709"/>
      <w:jc w:val="left"/>
    </w:pPr>
  </w:style>
  <w:style w:type="paragraph" w:styleId="ListNumber">
    <w:name w:val="List Number"/>
    <w:basedOn w:val="Normal"/>
    <w:pPr>
      <w:numPr>
        <w:numId w:val="12"/>
      </w:numPr>
    </w:pPr>
  </w:style>
  <w:style w:type="paragraph" w:customStyle="1" w:styleId="DoubSign">
    <w:name w:val="DoubSign"/>
    <w:basedOn w:val="Normal"/>
    <w:next w:val="Contact"/>
    <w:pPr>
      <w:tabs>
        <w:tab w:val="left" w:pos="5103"/>
      </w:tabs>
      <w:spacing w:before="1200" w:after="0"/>
      <w:jc w:val="left"/>
    </w:pPr>
  </w:style>
  <w:style w:type="paragraph" w:styleId="ListBullet">
    <w:name w:val="List Bullet"/>
    <w:basedOn w:val="Normal"/>
    <w:pPr>
      <w:numPr>
        <w:numId w:val="17"/>
      </w:numPr>
      <w:tabs>
        <w:tab w:val="clear" w:pos="283"/>
      </w:tabs>
      <w:ind w:left="454" w:hanging="454"/>
    </w:pPr>
  </w:style>
  <w:style w:type="paragraph" w:styleId="ListBullet2">
    <w:name w:val="List Bullet 2"/>
    <w:basedOn w:val="Text2"/>
    <w:pPr>
      <w:numPr>
        <w:numId w:val="10"/>
      </w:numPr>
      <w:tabs>
        <w:tab w:val="clear" w:pos="283"/>
      </w:tabs>
      <w:ind w:left="454" w:hanging="454"/>
    </w:pPr>
  </w:style>
  <w:style w:type="paragraph" w:styleId="ListBullet3">
    <w:name w:val="List Bullet 3"/>
    <w:basedOn w:val="Text3"/>
    <w:pPr>
      <w:numPr>
        <w:numId w:val="7"/>
      </w:numPr>
      <w:tabs>
        <w:tab w:val="clear" w:pos="283"/>
      </w:tabs>
      <w:ind w:left="454" w:hanging="454"/>
    </w:pPr>
  </w:style>
  <w:style w:type="paragraph" w:styleId="ListBullet4">
    <w:name w:val="List Bullet 4"/>
    <w:basedOn w:val="Text4"/>
    <w:pPr>
      <w:numPr>
        <w:numId w:val="8"/>
      </w:numPr>
      <w:tabs>
        <w:tab w:val="clear" w:pos="283"/>
      </w:tabs>
      <w:ind w:left="454" w:hanging="45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4"/>
      </w:numPr>
    </w:pPr>
  </w:style>
  <w:style w:type="paragraph" w:styleId="ListNumber3">
    <w:name w:val="List Number 3"/>
    <w:basedOn w:val="Text3"/>
    <w:pPr>
      <w:numPr>
        <w:numId w:val="15"/>
      </w:numPr>
    </w:pPr>
  </w:style>
  <w:style w:type="paragraph" w:styleId="ListNumber4">
    <w:name w:val="List Number 4"/>
    <w:basedOn w:val="Text4"/>
    <w:pPr>
      <w:numPr>
        <w:numId w:val="16"/>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rPr>
      <w:rFonts w:ascii="Arial" w:hAnsi="Arial"/>
      <w:b/>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9"/>
      </w:numPr>
      <w:tabs>
        <w:tab w:val="clear" w:pos="283"/>
      </w:tabs>
      <w:ind w:left="454" w:hanging="454"/>
    </w:pPr>
  </w:style>
  <w:style w:type="paragraph" w:customStyle="1" w:styleId="ListDash">
    <w:name w:val="List Dash"/>
    <w:basedOn w:val="Normal"/>
    <w:pPr>
      <w:numPr>
        <w:numId w:val="18"/>
      </w:numPr>
      <w:tabs>
        <w:tab w:val="clear" w:pos="283"/>
      </w:tabs>
      <w:ind w:left="454" w:hanging="454"/>
    </w:pPr>
  </w:style>
  <w:style w:type="paragraph" w:customStyle="1" w:styleId="ListDash1">
    <w:name w:val="List Dash 1"/>
    <w:basedOn w:val="Text1"/>
    <w:pPr>
      <w:numPr>
        <w:numId w:val="20"/>
      </w:numPr>
      <w:tabs>
        <w:tab w:val="clear" w:pos="283"/>
      </w:tabs>
      <w:ind w:left="454" w:hanging="454"/>
    </w:pPr>
  </w:style>
  <w:style w:type="paragraph" w:customStyle="1" w:styleId="ListDash2">
    <w:name w:val="List Dash 2"/>
    <w:basedOn w:val="Text2"/>
    <w:pPr>
      <w:numPr>
        <w:numId w:val="19"/>
      </w:numPr>
      <w:tabs>
        <w:tab w:val="clear" w:pos="283"/>
      </w:tabs>
      <w:ind w:left="454" w:hanging="454"/>
    </w:pPr>
  </w:style>
  <w:style w:type="paragraph" w:customStyle="1" w:styleId="ListDash3">
    <w:name w:val="List Dash 3"/>
    <w:basedOn w:val="Text3"/>
    <w:pPr>
      <w:numPr>
        <w:numId w:val="21"/>
      </w:numPr>
      <w:tabs>
        <w:tab w:val="clear" w:pos="283"/>
      </w:tabs>
      <w:ind w:left="454" w:hanging="454"/>
    </w:pPr>
  </w:style>
  <w:style w:type="paragraph" w:customStyle="1" w:styleId="ListDash4">
    <w:name w:val="List Dash 4"/>
    <w:basedOn w:val="Text4"/>
    <w:pPr>
      <w:numPr>
        <w:numId w:val="22"/>
      </w:numPr>
      <w:tabs>
        <w:tab w:val="clear" w:pos="283"/>
      </w:tabs>
      <w:ind w:left="454" w:hanging="454"/>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pPr>
  </w:style>
  <w:style w:type="paragraph" w:customStyle="1" w:styleId="ListNumber2Level3">
    <w:name w:val="List Number 2 (Level 3)"/>
    <w:basedOn w:val="Text2"/>
    <w:pPr>
      <w:numPr>
        <w:ilvl w:val="2"/>
        <w:numId w:val="14"/>
      </w:numPr>
    </w:pPr>
  </w:style>
  <w:style w:type="paragraph" w:customStyle="1" w:styleId="ListNumber2Level4">
    <w:name w:val="List Number 2 (Level 4)"/>
    <w:basedOn w:val="Text2"/>
    <w:pPr>
      <w:numPr>
        <w:ilvl w:val="3"/>
        <w:numId w:val="14"/>
      </w:numPr>
    </w:pPr>
  </w:style>
  <w:style w:type="paragraph" w:customStyle="1" w:styleId="ListNumber3Level2">
    <w:name w:val="List Number 3 (Level 2)"/>
    <w:basedOn w:val="Text3"/>
    <w:pPr>
      <w:numPr>
        <w:ilvl w:val="1"/>
        <w:numId w:val="15"/>
      </w:numPr>
    </w:pPr>
  </w:style>
  <w:style w:type="paragraph" w:customStyle="1" w:styleId="ListNumber3Level3">
    <w:name w:val="List Number 3 (Level 3)"/>
    <w:basedOn w:val="Text3"/>
    <w:pPr>
      <w:numPr>
        <w:ilvl w:val="2"/>
        <w:numId w:val="15"/>
      </w:numPr>
    </w:pPr>
  </w:style>
  <w:style w:type="paragraph" w:customStyle="1" w:styleId="ListNumber3Level4">
    <w:name w:val="List Number 3 (Level 4)"/>
    <w:basedOn w:val="Text3"/>
    <w:pPr>
      <w:numPr>
        <w:ilvl w:val="3"/>
        <w:numId w:val="15"/>
      </w:numPr>
    </w:pPr>
  </w:style>
  <w:style w:type="paragraph" w:customStyle="1" w:styleId="ListNumber4Level2">
    <w:name w:val="List Number 4 (Level 2)"/>
    <w:basedOn w:val="Text4"/>
    <w:pPr>
      <w:numPr>
        <w:ilvl w:val="1"/>
        <w:numId w:val="16"/>
      </w:numPr>
    </w:pPr>
  </w:style>
  <w:style w:type="paragraph" w:customStyle="1" w:styleId="ListNumber4Level3">
    <w:name w:val="List Number 4 (Level 3)"/>
    <w:basedOn w:val="Text4"/>
    <w:pPr>
      <w:numPr>
        <w:ilvl w:val="2"/>
        <w:numId w:val="16"/>
      </w:numPr>
    </w:pPr>
  </w:style>
  <w:style w:type="paragraph" w:customStyle="1" w:styleId="ListNumber4Level4">
    <w:name w:val="List Number 4 (Level 4)"/>
    <w:basedOn w:val="Text4"/>
    <w:pPr>
      <w:numPr>
        <w:ilvl w:val="3"/>
        <w:numId w:val="16"/>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qFormat/>
    <w:rPr>
      <w:b/>
    </w:rPr>
  </w:style>
  <w:style w:type="paragraph" w:customStyle="1" w:styleId="Heading1Annex">
    <w:name w:val="Heading 1 Annex"/>
    <w:basedOn w:val="Heading1"/>
    <w:next w:val="Normal"/>
    <w:pPr>
      <w:pageBreakBefore/>
      <w:numPr>
        <w:numId w:val="0"/>
      </w:numPr>
      <w:tabs>
        <w:tab w:val="num" w:pos="709"/>
      </w:tabs>
      <w:overflowPunct w:val="0"/>
      <w:autoSpaceDE w:val="0"/>
      <w:autoSpaceDN w:val="0"/>
      <w:adjustRightInd w:val="0"/>
      <w:ind w:left="709" w:hanging="709"/>
      <w:jc w:val="left"/>
      <w:textAlignment w:val="baseline"/>
    </w:pPr>
    <w:rPr>
      <w:noProof/>
      <w:sz w:val="36"/>
    </w:rPr>
  </w:style>
  <w:style w:type="paragraph" w:customStyle="1" w:styleId="HistoryTable">
    <w:name w:val="HistoryTable"/>
    <w:basedOn w:val="Normal"/>
    <w:pPr>
      <w:spacing w:before="60" w:after="60"/>
      <w:jc w:val="left"/>
    </w:pPr>
    <w:rPr>
      <w:sz w:val="20"/>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rPr>
      <w:color w:val="800080"/>
      <w:u w:val="single"/>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style>
  <w:style w:type="paragraph" w:customStyle="1" w:styleId="Citation">
    <w:name w:val="Citation"/>
    <w:basedOn w:val="Normal"/>
    <w:pPr>
      <w:spacing w:before="60" w:after="60" w:line="240" w:lineRule="atLeast"/>
      <w:ind w:left="454" w:right="454"/>
    </w:pPr>
    <w:rPr>
      <w:i/>
    </w:rPr>
  </w:style>
  <w:style w:type="character" w:customStyle="1" w:styleId="CommentTextChar">
    <w:name w:val="Comment Text Char"/>
    <w:link w:val="CommentText"/>
    <w:semiHidden/>
    <w:rPr>
      <w:lang w:val="bg-BG"/>
    </w:rPr>
  </w:style>
  <w:style w:type="paragraph" w:customStyle="1" w:styleId="LegalNumPar">
    <w:name w:val="LegalNumPar"/>
    <w:basedOn w:val="Normal"/>
    <w:pPr>
      <w:numPr>
        <w:numId w:val="23"/>
      </w:numPr>
      <w:spacing w:line="360" w:lineRule="auto"/>
      <w:jc w:val="left"/>
    </w:pPr>
  </w:style>
  <w:style w:type="paragraph" w:customStyle="1" w:styleId="LegalNumPar2">
    <w:name w:val="LegalNumPar2"/>
    <w:basedOn w:val="Normal"/>
    <w:pPr>
      <w:numPr>
        <w:ilvl w:val="1"/>
        <w:numId w:val="23"/>
      </w:numPr>
      <w:spacing w:line="360" w:lineRule="auto"/>
      <w:jc w:val="left"/>
    </w:pPr>
  </w:style>
  <w:style w:type="paragraph" w:customStyle="1" w:styleId="LegalNumPar3">
    <w:name w:val="LegalNumPar3"/>
    <w:basedOn w:val="Normal"/>
    <w:pPr>
      <w:numPr>
        <w:ilvl w:val="2"/>
        <w:numId w:val="23"/>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qFormat/>
    <w:pPr>
      <w:numPr>
        <w:ilvl w:val="4"/>
        <w:numId w:val="11"/>
      </w:numPr>
      <w:spacing w:before="40"/>
      <w:outlineLvl w:val="4"/>
    </w:pPr>
  </w:style>
  <w:style w:type="paragraph" w:styleId="Heading6">
    <w:name w:val="heading 6"/>
    <w:basedOn w:val="Normal"/>
    <w:next w:val="Normal"/>
    <w:qFormat/>
    <w:pPr>
      <w:numPr>
        <w:ilvl w:val="5"/>
        <w:numId w:val="11"/>
      </w:numPr>
      <w:spacing w:before="40"/>
      <w:outlineLvl w:val="5"/>
    </w:pPr>
  </w:style>
  <w:style w:type="paragraph" w:styleId="Heading7">
    <w:name w:val="heading 7"/>
    <w:basedOn w:val="Normal"/>
    <w:next w:val="Normal"/>
    <w:qFormat/>
    <w:pPr>
      <w:numPr>
        <w:ilvl w:val="6"/>
        <w:numId w:val="11"/>
      </w:numPr>
      <w:spacing w:before="40"/>
      <w:outlineLvl w:val="6"/>
    </w:pPr>
  </w:style>
  <w:style w:type="paragraph" w:styleId="Heading8">
    <w:name w:val="heading 8"/>
    <w:basedOn w:val="Normal"/>
    <w:next w:val="Normal"/>
    <w:qFormat/>
    <w:pPr>
      <w:numPr>
        <w:ilvl w:val="7"/>
        <w:numId w:val="11"/>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rPr>
      <w:rFonts w:ascii="Times New Roman" w:hAnsi="Times New Roman"/>
      <w:sz w:val="24"/>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Contact">
    <w:name w:val="Contact"/>
    <w:basedOn w:val="Normal"/>
    <w:next w:val="Normal"/>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0"/>
      </w:numPr>
      <w:tabs>
        <w:tab w:val="num" w:pos="709"/>
      </w:tabs>
      <w:ind w:left="709" w:hanging="709"/>
      <w:jc w:val="left"/>
    </w:pPr>
  </w:style>
  <w:style w:type="paragraph" w:styleId="ListNumber">
    <w:name w:val="List Number"/>
    <w:basedOn w:val="Normal"/>
    <w:pPr>
      <w:numPr>
        <w:numId w:val="12"/>
      </w:numPr>
    </w:pPr>
  </w:style>
  <w:style w:type="paragraph" w:customStyle="1" w:styleId="DoubSign">
    <w:name w:val="DoubSign"/>
    <w:basedOn w:val="Normal"/>
    <w:next w:val="Contact"/>
    <w:pPr>
      <w:tabs>
        <w:tab w:val="left" w:pos="5103"/>
      </w:tabs>
      <w:spacing w:before="1200" w:after="0"/>
      <w:jc w:val="left"/>
    </w:pPr>
  </w:style>
  <w:style w:type="paragraph" w:styleId="ListBullet">
    <w:name w:val="List Bullet"/>
    <w:basedOn w:val="Normal"/>
    <w:pPr>
      <w:numPr>
        <w:numId w:val="17"/>
      </w:numPr>
      <w:tabs>
        <w:tab w:val="clear" w:pos="283"/>
      </w:tabs>
      <w:ind w:left="454" w:hanging="454"/>
    </w:pPr>
  </w:style>
  <w:style w:type="paragraph" w:styleId="ListBullet2">
    <w:name w:val="List Bullet 2"/>
    <w:basedOn w:val="Text2"/>
    <w:pPr>
      <w:numPr>
        <w:numId w:val="10"/>
      </w:numPr>
      <w:tabs>
        <w:tab w:val="clear" w:pos="283"/>
      </w:tabs>
      <w:ind w:left="454" w:hanging="454"/>
    </w:pPr>
  </w:style>
  <w:style w:type="paragraph" w:styleId="ListBullet3">
    <w:name w:val="List Bullet 3"/>
    <w:basedOn w:val="Text3"/>
    <w:pPr>
      <w:numPr>
        <w:numId w:val="7"/>
      </w:numPr>
      <w:tabs>
        <w:tab w:val="clear" w:pos="283"/>
      </w:tabs>
      <w:ind w:left="454" w:hanging="454"/>
    </w:pPr>
  </w:style>
  <w:style w:type="paragraph" w:styleId="ListBullet4">
    <w:name w:val="List Bullet 4"/>
    <w:basedOn w:val="Text4"/>
    <w:pPr>
      <w:numPr>
        <w:numId w:val="8"/>
      </w:numPr>
      <w:tabs>
        <w:tab w:val="clear" w:pos="283"/>
      </w:tabs>
      <w:ind w:left="454" w:hanging="45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4"/>
      </w:numPr>
    </w:pPr>
  </w:style>
  <w:style w:type="paragraph" w:styleId="ListNumber3">
    <w:name w:val="List Number 3"/>
    <w:basedOn w:val="Text3"/>
    <w:pPr>
      <w:numPr>
        <w:numId w:val="15"/>
      </w:numPr>
    </w:pPr>
  </w:style>
  <w:style w:type="paragraph" w:styleId="ListNumber4">
    <w:name w:val="List Number 4"/>
    <w:basedOn w:val="Text4"/>
    <w:pPr>
      <w:numPr>
        <w:numId w:val="16"/>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rPr>
      <w:rFonts w:ascii="Arial" w:hAnsi="Arial"/>
      <w:b/>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9"/>
      </w:numPr>
      <w:tabs>
        <w:tab w:val="clear" w:pos="283"/>
      </w:tabs>
      <w:ind w:left="454" w:hanging="454"/>
    </w:pPr>
  </w:style>
  <w:style w:type="paragraph" w:customStyle="1" w:styleId="ListDash">
    <w:name w:val="List Dash"/>
    <w:basedOn w:val="Normal"/>
    <w:pPr>
      <w:numPr>
        <w:numId w:val="18"/>
      </w:numPr>
      <w:tabs>
        <w:tab w:val="clear" w:pos="283"/>
      </w:tabs>
      <w:ind w:left="454" w:hanging="454"/>
    </w:pPr>
  </w:style>
  <w:style w:type="paragraph" w:customStyle="1" w:styleId="ListDash1">
    <w:name w:val="List Dash 1"/>
    <w:basedOn w:val="Text1"/>
    <w:pPr>
      <w:numPr>
        <w:numId w:val="20"/>
      </w:numPr>
      <w:tabs>
        <w:tab w:val="clear" w:pos="283"/>
      </w:tabs>
      <w:ind w:left="454" w:hanging="454"/>
    </w:pPr>
  </w:style>
  <w:style w:type="paragraph" w:customStyle="1" w:styleId="ListDash2">
    <w:name w:val="List Dash 2"/>
    <w:basedOn w:val="Text2"/>
    <w:pPr>
      <w:numPr>
        <w:numId w:val="19"/>
      </w:numPr>
      <w:tabs>
        <w:tab w:val="clear" w:pos="283"/>
      </w:tabs>
      <w:ind w:left="454" w:hanging="454"/>
    </w:pPr>
  </w:style>
  <w:style w:type="paragraph" w:customStyle="1" w:styleId="ListDash3">
    <w:name w:val="List Dash 3"/>
    <w:basedOn w:val="Text3"/>
    <w:pPr>
      <w:numPr>
        <w:numId w:val="21"/>
      </w:numPr>
      <w:tabs>
        <w:tab w:val="clear" w:pos="283"/>
      </w:tabs>
      <w:ind w:left="454" w:hanging="454"/>
    </w:pPr>
  </w:style>
  <w:style w:type="paragraph" w:customStyle="1" w:styleId="ListDash4">
    <w:name w:val="List Dash 4"/>
    <w:basedOn w:val="Text4"/>
    <w:pPr>
      <w:numPr>
        <w:numId w:val="22"/>
      </w:numPr>
      <w:tabs>
        <w:tab w:val="clear" w:pos="283"/>
      </w:tabs>
      <w:ind w:left="454" w:hanging="454"/>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pPr>
  </w:style>
  <w:style w:type="paragraph" w:customStyle="1" w:styleId="ListNumber2Level3">
    <w:name w:val="List Number 2 (Level 3)"/>
    <w:basedOn w:val="Text2"/>
    <w:pPr>
      <w:numPr>
        <w:ilvl w:val="2"/>
        <w:numId w:val="14"/>
      </w:numPr>
    </w:pPr>
  </w:style>
  <w:style w:type="paragraph" w:customStyle="1" w:styleId="ListNumber2Level4">
    <w:name w:val="List Number 2 (Level 4)"/>
    <w:basedOn w:val="Text2"/>
    <w:pPr>
      <w:numPr>
        <w:ilvl w:val="3"/>
        <w:numId w:val="14"/>
      </w:numPr>
    </w:pPr>
  </w:style>
  <w:style w:type="paragraph" w:customStyle="1" w:styleId="ListNumber3Level2">
    <w:name w:val="List Number 3 (Level 2)"/>
    <w:basedOn w:val="Text3"/>
    <w:pPr>
      <w:numPr>
        <w:ilvl w:val="1"/>
        <w:numId w:val="15"/>
      </w:numPr>
    </w:pPr>
  </w:style>
  <w:style w:type="paragraph" w:customStyle="1" w:styleId="ListNumber3Level3">
    <w:name w:val="List Number 3 (Level 3)"/>
    <w:basedOn w:val="Text3"/>
    <w:pPr>
      <w:numPr>
        <w:ilvl w:val="2"/>
        <w:numId w:val="15"/>
      </w:numPr>
    </w:pPr>
  </w:style>
  <w:style w:type="paragraph" w:customStyle="1" w:styleId="ListNumber3Level4">
    <w:name w:val="List Number 3 (Level 4)"/>
    <w:basedOn w:val="Text3"/>
    <w:pPr>
      <w:numPr>
        <w:ilvl w:val="3"/>
        <w:numId w:val="15"/>
      </w:numPr>
    </w:pPr>
  </w:style>
  <w:style w:type="paragraph" w:customStyle="1" w:styleId="ListNumber4Level2">
    <w:name w:val="List Number 4 (Level 2)"/>
    <w:basedOn w:val="Text4"/>
    <w:pPr>
      <w:numPr>
        <w:ilvl w:val="1"/>
        <w:numId w:val="16"/>
      </w:numPr>
    </w:pPr>
  </w:style>
  <w:style w:type="paragraph" w:customStyle="1" w:styleId="ListNumber4Level3">
    <w:name w:val="List Number 4 (Level 3)"/>
    <w:basedOn w:val="Text4"/>
    <w:pPr>
      <w:numPr>
        <w:ilvl w:val="2"/>
        <w:numId w:val="16"/>
      </w:numPr>
    </w:pPr>
  </w:style>
  <w:style w:type="paragraph" w:customStyle="1" w:styleId="ListNumber4Level4">
    <w:name w:val="List Number 4 (Level 4)"/>
    <w:basedOn w:val="Text4"/>
    <w:pPr>
      <w:numPr>
        <w:ilvl w:val="3"/>
        <w:numId w:val="16"/>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qFormat/>
    <w:rPr>
      <w:b/>
    </w:rPr>
  </w:style>
  <w:style w:type="paragraph" w:customStyle="1" w:styleId="Heading1Annex">
    <w:name w:val="Heading 1 Annex"/>
    <w:basedOn w:val="Heading1"/>
    <w:next w:val="Normal"/>
    <w:pPr>
      <w:pageBreakBefore/>
      <w:numPr>
        <w:numId w:val="0"/>
      </w:numPr>
      <w:tabs>
        <w:tab w:val="num" w:pos="709"/>
      </w:tabs>
      <w:overflowPunct w:val="0"/>
      <w:autoSpaceDE w:val="0"/>
      <w:autoSpaceDN w:val="0"/>
      <w:adjustRightInd w:val="0"/>
      <w:ind w:left="709" w:hanging="709"/>
      <w:jc w:val="left"/>
      <w:textAlignment w:val="baseline"/>
    </w:pPr>
    <w:rPr>
      <w:noProof/>
      <w:sz w:val="36"/>
    </w:rPr>
  </w:style>
  <w:style w:type="paragraph" w:customStyle="1" w:styleId="HistoryTable">
    <w:name w:val="HistoryTable"/>
    <w:basedOn w:val="Normal"/>
    <w:pPr>
      <w:spacing w:before="60" w:after="60"/>
      <w:jc w:val="left"/>
    </w:pPr>
    <w:rPr>
      <w:sz w:val="20"/>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rPr>
      <w:color w:val="800080"/>
      <w:u w:val="single"/>
    </w:rPr>
  </w:style>
  <w:style w:type="character" w:styleId="Hyperlink">
    <w:name w:val="Hyperlink"/>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style>
  <w:style w:type="paragraph" w:customStyle="1" w:styleId="Citation">
    <w:name w:val="Citation"/>
    <w:basedOn w:val="Normal"/>
    <w:pPr>
      <w:spacing w:before="60" w:after="60" w:line="240" w:lineRule="atLeast"/>
      <w:ind w:left="454" w:right="454"/>
    </w:pPr>
    <w:rPr>
      <w:i/>
    </w:rPr>
  </w:style>
  <w:style w:type="character" w:customStyle="1" w:styleId="CommentTextChar">
    <w:name w:val="Comment Text Char"/>
    <w:link w:val="CommentText"/>
    <w:semiHidden/>
    <w:rPr>
      <w:lang w:val="bg-BG"/>
    </w:rPr>
  </w:style>
  <w:style w:type="paragraph" w:customStyle="1" w:styleId="LegalNumPar">
    <w:name w:val="LegalNumPar"/>
    <w:basedOn w:val="Normal"/>
    <w:pPr>
      <w:numPr>
        <w:numId w:val="23"/>
      </w:numPr>
      <w:spacing w:line="360" w:lineRule="auto"/>
      <w:jc w:val="left"/>
    </w:pPr>
  </w:style>
  <w:style w:type="paragraph" w:customStyle="1" w:styleId="LegalNumPar2">
    <w:name w:val="LegalNumPar2"/>
    <w:basedOn w:val="Normal"/>
    <w:pPr>
      <w:numPr>
        <w:ilvl w:val="1"/>
        <w:numId w:val="23"/>
      </w:numPr>
      <w:spacing w:line="360" w:lineRule="auto"/>
      <w:jc w:val="left"/>
    </w:pPr>
  </w:style>
  <w:style w:type="paragraph" w:customStyle="1" w:styleId="LegalNumPar3">
    <w:name w:val="LegalNumPar3"/>
    <w:basedOn w:val="Normal"/>
    <w:pPr>
      <w:numPr>
        <w:ilvl w:val="2"/>
        <w:numId w:val="23"/>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873076136">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D2706-E298-4E85-AF64-E3642351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16</Pages>
  <Words>4500</Words>
  <Characters>25696</Characters>
  <Application>Microsoft Office Word</Application>
  <DocSecurity>0</DocSecurity>
  <Lines>694</Lines>
  <Paragraphs>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2016-04-01T14:39:00Z</cp:lastPrinted>
  <dcterms:created xsi:type="dcterms:W3CDTF">2016-04-28T15:40:00Z</dcterms:created>
  <dcterms:modified xsi:type="dcterms:W3CDTF">2016-05-03T15:47:00Z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Created using">
    <vt:lpwstr>LW 5.8.3, Build 20140113</vt:lpwstr>
  </property>
  <property fmtid="{D5CDD505-2E9C-101B-9397-08002B2CF9AE}" pid="5" name="Last edited using">
    <vt:lpwstr>LW 5.8.4, Build 20141001</vt:lpwstr>
  </property>
  <property fmtid="{D5CDD505-2E9C-101B-9397-08002B2CF9AE}" pid="6" name="LWTemplateID">
    <vt:lpwstr>SJ-026</vt:lpwstr>
  </property>
  <property fmtid="{D5CDD505-2E9C-101B-9397-08002B2CF9AE}" pid="7" name="Part">
    <vt:lpwstr>1</vt:lpwstr>
  </property>
  <property fmtid="{D5CDD505-2E9C-101B-9397-08002B2CF9AE}" pid="8" name="Total parts">
    <vt:lpwstr>1</vt:lpwstr>
  </property>
  <property fmtid="{D5CDD505-2E9C-101B-9397-08002B2CF9AE}" pid="9" name="Version">
    <vt:lpwstr>5.8.86.0</vt:lpwstr>
  </property>
  <property fmtid="{D5CDD505-2E9C-101B-9397-08002B2CF9AE}" pid="10" name="_NewReviewCycle">
    <vt:lpwstr/>
  </property>
  <property fmtid="{D5CDD505-2E9C-101B-9397-08002B2CF9AE}" pid="11" name="DQCStatus">
    <vt:lpwstr>Green (DQC version 03)</vt:lpwstr>
  </property>
</Properties>
</file>