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451F17BE6A74E148918386BB29F2A09"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szCs w:val="24"/>
        </w:rPr>
      </w:pPr>
      <w:r>
        <w:rPr>
          <w:noProof/>
        </w:rPr>
        <w:t>Настоящото предложение се отнася за прилагането на 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Pr>
          <w:rStyle w:val="FootnoteReference"/>
          <w:noProof/>
        </w:rPr>
        <w:footnoteReference w:id="1"/>
      </w:r>
      <w:r>
        <w:rPr>
          <w:noProof/>
        </w:rPr>
        <w:t xml:space="preserve"> (наричан по-долу за краткост „Регламентът за ННН риболов“).</w:t>
      </w:r>
    </w:p>
    <w:p>
      <w:pPr>
        <w:rPr>
          <w:rFonts w:eastAsia="Times New Roman"/>
          <w:noProof/>
          <w:szCs w:val="24"/>
        </w:rPr>
      </w:pPr>
      <w:r>
        <w:rPr>
          <w:noProof/>
        </w:rPr>
        <w:t xml:space="preserve">Настоящото предложение е направено в контекста на прилагането на Регламента за ННН риболов и е резултат от разследвания и диалози, проведени в съответствие с изискванията по същество и процедурните изисквания, определени в Регламента за ННН риболов, които предвиждат, </w:t>
      </w:r>
      <w:r>
        <w:rPr>
          <w:i/>
          <w:noProof/>
        </w:rPr>
        <w:t>inter alia</w:t>
      </w:r>
      <w:r>
        <w:rPr>
          <w:noProof/>
        </w:rPr>
        <w:t>, че всички държави следва да изпълняват задълженията, възложени им съгласно международното право като държави на знамето, пристанищни държави, крайбрежни държави или държави на пазара, за предотвратяване, възпиране и премахване на ННН риболова.</w:t>
      </w:r>
    </w:p>
    <w:p>
      <w:pPr>
        <w:rPr>
          <w:rFonts w:eastAsia="Times New Roman"/>
          <w:noProof/>
          <w:szCs w:val="24"/>
        </w:rPr>
      </w:pPr>
      <w:r>
        <w:rPr>
          <w:noProof/>
        </w:rPr>
        <w:t xml:space="preserve">На 15 ноември 2012 г. със свое решение Комисията </w:t>
      </w:r>
      <w:r>
        <w:rPr>
          <w:b/>
          <w:noProof/>
        </w:rPr>
        <w:t>уведоми</w:t>
      </w:r>
      <w:r>
        <w:rPr>
          <w:noProof/>
        </w:rPr>
        <w:t xml:space="preserve"> осем трети държави (Белиз, Кралство Камбоджа, Република Фиджи, Република Гвинея, Република Панама, Демократична социалистическа република Шри Ланка, Република Того и Република Вануату), че</w:t>
      </w:r>
      <w:r>
        <w:rPr>
          <w:b/>
          <w:noProof/>
        </w:rPr>
        <w:t xml:space="preserve"> разглежда възможността да ги определи</w:t>
      </w:r>
      <w:r>
        <w:rPr>
          <w:noProof/>
        </w:rPr>
        <w:t xml:space="preserve"> като несътрудничещи държави съгласно Регламента за ННН риболов. </w:t>
      </w:r>
    </w:p>
    <w:p>
      <w:pPr>
        <w:rPr>
          <w:rFonts w:eastAsia="Times New Roman"/>
          <w:noProof/>
          <w:szCs w:val="24"/>
        </w:rPr>
      </w:pPr>
      <w:r>
        <w:rPr>
          <w:noProof/>
        </w:rPr>
        <w:t xml:space="preserve">Комисията предприе стъпки спрямо осемте държави, които включваха, наред с останалото, предоставянето на основания за предприетите действия, възможност държавите да отговорят и да опровергаят съответните твърдения, правото да поискат и да представят допълнителна информация, да предложат планове за действие за коригиране на положението, както и подходящ срок за отговор и разумни срокове за коригиращи мерки. </w:t>
      </w:r>
    </w:p>
    <w:p>
      <w:pPr>
        <w:rPr>
          <w:rFonts w:eastAsia="Times New Roman"/>
          <w:noProof/>
          <w:szCs w:val="24"/>
        </w:rPr>
      </w:pPr>
      <w:r>
        <w:rPr>
          <w:noProof/>
        </w:rPr>
        <w:t xml:space="preserve">На 14 октомври 2014 г. със свое решение за изпълнение Комисията </w:t>
      </w:r>
      <w:r>
        <w:rPr>
          <w:b/>
          <w:noProof/>
        </w:rPr>
        <w:t>определи</w:t>
      </w:r>
      <w:r>
        <w:rPr>
          <w:noProof/>
        </w:rPr>
        <w:t xml:space="preserve"> Демократична социалистическа република Шри Ланка (наричана по-долу „Шри Ланка“) като трета държава, която тя </w:t>
      </w:r>
      <w:r>
        <w:rPr>
          <w:b/>
          <w:noProof/>
        </w:rPr>
        <w:t>счита за несътрудничеща</w:t>
      </w:r>
      <w:r>
        <w:rPr>
          <w:noProof/>
        </w:rPr>
        <w:t xml:space="preserve"> трета държава в съответствие с Регламента за ННН риболов.</w:t>
      </w:r>
    </w:p>
    <w:p>
      <w:pPr>
        <w:rPr>
          <w:rFonts w:eastAsia="Times New Roman"/>
          <w:noProof/>
          <w:szCs w:val="24"/>
        </w:rPr>
      </w:pPr>
      <w:r>
        <w:rPr>
          <w:noProof/>
        </w:rPr>
        <w:t xml:space="preserve">На 26 януари 2015 г. със свое решение за изпълнение Съветът </w:t>
      </w:r>
      <w:r>
        <w:rPr>
          <w:b/>
          <w:noProof/>
        </w:rPr>
        <w:t>измени съществуващия списък на несътрудничещи в борбата с ННН риболов трети държави</w:t>
      </w:r>
      <w:r>
        <w:rPr>
          <w:noProof/>
        </w:rPr>
        <w:t xml:space="preserve">, като включи Шри Ланка. </w:t>
      </w:r>
    </w:p>
    <w:p>
      <w:pPr>
        <w:rPr>
          <w:rFonts w:eastAsia="Times New Roman"/>
          <w:noProof/>
          <w:szCs w:val="24"/>
        </w:rPr>
      </w:pPr>
      <w:r>
        <w:rPr>
          <w:noProof/>
        </w:rPr>
        <w:t xml:space="preserve">Приложеното предложение за решение за изпълнение на Съвета се основава върху констатациите, които потвърдиха, че </w:t>
      </w:r>
      <w:r>
        <w:rPr>
          <w:b/>
          <w:noProof/>
        </w:rPr>
        <w:t>Шри Ланка</w:t>
      </w:r>
      <w:r>
        <w:rPr>
          <w:noProof/>
        </w:rPr>
        <w:t xml:space="preserve"> е показала, че положението, дало основание за включването ѝ в списъка, е коригирано и че държавата е предприела конкретни мерки, които могат да доведат до трайно подобряване. </w:t>
      </w:r>
    </w:p>
    <w:p>
      <w:pPr>
        <w:rPr>
          <w:rFonts w:eastAsia="Times New Roman"/>
          <w:noProof/>
          <w:szCs w:val="24"/>
        </w:rPr>
      </w:pPr>
      <w:r>
        <w:rPr>
          <w:noProof/>
        </w:rPr>
        <w:t>Поради това се предлага Съветът да приеме приложеното предложение за решение.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rFonts w:eastAsia="Times New Roman"/>
          <w:noProof/>
          <w:szCs w:val="24"/>
        </w:rPr>
      </w:pPr>
      <w:r>
        <w:rPr>
          <w:noProof/>
        </w:rPr>
        <w:t>Предварително определяне от Комисията на Шри Ланка като несътрудничеща държава с Решение на Комисията от 15 ноември 2012 г. (ОВ C 354, 17.11.2012 г., стр.1 — 47) за уведомяване на третите държави, които Комисията счита за потенциално определими като несътрудничещи трети държави, съгласно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p>
    <w:p>
      <w:pPr>
        <w:rPr>
          <w:rFonts w:eastAsia="Times New Roman"/>
          <w:noProof/>
          <w:szCs w:val="24"/>
        </w:rPr>
      </w:pPr>
      <w:r>
        <w:rPr>
          <w:noProof/>
        </w:rPr>
        <w:t>Определяне от страна на Комисията на Шри Ланка като несътрудничеща държава с Решение на Комисията от 14 октомври 2014 г. (ОВ C 297, 15.10.2014 г., стр.13 — 22) за определяне на трета държава, която Комисията смята за несътрудничеща трета държава съгласно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p>
    <w:p>
      <w:pPr>
        <w:rPr>
          <w:rFonts w:eastAsia="Times New Roman"/>
          <w:noProof/>
          <w:szCs w:val="24"/>
        </w:rPr>
      </w:pPr>
      <w:r>
        <w:rPr>
          <w:noProof/>
        </w:rPr>
        <w:t>Включване на Шри Ланка в списъка на несътрудничещи трети държави с Решение за изпълнение на Съвета от 26 януари 2015 г. (OВ L 33, 10.2.2015 г., стр. 15 — 18) за изменение на Решение за изпълнение 2014/170/ЕС за съставяне на списък на несътрудничещи трети държави в борбата с ННН риболов съгласно Регламент (ЕО) № 1005/2008 за създаване на система на Общността за предотвратяване, възпиране и премахване на незаконния, недеклариран и нерегулиран риболов по отношение на Шри Ланка.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Times New Roman"/>
          <w:noProof/>
          <w:szCs w:val="24"/>
        </w:rPr>
      </w:pPr>
      <w:r>
        <w:rPr>
          <w:noProof/>
        </w:rPr>
        <w:t>Регламент (ЕО) № 1005/2008 от 29 септември 2008 г. на Съвета за създаване на система на Общността за предотвратяване, възпиране и премахване на незаконния, недеклариран и нерегулиран (ННН) риболов</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rFonts w:eastAsia="Times New Roman"/>
          <w:noProof/>
          <w:szCs w:val="24"/>
        </w:rPr>
      </w:pPr>
      <w:r>
        <w:rPr>
          <w:noProof/>
        </w:rPr>
        <w:t>Предложението попада в обхвата на изключителната компетентност на Европейския съюз.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rFonts w:eastAsia="Times New Roman"/>
          <w:noProof/>
          <w:szCs w:val="24"/>
        </w:rPr>
      </w:pPr>
      <w:r>
        <w:rPr>
          <w:noProof/>
        </w:rPr>
        <w:t>Настоящото предложение е в съответствие с принципа на пропорционалност поради следните причини:</w:t>
      </w:r>
    </w:p>
    <w:p>
      <w:pPr>
        <w:rPr>
          <w:rFonts w:eastAsia="Times New Roman"/>
          <w:noProof/>
          <w:szCs w:val="24"/>
        </w:rPr>
      </w:pPr>
      <w:r>
        <w:rPr>
          <w:noProof/>
        </w:rPr>
        <w:t>Формата на действието е описана в Регламента за ННН риболов и не оставя възможност за решение на национално равнище.</w:t>
      </w:r>
    </w:p>
    <w:p>
      <w:pPr>
        <w:rPr>
          <w:rFonts w:eastAsia="Times New Roman"/>
          <w:noProof/>
          <w:szCs w:val="24"/>
        </w:rPr>
      </w:pPr>
      <w:r>
        <w:rPr>
          <w:noProof/>
        </w:rPr>
        <w:t>Не е необходимо да се посочва как финансовата и административната тежест върху Съюза, националните правителства, регионалните и местните власти, икономическите оператори и гражданите е сведена до минимум и е пропорционална на целта на предложението.</w:t>
      </w:r>
    </w:p>
    <w:p>
      <w:pPr>
        <w:pStyle w:val="ManualHeading2"/>
        <w:rPr>
          <w:rFonts w:eastAsia="Arial Unicode MS"/>
          <w:noProof/>
          <w:u w:color="000000"/>
          <w:bdr w:val="nil"/>
        </w:rPr>
      </w:pPr>
      <w:r>
        <w:rPr>
          <w:noProof/>
        </w:rPr>
        <w:t>•</w:t>
      </w:r>
      <w:r>
        <w:rPr>
          <w:noProof/>
        </w:rPr>
        <w:tab/>
        <w:t>Избор на инструмент</w:t>
      </w:r>
    </w:p>
    <w:p>
      <w:pPr>
        <w:rPr>
          <w:rFonts w:eastAsia="Times New Roman"/>
          <w:noProof/>
          <w:szCs w:val="24"/>
        </w:rPr>
      </w:pPr>
      <w:r>
        <w:rPr>
          <w:noProof/>
        </w:rPr>
        <w:t>Предлагани инструменти: решение.</w:t>
      </w:r>
    </w:p>
    <w:p>
      <w:pPr>
        <w:rPr>
          <w:rFonts w:eastAsia="Times New Roman"/>
          <w:noProof/>
          <w:szCs w:val="24"/>
        </w:rPr>
      </w:pPr>
      <w:r>
        <w:rPr>
          <w:noProof/>
        </w:rPr>
        <w:t>Други средства не биха били подходящи, тъй като Регламентът за ННН риболов не предвижда други възможности.</w:t>
      </w:r>
    </w:p>
    <w:p>
      <w:pPr>
        <w:pStyle w:val="ManualHeading1"/>
        <w:rPr>
          <w:noProof/>
        </w:rPr>
      </w:pPr>
      <w:r>
        <w:rPr>
          <w:noProof/>
        </w:rPr>
        <w:t>3.</w:t>
      </w:r>
      <w:r>
        <w:rPr>
          <w:noProof/>
        </w:rPr>
        <w:tab/>
        <w:t>РЕЗУЛТАТИ ОТ ПОСЛЕДВАЩИТЕ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Заинтересованите страни, засегнати от процедурата, имаха възможността да защитят своя интерес по време на разследванията и диалозите в съответствие с разпоредбите на Регламента за ННН риболов.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Настоящото предложение е резултат от прилагането на Регламента за ННН риболов.</w:t>
      </w:r>
    </w:p>
    <w:p>
      <w:pPr>
        <w:pBdr>
          <w:top w:val="nil"/>
          <w:left w:val="nil"/>
          <w:bottom w:val="nil"/>
          <w:right w:val="nil"/>
          <w:between w:val="nil"/>
          <w:bar w:val="nil"/>
        </w:pBdr>
        <w:spacing w:before="0" w:after="240"/>
        <w:rPr>
          <w:rFonts w:eastAsia="Arial Unicode MS"/>
          <w:noProof/>
        </w:rPr>
      </w:pPr>
      <w:r>
        <w:rPr>
          <w:noProof/>
        </w:rPr>
        <w:t xml:space="preserve">Регламентът за ННН риболов не съдържа разпоредби за обща оценка на въздействието, но съдържа изчерпателен списък на условията, които трябва да бъдат оценени. </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 xml:space="preserve">Не се прилага. </w:t>
      </w:r>
    </w:p>
    <w:p>
      <w:pPr>
        <w:pBdr>
          <w:top w:val="nil"/>
          <w:left w:val="nil"/>
          <w:bottom w:val="nil"/>
          <w:right w:val="nil"/>
          <w:between w:val="nil"/>
          <w:bar w:val="nil"/>
        </w:pBdr>
        <w:spacing w:before="0" w:after="240"/>
        <w:rPr>
          <w:noProof/>
        </w:rPr>
      </w:pPr>
      <w:r>
        <w:t xml:space="preserve"> </w:t>
      </w: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Не е приложимо, тъй като предложението влиза в сила в деня след неговото публикуване.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Предложението изменя създадения от Съвета списък на несътрудничещи трети държави в борбата с ННН риболов, съдържащ се в приложението към Решение 2014/170/ЕС на Съвета.</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2016/0117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 xml:space="preserve">за изменение на списъка на несътрудничещи трети държави в борбата с ННН риболов съгласно Регламент (ЕО) № 1005/2008 за създаване на система на Общността за предотвратяване, възпиране и премахване на незаконния, недеклариран и нерегулиран риболов </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w:t>
      </w:r>
      <w:r>
        <w:rPr>
          <w:rStyle w:val="FootnoteReference"/>
          <w:noProof/>
        </w:rPr>
        <w:footnoteReference w:id="2"/>
      </w:r>
      <w:r>
        <w:rPr>
          <w:noProof/>
        </w:rPr>
        <w:t>, и по-специално член 34,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Регламент (ЕО) № 1005/2008 (наричан по-долу „Регламента относно ННН риболов“) се създава система на Съюза за предотвратяване, възпиране и премахване на незаконния, недеклариран и нерегулиран (ННН) риболов.</w:t>
      </w:r>
    </w:p>
    <w:p>
      <w:pPr>
        <w:pStyle w:val="ManualConsidrant"/>
        <w:rPr>
          <w:noProof/>
        </w:rPr>
      </w:pPr>
      <w:r>
        <w:t>(2)</w:t>
      </w:r>
      <w:r>
        <w:tab/>
      </w:r>
      <w:r>
        <w:rPr>
          <w:noProof/>
        </w:rPr>
        <w:t>В глава VI от Регламента за ННН риболов се посочват процедурата за определяне на несътрудничещи трети държави, действията, които се предприемат спрямо държавите, определени като несътрудничещи трети държави, съставянето на списък на несътрудничещи държави, заличаването от списъка на несътрудничещи държави, оповестяването на списъка на несътрудничещи държави и всякакви извънредни мерки.</w:t>
      </w:r>
    </w:p>
    <w:p>
      <w:pPr>
        <w:pStyle w:val="ManualConsidrant"/>
        <w:rPr>
          <w:noProof/>
        </w:rPr>
      </w:pPr>
      <w:r>
        <w:t>(3)</w:t>
      </w:r>
      <w:r>
        <w:tab/>
      </w:r>
      <w:r>
        <w:rPr>
          <w:noProof/>
        </w:rPr>
        <w:t>Съгласно член 32 от Регламента за ННН риболов, със свое решение от 15 ноември 2012 г.</w:t>
      </w:r>
      <w:r>
        <w:rPr>
          <w:rStyle w:val="FootnoteReference"/>
          <w:noProof/>
        </w:rPr>
        <w:footnoteReference w:id="3"/>
      </w:r>
      <w:r>
        <w:rPr>
          <w:noProof/>
        </w:rPr>
        <w:t xml:space="preserve"> (наричано по-долу „Решението от 15 ноември 2012 г.“) Европейската комисия („Комисията“) уведоми осем трети държави за възможността да ги определи като трети държави, които тя счита за несътрудничещи. Една от тези държави беше Демократична социалистическа република Шри Ланка (наричана по-долу „Шри Ланка“).</w:t>
      </w:r>
    </w:p>
    <w:p>
      <w:pPr>
        <w:pStyle w:val="ManualConsidrant"/>
        <w:rPr>
          <w:noProof/>
        </w:rPr>
      </w:pPr>
      <w:r>
        <w:t>(4)</w:t>
      </w:r>
      <w:r>
        <w:tab/>
      </w:r>
      <w:r>
        <w:rPr>
          <w:noProof/>
        </w:rPr>
        <w:t xml:space="preserve">В Решението от 15 ноември 2012 г. Комисията включи информацията относно съществените факти и съображения, мотивиращи това предварително определяне. </w:t>
      </w:r>
    </w:p>
    <w:p>
      <w:pPr>
        <w:pStyle w:val="ManualConsidrant"/>
        <w:rPr>
          <w:noProof/>
        </w:rPr>
      </w:pPr>
      <w:r>
        <w:t>(5)</w:t>
      </w:r>
      <w:r>
        <w:tab/>
      </w:r>
      <w:r>
        <w:rPr>
          <w:noProof/>
        </w:rPr>
        <w:t xml:space="preserve">Също на 15 ноември 2012 г. с отделни писма Комисията уведоми осемте трети държави, сред които и Шри Ланка, че тя разглежда възможността да ги определи като несътрудничещи трети държави. </w:t>
      </w:r>
    </w:p>
    <w:p>
      <w:pPr>
        <w:pStyle w:val="ManualConsidrant"/>
        <w:rPr>
          <w:noProof/>
        </w:rPr>
      </w:pPr>
      <w:r>
        <w:t>(6)</w:t>
      </w:r>
      <w:r>
        <w:tab/>
      </w:r>
      <w:r>
        <w:rPr>
          <w:noProof/>
        </w:rPr>
        <w:t>С Решение за изпълнение от 14 октомври 2014 г.</w:t>
      </w:r>
      <w:r>
        <w:rPr>
          <w:rStyle w:val="FootnoteReference"/>
          <w:noProof/>
        </w:rPr>
        <w:footnoteReference w:id="4"/>
      </w:r>
      <w:r>
        <w:rPr>
          <w:noProof/>
        </w:rPr>
        <w:t xml:space="preserve"> („Решение за изпълнение от 14 октомври 2014 г.“) Комисията определи Шри Ланка като несътрудничеща трета държава в борбата с ННН риболов. В съответствие с Регламента за ННН риболов Комисията посочи основанията, поради които счита, че тази държава не изпълнява произтичащите от международното право задължения, а именно — в качеството си на държава на знамето, пристанищна държава, крайбрежна държава или държава на пазара да предприеме действия за предотвратяване, възпиране и премахване на ННН риболов.</w:t>
      </w:r>
    </w:p>
    <w:p>
      <w:pPr>
        <w:pStyle w:val="ManualConsidrant"/>
        <w:rPr>
          <w:noProof/>
        </w:rPr>
      </w:pPr>
      <w:r>
        <w:t>(7)</w:t>
      </w:r>
      <w:r>
        <w:tab/>
      </w:r>
      <w:r>
        <w:rPr>
          <w:noProof/>
        </w:rPr>
        <w:t>В съответствие с член 33 от Регламента относно ННН риболов, със свое Решение за изпълнение 2015/200 от 26 януари 2015 г.</w:t>
      </w:r>
      <w:r>
        <w:rPr>
          <w:rStyle w:val="FootnoteReference"/>
          <w:noProof/>
        </w:rPr>
        <w:footnoteReference w:id="5"/>
      </w:r>
      <w:r>
        <w:rPr>
          <w:noProof/>
        </w:rPr>
        <w:t xml:space="preserve"> (наричано по-долу „Решението за изпълнение на Съвета от 26 януари 2015 г.“) Съветът измени списъка на несътрудничещи трети държави в борбата с ННН риболов съгласно Регламента за ННН риболов, като включи Шри Ланка в него.</w:t>
      </w:r>
    </w:p>
    <w:p>
      <w:pPr>
        <w:pStyle w:val="ManualConsidrant"/>
        <w:rPr>
          <w:noProof/>
        </w:rPr>
      </w:pPr>
      <w:r>
        <w:t>(8)</w:t>
      </w:r>
      <w:r>
        <w:tab/>
      </w:r>
      <w:r>
        <w:rPr>
          <w:noProof/>
        </w:rPr>
        <w:t>След изменението с Решение за изпълнение на Съвета от 24 март 2014 г. на списъка на несътрудничещи трети държави в борбата с ННН риболов Комисията предложи на Шри Ланка възможност да се продължи диалогът в съответствие с изискванията по същество и процедурните изисквания, определени в Регламента за ННН риболов. Комисията продължи да събира и проверява цялата информация, която счете за необходима, включително устни и писмени коментари, с цел да даде възможност на определените държави да коригират положението, дало основание за включването им в списъка, и да предприемат конкретни мерки, които могат да доведат до отстраняване на установените недостатъци. В резултат на този процес беше констатирано, че Шри Ланка е коригирала положението и е предприела съответните мерки.</w:t>
      </w:r>
    </w:p>
    <w:p>
      <w:pPr>
        <w:pStyle w:val="ManualConsidrant"/>
        <w:rPr>
          <w:noProof/>
        </w:rPr>
      </w:pPr>
      <w:r>
        <w:t>(9)</w:t>
      </w:r>
      <w:r>
        <w:tab/>
      </w:r>
      <w:r>
        <w:rPr>
          <w:noProof/>
        </w:rPr>
        <w:t>Поради това съгласно член 34, параграф 1 от Регламента за ННН риболов Съветът следва да измени Решението за изпълнение от 24 март 2014 г., като заличи Шри Ланка от списъка на несътрудничещите трети държави.</w:t>
      </w:r>
    </w:p>
    <w:p>
      <w:pPr>
        <w:pStyle w:val="ManualConsidrant"/>
        <w:rPr>
          <w:noProof/>
        </w:rPr>
      </w:pPr>
      <w:r>
        <w:t>(10)</w:t>
      </w:r>
      <w:r>
        <w:tab/>
      </w:r>
      <w:r>
        <w:rPr>
          <w:noProof/>
        </w:rPr>
        <w:t>След приемането на настоящото решение за изпълнение на Съвета, с което Шри Ланка се заличава от списъка на несътрудничещите трети държави в съответствие с член 34, параграф 1 от Регламента относно ННН риболов, Решението за изпълнение на Комисията от 14 октомври 2014 г., с което Шри Ланка се определя за несътрудничеща трета държава, става безпредметно.</w:t>
      </w:r>
    </w:p>
    <w:p>
      <w:pPr>
        <w:rPr>
          <w:b/>
          <w:noProof/>
        </w:rPr>
      </w:pPr>
      <w:r>
        <w:rPr>
          <w:b/>
          <w:noProof/>
        </w:rPr>
        <w:t>ЗАЛИЧАВАНЕ НА ШРИ ЛАНКА ОТ СПИСЪКА НА НЕСТРУДНИЧЕЩИТЕ ТРЕТИ ДЪРЖАВИ</w:t>
      </w:r>
    </w:p>
    <w:p>
      <w:pPr>
        <w:pStyle w:val="ManualConsidrant"/>
        <w:rPr>
          <w:i/>
          <w:noProof/>
        </w:rPr>
      </w:pPr>
      <w:r>
        <w:t>(11)</w:t>
      </w:r>
      <w:r>
        <w:tab/>
      </w:r>
      <w:r>
        <w:rPr>
          <w:noProof/>
        </w:rPr>
        <w:t>След приемането на Решение за изпълнение от 14 октомври 2014 г. и Решение за изпълнение 2015/200 на Съвета от 26 януари 2015 г. Комисията продължи диалога с Шри Ланка. По-специално изглежда, че Шри Ланка е изпълнила задълженията, произтичащи от международното право, и е приела адекватна правна уредба за борба срещу ННН риболов; тя е въвела адекватна и ефикасна система за наблюдение, контрол и инспекции чрез въвеждането на регистри за вписване на данните за улова, плюс радио позивни за риболовните кораби и е оборудвала целия флот за открито море със система за наблюдение на корабите (VMS); създала е система за санкциониране с възпиращ ефект, преработила е правната си рамка за рибарството и е осигурила правилното прилагане на схемата за сертифициране на улова. Освен това Шри Ланка постоянно подобрява спазването на международните си задължения, включително тези, които произтичат от препоръките и резолюциите на регионалните организации за управление на рибарството (РОУР), като например контролни мерки на пристанищната държава и транспониране на правилата на РОУР в законодателството на Шри Ланка, и е приела свой национален план за действие срещу ННН риболов в съответствие с Международния план за действие срещу незаконния, недеклариран и нерегулиран риболов на Организацията на обединените нации (МПД на ООН).</w:t>
      </w:r>
    </w:p>
    <w:p>
      <w:pPr>
        <w:pStyle w:val="ManualConsidrant"/>
        <w:rPr>
          <w:noProof/>
        </w:rPr>
      </w:pPr>
      <w:r>
        <w:t>(12)</w:t>
      </w:r>
      <w:r>
        <w:tab/>
      </w:r>
      <w:r>
        <w:rPr>
          <w:noProof/>
        </w:rPr>
        <w:t xml:space="preserve">Въз основа на констатациите, съдържащи се в Решението от 15 ноември 2012 г., Решението за изпълнение от 14 октомври 2014 г. и Решението за изпълнение на Съвета от 26 януари 2015 г., Комисията извърши преглед на това как понастоящем Шри Ланка спазва международните си задължения като държава на знамето, пристанищна държава, крайбрежна държава или държава на пазара.  Тя взе под внимание също така и мерките, предприети за коригиране на положението, както и гаранциите, предоставени от компетентните органи на Шри Ланка. </w:t>
      </w:r>
    </w:p>
    <w:p>
      <w:pPr>
        <w:pStyle w:val="ManualConsidrant"/>
        <w:rPr>
          <w:noProof/>
        </w:rPr>
      </w:pPr>
      <w:r>
        <w:t>(13)</w:t>
      </w:r>
      <w:r>
        <w:tab/>
      </w:r>
      <w:r>
        <w:rPr>
          <w:noProof/>
        </w:rPr>
        <w:t>Въз основа на гореизложеното Комисията стигна до заключението, че с предприетите действия Шри Ланка вече изпълнява произтичащите от международното право задължения като държава на знамето, по-специално в светлината на разпоредбите на членове 94, 117 и 118 от Конвенцията на Организацията на обединените нации по морско право (UNCLOS) и членове 18, 19, 20 и 23 от Споразумението относно прилагането на разпоредби на Конвенцията на ООН по морско право, свързани с опазването и управлението на трансгранично преминаващите и далекомигриращите рибни запаси (UNFSA).</w:t>
      </w:r>
      <w:r>
        <w:rPr>
          <w:i/>
          <w:noProof/>
        </w:rPr>
        <w:t xml:space="preserve"> </w:t>
      </w:r>
      <w:r>
        <w:rPr>
          <w:noProof/>
        </w:rPr>
        <w:t xml:space="preserve">Поради това Комисията стигна до заключението, че предприетите от Шри Ланка действия доказват, че положението, дало основание за включването ѝ в списъка, е коригирано и че държавата е предприела конкретни мерки, които могат да доведат до трайно подобряване на положението. </w:t>
      </w:r>
    </w:p>
    <w:p>
      <w:pPr>
        <w:pStyle w:val="ManualConsidrant"/>
        <w:rPr>
          <w:noProof/>
        </w:rPr>
      </w:pPr>
      <w:r>
        <w:t>(14)</w:t>
      </w:r>
      <w:r>
        <w:tab/>
      </w:r>
      <w:r>
        <w:rPr>
          <w:noProof/>
        </w:rPr>
        <w:t xml:space="preserve">С оглед на гореизложените обстоятелства и в съответствие с член 34, параграф 1 от Регламента за ННН риболов Съветът заключава, че Шри Ланка следва да бъде заличена от списъка на несътрудничещите държави. </w:t>
      </w:r>
    </w:p>
    <w:p>
      <w:pPr>
        <w:pStyle w:val="ManualConsidrant"/>
        <w:rPr>
          <w:noProof/>
        </w:rPr>
      </w:pPr>
      <w:r>
        <w:t>(15)</w:t>
      </w:r>
      <w:r>
        <w:tab/>
      </w:r>
      <w:r>
        <w:rPr>
          <w:noProof/>
        </w:rPr>
        <w:t>Взетото от Съвета решение не изключва в бъдеще Комисията или Съветът да предприемат по-нататъшни стъпки в съответствие с глава VI от Регламента относно ННН риболов, ако фактите покажат, че Шри Ланка не изпълнява произтичащите от международното право задължения, а именно — в качеството си на държава на знамето, пристанищна държава, крайбрежна държава или държава на пазара да предотвратява, възпира и премахва ННН риболов.</w:t>
      </w:r>
    </w:p>
    <w:p>
      <w:pPr>
        <w:pStyle w:val="ManualConsidrant"/>
        <w:rPr>
          <w:noProof/>
        </w:rPr>
      </w:pPr>
      <w:r>
        <w:t>(16)</w:t>
      </w:r>
      <w:r>
        <w:tab/>
      </w:r>
      <w:r>
        <w:rPr>
          <w:noProof/>
        </w:rPr>
        <w:t xml:space="preserve">Предвид неблагоприятните последици, предизвикани от включването в списъка като несътрудничеща трета държава, е целесъобразно заличаването на Шри Ланка от този списък да влезе в сила незабавно,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Приложението към Решение 2014/170/ЕС се заменя с приложението към настоящото решение.</w:t>
      </w:r>
    </w:p>
    <w:p>
      <w:pPr>
        <w:pStyle w:val="Titrearticle"/>
        <w:rPr>
          <w:noProof/>
        </w:rPr>
      </w:pPr>
      <w:r>
        <w:rPr>
          <w:noProof/>
        </w:rPr>
        <w:t>Член 2</w:t>
      </w:r>
    </w:p>
    <w:p>
      <w:pPr>
        <w:keepNext/>
        <w:keepLines/>
        <w:rPr>
          <w:noProof/>
        </w:rPr>
      </w:pPr>
      <w:r>
        <w:rPr>
          <w:noProof/>
        </w:rPr>
        <w:t xml:space="preserve">Настоящото решение влиза в сила в деня след деня на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286, 29.10.2008 г., стр. 1.</w:t>
      </w:r>
    </w:p>
  </w:footnote>
  <w:footnote w:id="2">
    <w:p>
      <w:pPr>
        <w:pStyle w:val="FootnoteText"/>
      </w:pPr>
      <w:r>
        <w:rPr>
          <w:rStyle w:val="FootnoteReference"/>
        </w:rPr>
        <w:footnoteRef/>
      </w:r>
      <w:r>
        <w:tab/>
        <w:t>ОВ L 286, 29.10.2008 г., стр. 1.</w:t>
      </w:r>
    </w:p>
  </w:footnote>
  <w:footnote w:id="3">
    <w:p>
      <w:pPr>
        <w:pStyle w:val="FootnoteText"/>
        <w:rPr>
          <w:lang w:val="et-EE"/>
        </w:rPr>
      </w:pPr>
      <w:r>
        <w:rPr>
          <w:rStyle w:val="FootnoteReference"/>
        </w:rPr>
        <w:footnoteRef/>
      </w:r>
      <w:r>
        <w:tab/>
        <w:t>Решение на Комисията от 15 ноември 2012 г. за уведомяване на третите държави, които Комисията счита за потенциално определими като несътрудничещи трети държави, съгласно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w:t>
      </w:r>
      <w:r>
        <w:br/>
        <w:t>(ОВ L 354, 17.11.2012 г., стр. 1).</w:t>
      </w:r>
    </w:p>
  </w:footnote>
  <w:footnote w:id="4">
    <w:p>
      <w:pPr>
        <w:pStyle w:val="FootnoteText"/>
      </w:pPr>
      <w:r>
        <w:rPr>
          <w:rStyle w:val="FootnoteReference"/>
        </w:rPr>
        <w:footnoteRef/>
      </w:r>
      <w:r>
        <w:tab/>
        <w:t>Решение за изпълнение на Комисията от 14 октомври 2014 г. за определяне на трета държава, която Комисията смята за несътрудничеща трета държава съгласно Регламент (ЕО) № 1005/2008 на Съвета за създаване на система на Общността за предотвратяване, възпиране и премахване на незаконния, недеклариран и нерегулиран риболов (ОВ L 297, 15.10.2014 г., стр. 13).</w:t>
      </w:r>
    </w:p>
  </w:footnote>
  <w:footnote w:id="5">
    <w:p>
      <w:pPr>
        <w:pStyle w:val="FootnoteText"/>
      </w:pPr>
      <w:r>
        <w:rPr>
          <w:rStyle w:val="FootnoteReference"/>
        </w:rPr>
        <w:footnoteRef/>
      </w:r>
      <w:r>
        <w:tab/>
        <w:t>Решение за изпълнение 2015/200 на Съвета от 26 януари 2015 г. (OВ L 33, 10.2.2015 г., стр. 15—18) за изменение на Решение за изпълнение 2014/170/EС за съставяне на списък на несътрудничещи трети държави в борбата с ННН риболов съгласно Регламент (ЕО) № 1005/2008 за създаване на система на Общността за предотвратяване, възпиране и премахване на незаконния, недеклариран и нерегулиран риболов.</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04E0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2BEF5B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4ECBF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8094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94E38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228AE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A344FF8"/>
    <w:lvl w:ilvl="0">
      <w:start w:val="1"/>
      <w:numFmt w:val="decimal"/>
      <w:pStyle w:val="ListNumber"/>
      <w:lvlText w:val="%1."/>
      <w:lvlJc w:val="left"/>
      <w:pPr>
        <w:tabs>
          <w:tab w:val="num" w:pos="360"/>
        </w:tabs>
        <w:ind w:left="360" w:hanging="360"/>
      </w:pPr>
    </w:lvl>
  </w:abstractNum>
  <w:abstractNum w:abstractNumId="7">
    <w:nsid w:val="FFFFFF89"/>
    <w:multiLevelType w:val="singleLevel"/>
    <w:tmpl w:val="D5EE949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19 15:31:0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6451F17BE6A74E148918386BB29F2A09"/>
    <w:docVar w:name="LW_CROSSREFERENCE" w:val="&lt;UNUSED&gt;"/>
    <w:docVar w:name="LW_DocType" w:val="COM"/>
    <w:docVar w:name="LW_EMISSION" w:val="21.4.2016"/>
    <w:docVar w:name="LW_EMISSION_ISODATE" w:val="2016-04-21"/>
    <w:docVar w:name="LW_EMISSION_LOCATION" w:val="BRX"/>
    <w:docVar w:name="LW_EMISSION_PREFIX" w:val="Брюксел, "/>
    <w:docVar w:name="LW_EMISSION_SUFFIX" w:val=" \u1075?."/>
    <w:docVar w:name="LW_ID_DOCMODEL" w:val="SJ-021"/>
    <w:docVar w:name="LW_ID_DOCSIGNATURE" w:val="SJ-021"/>
    <w:docVar w:name="LW_ID_DOCSTRUCTURE" w:val="COM/PL/ORG"/>
    <w:docVar w:name="LW_ID_DOCTYPE" w:val="SJ-021"/>
    <w:docVar w:name="LW_ID_STATUT" w:val="SJ-02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17"/>
    <w:docVar w:name="LW_REF.II.NEW.CP_YEAR" w:val="2016"/>
    <w:docVar w:name="LW_REF.INST.NEW" w:val="COM"/>
    <w:docVar w:name="LW_REF.INST.NEW_ADOPTED" w:val="final"/>
    <w:docVar w:name="LW_REF.INST.NEW_TEXT" w:val="(2016) 225"/>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89?\u1087?\u1080?\u1089?\u1098?\u1082?\u1072? \u1085?\u1072? \u1085?\u1077?\u1089?\u1098?\u1090?\u1088?\u1091?\u1076?\u1085?\u1080?\u1095?\u1077?\u1097?\u1080? \u1090?\u1088?\u1077?\u1090?\u1080? \u1076?\u1098?\u1088?\u1078?\u1072?\u1074?\u1080? \u1074? \u1073?\u1086?\u1088?\u1073?\u1072?\u1090?\u1072? \u1089? \u1053?\u1053?\u1053? \u1088?\u1080?\u1073?\u1086?\u1083?\u1086?\u1074? \u1089?\u1098?\u1075?\u1083?\u1072?\u1089?\u1085?\u1086? \u1056?\u1077?\u1075?\u1083?\u1072?\u1084?\u1077?\u1085?\u1090? (\u1045?\u1054?) \u8470? 1005/2008 \u1079?\u1072? \u1089?\u1098?\u1079?\u1076?\u1072?\u1074?\u1072?\u1085?\u1077? \u1085?\u1072? \u1089?\u1080?\u1089?\u1090?\u1077?\u1084?\u1072? \u1085?\u1072? \u1054?\u1073?\u1097?\u1085?\u1086?\u1089?\u1090?\u1090?\u1072? \u1079?\u1072? \u1087?\u1088?\u1077?\u1076?\u1086?\u1090?\u1074?\u1088?\u1072?\u1090?\u1103?\u1074?\u1072?\u1085?\u1077?, \u1074?\u1098?\u1079?\u1087?\u1080?\u1088?\u1072?\u1085?\u1077? \u1080? \u1087?\u1088?\u1077?\u1084?\u1072?\u1093?\u1074?\u1072?\u1085?\u1077? \u1085?\u1072? \u1085?\u1077?\u1079?\u1072?\u1082?\u1086?\u1085?\u1085?\u1080?\u1103?, \u1085?\u1077?\u1076?\u1077?\u1082?\u1083?\u1072?\u1088?\u1080?\u1088?\u1072?\u1085? \u1080? \u1085?\u1077?\u1088?\u1077?\u1075?\u1091?\u1083?\u1080?\u1088?\u1072?\u1085? \u1088?\u1080?\u1073?\u1086?\u1083?\u1086?\u1074? "/>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9</Pages>
  <Words>2183</Words>
  <Characters>12815</Characters>
  <Application>Microsoft Office Word</Application>
  <DocSecurity>0</DocSecurity>
  <Lines>251</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2016-04-18T07:30:00Z</dcterms:created>
  <dcterms:modified xsi:type="dcterms:W3CDTF">2016-04-19T13:31:00Z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Green (DQC version 03)</vt:lpwstr>
  </property>
</Properties>
</file>