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7225C0F8AA4FD99B1858ED2900FA5B" style="width:450.75pt;height:334.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134" w:right="1417" w:bottom="1134" w:left="1417" w:header="709" w:footer="709" w:gutter="0"/>
          <w:pgNumType w:start="2"/>
          <w:cols w:space="720"/>
          <w:docGrid w:linePitch="299"/>
        </w:sectPr>
      </w:pPr>
    </w:p>
    <w:p>
      <w:pPr>
        <w:keepNext/>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w:t>
      </w:r>
      <w:r>
        <w:rPr>
          <w:rFonts w:ascii="Times New Roman" w:hAnsi="Times New Roman" w:cs="Times New Roman"/>
          <w:noProof/>
          <w:sz w:val="24"/>
          <w:szCs w:val="24"/>
        </w:rPr>
        <w:tab/>
      </w:r>
      <w:r>
        <w:rPr>
          <w:rFonts w:ascii="Times New Roman" w:hAnsi="Times New Roman" w:cs="Times New Roman"/>
          <w:b/>
          <w:noProof/>
          <w:sz w:val="24"/>
          <w:szCs w:val="24"/>
        </w:rPr>
        <w:t>Въведение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На 7 март държавните и правителствените ръководители от ЕС</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се договориха, като въпрос с приоритетно значение, да постигнат напредък по всички елементи на пътната карта на Комисията, озаглавена „Завръщане към Шенгенската система“</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за да се прекрати временният контрол по вътрешните граници и да се възстанови нормалното функциониране на Шенгенското пространство до края на годината. В съобщението на Комисията са представени подробно поредица мерки за възстановяване на нормалното функциониране на Шенгенското пространство, като едновременно се оказва пълно съдействие на държавите членки, подложени на натиск. По-специално в съобщението се посочват мерки за отстраняване на недостатъците в управлението на външните граници на ЕС. То коригира тези недостатъци, което ще позволи да бъде премахнат контролът, въведен извънредно по вътрешните граници. В пътната карта е показано как процедурите, предвидени в шенгенските правила, биха могли да бъдат използвани за възстановяване на нормалното функциониране на Шенгенската система до края на годината. Сред тези мерки е представянето от Гърция на план за действие за изпълнение на препоръките на Съвета за преодоляване на установените недостатъци в управлението на границите. Настоящият доклад представлява следващ етап от процеса, а именно оценка от Комисията на плана за действие, представен от гръцките органи.   </w:t>
      </w:r>
    </w:p>
    <w:p>
      <w:pPr>
        <w:keepNext/>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Процесът</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 Регламент (ЕС) № 1053/2013 („Регламентът“) се създава механизъм за оценка и наблюдение с цел проверка на прилагането на достиженията на правото от Шенген</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Въз основа на този механизъм ръководени от Комисията екипи, в състава на които влизат експерти от държавите членки и Frontex, извършват предварително обявени и внезапни проверки за оценка в държавите членки. След всяка проверка се изготвя доклад за оценка по Шенген. Ако в този доклад са установени недостатъци в управлението на външните граници, Съветът, по предложение на Комисията, приема препоръки за корективни действия. Когато са установени сериозни недостатъци при осъществяването на граничния контрол на външните граници в доклада за оценка, изготвен съгласно член 14 от Регламент (ЕС) № 1053/2013, и с оглед да се гарантира спазването на препоръките, посочени в член 15 от същия регламент, Комисията може чрез акт за изпълнение да препоръча на оценяваната държава членка да предприеме определени специални мерки (член 19б от Кодекса на шенгенските граници</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 цел механизмът за оценка да бъде максимално ефективен и в съответствие с член 16 от Регламента, оценяваната държава членка трябва да представи на Комисията и на Съвета план за действие за отстраняване на установените недостатъци в срок от три месеца от приемането на препоръката на Съвета</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Комисията следва да представи на Съвета своята оценка относно адекватността на плана за действие, представен от органите на държавата членка, в срок от един месец след получаването на плана за действие. </w:t>
      </w:r>
    </w:p>
    <w:p>
      <w:pPr>
        <w:keepNext/>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Прилагане на процеса по отношение на Гърция</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Този процес вече е в ход по отношение на Гърция след оценка на прилагането на достиженията на правото от Шенген в областта на управлението на външните граници през ноември 2015 г. Докладът за оценка, който се основава на проверки на място и който разкрива сериозни недостатъци при извършването от Гърция на контрол на външните граници, беше приет от Комисията на 2 февруари 2016 г.</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Съветът прие препоръки за корективни действия на 12 февруари 2016 г.</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Тъй като в доклада за оценка бяха установени сериозни недостатъци, на 24 февруари 2016 г. Комисията прие и Решение за изпълнение относно определянето на препоръка за предприемането на конкретни мерки от Република Гърция</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настоящото съобщение е представена оценката на Комисията относно адекватността на плана за действие, представен от гръцките органи на 12 март 2016 г. за отстраняване на сериозните недостатъци, установени в доклада за оценка. Първият доклад за напредъка относно изпълнението на препоръката на Комисията за прилагане на член 19б от Кодекса на шенгенските граници, който Гърция представи на Комисията едновременно с плана за действие на 12 март 2016 г., също е взет предвид в настоящата оценка.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Тъй като ситуацията на място в Гърция се променя непрекъснато, бяха взети под внимание също така и новите събития, като например  изпълнението на важни аспекти от съвместния план за действие между ЕС и Турция и изпълнението и функционирането на подхода на горещите точки в Гърция,</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за които Комисията докладва редовно в съответните доклади за напредъка. Следователно в настоящия доклад се прави оценка на адекватността на представения от гръцките органи план за действие въз основа на наличните факти и той не засяга оценката на втория доклад на гръцките органи, който ще бъде представен в съответствие с член 16, параграф 4 от Регламента.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съобщението на Комисията „Завръщане към Шенгенската система — пътна карта“ бяха обяснени описаният по-горе процес и предприетите до момента действия. В него се отбелязва, че ако миграционният натиск и установените недостатъци в контрола на външните граници продължат да са налице и след 12 май, Комисията ще трябва да представи предложение до Съвета съгласно член 26, параграф 2 от Кодекса на шенгенските граници, в което се съдържа препоръка за съгласуван подход на Съюза по отношение на контрола на вътрешните граници, докато структурните недостатъци при контрола на външните граници намалеят или бъдат коригирани. Комисията потвърждава, че ще бъде подготвена за тази възможност и ще действа незабавно.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Всяко предложение на Комисията съгласно член 26 от Кодекса на шенгенските граници ще бъде само за въвеждане на граничен контрол на вътрешните гранични участъци, на които този контрол би бил необходим и пропорционален, в отговор на установената сериозна заплаха за обществения ред и вътрешната сигурност. Препоръчаният граничен контрол също ще бъде временен и за най-краткия възможен период с цел да се отговори на заплахата.  Както е обяснено допълнително в съобщението на Комисията, озаглавено „Завръщане към Шенгенската система — пътна карта“, ако общата ситуация го позволява, целта следва да бъде да се премахне като цяло граничният контрол по вътрешните граници в рамките на Шенгенското пространство в срок от шест месеца след неговото въвеждане, а именно до средата на ноември 2016 г.</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Накрая, в светлината на посоченото по-горе следва да се припомни, че прилагането на член 26 от Кодекса на шенгенските граници е гаранция за цялостното функциониране на Шенгенското пространство. То не е санкция срещу определена държава членка, нито пък има за цел изключването на някоя държава членка от Шенгенското пространство.</w:t>
      </w:r>
    </w:p>
    <w:p>
      <w:pPr>
        <w:spacing w:after="0" w:line="240" w:lineRule="auto"/>
        <w:jc w:val="both"/>
        <w:rPr>
          <w:rFonts w:ascii="Times New Roman" w:hAnsi="Times New Roman" w:cs="Times New Roman"/>
          <w:noProof/>
          <w:sz w:val="24"/>
          <w:szCs w:val="24"/>
        </w:rPr>
      </w:pPr>
    </w:p>
    <w:p>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noProof/>
          <w:sz w:val="24"/>
          <w:szCs w:val="24"/>
        </w:rPr>
        <w:tab/>
      </w:r>
      <w:r>
        <w:rPr>
          <w:rFonts w:ascii="Times New Roman" w:hAnsi="Times New Roman" w:cs="Times New Roman"/>
          <w:b/>
          <w:noProof/>
          <w:sz w:val="24"/>
          <w:szCs w:val="24"/>
        </w:rPr>
        <w:t>Обща оценка</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Планът за действие, представен от гръцките органи, е в отговор на</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препоръката на Съвета, но когато е уместно, се позовава също и на препоръката на Комисията. В него са представени както корективните действия, които вече са предприети, така и тези, които се предвиждат, с цел изпълнението на тези препоръки.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препоръката на Съвета са изброени 49 точки, обхващащи процедурата за регистриране, наблюдението на границите, анализа на риска, международното сътрудничество, човешките ресурси и тяхното обучение, процедурите за гранична проверка, инфраструктурата и оборудването. Освен това Съветът препоръча на Гърция в по-общ план да предприеме подходящи мерки, за да гарантира, че контрол на външните граници се извършва на всички външни граници на Гърция и че този контрол е в съответствие с достиженията на правото от Шенген, с цел да не бъде застрашено функционирането на Шенгенското пространство.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Съветът посочи, че адекватното функциониране на процедурата за установяване на самоличността и процедурата за регистриране, както и подходящите условия на приемане са наложителни, като се имат предвид последващите вторични движения към други държави членки, които излагат на опасност функционирането на цялото Шенгенско пространство и накараха няколко държави членки да въведат временен контрол по вътрешните си граници. Поради това Съветът изтъкна, че е важно всички установени недостатъци да бъдат отстранени възможно най-бързо, като в тази връзка допълнително уточни приоритети за изпълнението на определени препоръки.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Що се отнася до адекватността на плана за действие, представен от гръцките органи, по отношение на съдържанието, графика и финансирането на предложените действия, Комисията счита, че за  няколко действия са необходими повече информация и/или разяснения с цел да се извършат съответни оценка и наблюдение на своевременните последващи мерки и изпълнение на предложените действия. Тези елементи са необходими също така, за да може се предостави пълна информация на Европейския парламент и Съвета в съответствие с разпоредбите в член 16, параграф 6 от Регламента.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глава 3 от настоящото съобщение се прави обзор на корективните действия, за които Комисията се нуждае от допълнителна информация или разяснения по същество.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графика, финансирането и отговорността за изпълнението на различните действия като цяло, се прави следната обща оценка.</w:t>
      </w:r>
    </w:p>
    <w:p>
      <w:pPr>
        <w:keepNext/>
        <w:spacing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Срок</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Обозначението „в ход“ за редица действия се смята за недостатъчно. За целите на наблюдението следва да се посочат точни срокове за изпълнението на всички предложени действия, по-специално за действия, свързани със закупуването на оборудване (действия 12 и 38), с разработването на специални системи (действия 1—9, доколкото те са свързани със създаването на нова система за картографиране на данните на имигрантите, 12, 15, 35 и 48), с привеждането на инфраструктурата в съответствие с достиженията на правото на ЕС (действие 36) и с планираните дейности за обучение (действия 19, 20 и 29).</w:t>
      </w:r>
    </w:p>
    <w:p>
      <w:pPr>
        <w:keepNext/>
        <w:spacing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Отговорност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плана за действие, представен от гръцките органи, липсва информация за органите, отговорни за изпълнението на някои действия и за надзора на тяхното изпълнение. Той следва да бъде допълнен с информация относно органите, които отговарят за изпълнението на плана за действие като цяло и на отделните действия, както и с информация относно евентуални национални последващи механизми, свързани с изпълнението на действията.  </w:t>
      </w:r>
    </w:p>
    <w:p>
      <w:pPr>
        <w:keepNext/>
        <w:spacing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Финансиране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Въпреки че не съдържа ясен и цялостен план за финансиране, в плана за действие, представен от гръцките органи, се посочва, че няколко ключови действия се изпълняват или се планира да бъдат изпълнени с подкрепата на фонд „Вътрешна сигурност“, както в рамките на гръцката национална програма, така и в рамките на спешната помощ. Гърция трябва да положи допълнителни усилия, за да гарантира, че значителното финансиране, получено чрез инструментите за финансиране на ЕС, по-специално националната програма по фонд „Вътрешна сигурност“, се използва по бърз, ефективен и гъвкав начин. Това изисква допълнително спешно адаптиране на програмата и нейната структура на управление, за да се гарантира, че изпълнението на програмите съответства напълно на настоящите потребности.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член 12 от Регламента за подпомагане за външните граници и визите по фонд „Вътрешна сигурност“</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от приемането на препоръката на Съвета Комисията беше в постоянен контакт с гръцките органи, за да разгледат заедно най-подходящите начини за отстраняване на установените недостатъци и за финансиране на посочените действия.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Незабавното и пълно изпълнение на националната програма по фонд „Вътрешна сигурност“ от страна на гръцките органи е от жизненоважно значение. Вече бяха извършени две плащания по предварителното финансиране в общ размер около 25 милиона евро (през септември 2015 г. и февруари 2016 г.). Това е от пряко значение за изпълнението на препоръката на Съвета, тъй като някои от действията съответстват пряко на набелязаните потребности. Ясен пример в това отношение е разработването на интегрирана система за морско наблюдение, посочена като основен приоритет за финансиране за гръцката брегова охрана (в рамките на национална цел 1 — EUROSUR). Според информацията, предоставена по-рано от гръцките органи, този проект ще струва приблизително 60 милиона евро, от които 75 % ще бъдат съфинансирани от националната програма по фонд „Вътрешна сигурност“. </w:t>
      </w:r>
    </w:p>
    <w:p>
      <w:pPr>
        <w:pStyle w:val="NoSpacing"/>
        <w:spacing w:after="120"/>
        <w:rPr>
          <w:noProof/>
          <w:szCs w:val="24"/>
        </w:rPr>
      </w:pPr>
      <w:r>
        <w:rPr>
          <w:noProof/>
          <w:szCs w:val="24"/>
        </w:rPr>
        <w:t>В този контекст на Гърция се препоръчва да концентрира финансирането в началото на периода, така че през 2016 и 2017 г. по-голямата част от средствата да бъдат разпределени по-специално за специфични цели 2 („Граници“) и 3 („Оперативна помощ — граници“), по-специално чрез изтегляне напред във времето на значителните инвестиции в оборудване за наблюдение на морските граници, първоначално предвидени през 2018 г.</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Предвид на факта, че някои от мерките, предвидени в националната програма, не са толкова спешни, Гърция следва също така да обмисли възможността за ново приоритизиране на някои от мерките по националната програма, включително чрез официално преразглеждане на програмата. Новото приоритизиране следва да има за цел разпределението на средства да се концентрира върху мерките, насочени към задоволяване на най-неотложните потребности, за да се гарантира, че необходимите действия за отстраняване на установените недостатъци са своевременно предприети, като е подходено ефикасно и целесъобразно.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Концентрирането на финансирането в началото на периода и новото приоритизиране на ресурсите от национална програма по фонд „Вътрешна сигурност“ ще намалят, макар и да не отстранят напълно, необходимостта Гърция да прибягва до чести и </w:t>
      </w:r>
      <w:r>
        <w:rPr>
          <w:rFonts w:ascii="Times New Roman" w:hAnsi="Times New Roman" w:cs="Times New Roman"/>
          <w:i/>
          <w:noProof/>
          <w:sz w:val="24"/>
          <w:szCs w:val="24"/>
        </w:rPr>
        <w:t>ad hoc</w:t>
      </w:r>
      <w:r>
        <w:rPr>
          <w:rFonts w:ascii="Times New Roman" w:hAnsi="Times New Roman" w:cs="Times New Roman"/>
          <w:noProof/>
          <w:sz w:val="24"/>
          <w:szCs w:val="24"/>
        </w:rPr>
        <w:t xml:space="preserve"> искания за спешна помощ</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с оглед на рисковете на този подход по отношение на несигурността и липсата на дългосрочно планиране. Този подход не е устойчив. Новият подход ще помогне също така да се постигне пълна допълняемост и съгласуваност на финансираните мерки, както и да се гарантира, че няма припокриване или липса на финансиране.</w:t>
      </w:r>
    </w:p>
    <w:p>
      <w:pPr>
        <w:spacing w:line="240" w:lineRule="auto"/>
        <w:jc w:val="both"/>
        <w:rPr>
          <w:rFonts w:ascii="Times New Roman" w:eastAsia="Times New Roman" w:hAnsi="Times New Roman" w:cs="Times New Roman"/>
          <w:noProof/>
          <w:sz w:val="24"/>
          <w:szCs w:val="24"/>
          <w:highlight w:val="yellow"/>
        </w:rPr>
      </w:pPr>
      <w:r>
        <w:rPr>
          <w:rFonts w:ascii="Times New Roman" w:hAnsi="Times New Roman" w:cs="Times New Roman"/>
          <w:noProof/>
          <w:sz w:val="24"/>
          <w:szCs w:val="24"/>
        </w:rPr>
        <w:t>Тясно свързано с финансирането на някои действия от фонд „Вътрешна сигурност“ е съдействието, което могат да окажат други страни, за да помогнат на Гърция да осъществи корективни действия. Като призна, че затрудненията, които Гърция среща при защитата на външните граници, имат ефект върху Европейския съюз като цяло, в своето съобщение „Завръщане към Шенгенската система — пътна карта“</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Комисията посочи необходимостта другите държави членки, агенциите на ЕС и самата тя да подкрепят Гърция при изпълнението на препоръките, направени от Съвета и от Комисията</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По тази причина в съобщението Гърция се приканва успоредно със своя план за действие да представи ясна „оценка на потребностите“, която ще позволи на другите държави членки, агенциите на ЕС и на Комисията да ѝ предоставят своевременна и целенасочена помощ. При все че Гърция представи оценка на потребностите по отношение на връщането във връзка със споразумението между ЕС и Турция от 18 март 2016 г., Комисията призовава гръцките органи да допълнят тази оценка с подробна и изчерпателна оценка на потребностите, обхващаща всички области, посочени в препоръките на Съвета и Комисията</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noProof/>
          <w:sz w:val="24"/>
          <w:szCs w:val="24"/>
        </w:rPr>
        <w:tab/>
      </w:r>
      <w:r>
        <w:rPr>
          <w:rFonts w:ascii="Times New Roman" w:hAnsi="Times New Roman" w:cs="Times New Roman"/>
          <w:b/>
          <w:noProof/>
          <w:sz w:val="24"/>
          <w:szCs w:val="24"/>
        </w:rPr>
        <w:t>Подробна оценка</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да бъде оценена адекватността на плана за действие, представен от гръцките органи, Комисията счита, че са необходими допълнителна информация и/или разяснения по отношение на корективните действия, изброени по-долу.</w:t>
      </w:r>
    </w:p>
    <w:p>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3.1. Процедура за регистриране</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Препоръки/действия 1 и 2:</w:t>
      </w:r>
      <w:r>
        <w:rPr>
          <w:rFonts w:ascii="Times New Roman" w:hAnsi="Times New Roman" w:cs="Times New Roman"/>
          <w:noProof/>
          <w:sz w:val="24"/>
          <w:szCs w:val="24"/>
        </w:rPr>
        <w:t xml:space="preserve"> засягат включването в документа за „спиране на извеждането“ на задължения, целящи да се предотврати опасността от укриване в съответствие с член 7, параграф 3 от Директивата за връщането</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както и качеството на документите за временен престой и подобренията, които гръцките органи са въвели и изпълнили.</w:t>
      </w:r>
    </w:p>
    <w:p>
      <w:pPr>
        <w:spacing w:line="240" w:lineRule="auto"/>
        <w:jc w:val="both"/>
        <w:rPr>
          <w:rFonts w:ascii="Times New Roman" w:eastAsia="Times New Roman" w:hAnsi="Times New Roman" w:cs="Times New Roman"/>
          <w:b/>
          <w:noProof/>
          <w:sz w:val="24"/>
          <w:szCs w:val="24"/>
          <w:u w:val="single"/>
        </w:rPr>
      </w:pPr>
      <w:r>
        <w:rPr>
          <w:rFonts w:ascii="Times New Roman" w:hAnsi="Times New Roman" w:cs="Times New Roman"/>
          <w:noProof/>
          <w:sz w:val="24"/>
          <w:szCs w:val="24"/>
        </w:rPr>
        <w:t>Съгласно новата процедура за обратно приемане по ускорената процедура, въведена от 20 март 2016 г. с цел прилагане на споразумението между ЕС и Турция, Гърция се насърчава да използва изключението по член 2, параграф 2, буква a) от Директивата за връщането, което означава, че следва да се прилага националната процедура</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Успоредно с това следва вече да не се издават документи за „временен престой“, тъй като по силата на споразумението между ЕС и Турция се смята, че лицата, влизащи в Гърция, подлежат на обратно приемане в Турция след оценка на всеки конкретен случай в съответствие с правото на ЕС и международното право. Вследствие на това предложените корективни действия, свързани с документите за временен престой, вече не са актуални за лицата, които са влезли в Гърция след 20 март. В тази връзка Комисията приканва гръцките органи редовно да предоставят информация относно напредъка по прилагането на споразумението между ЕС и Турция по отношение на приетата процедура за обратно приемане на незаконни мигранти.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Препоръка/действие 3:</w:t>
      </w:r>
      <w:r>
        <w:rPr>
          <w:rFonts w:ascii="Times New Roman" w:hAnsi="Times New Roman" w:cs="Times New Roman"/>
          <w:noProof/>
          <w:sz w:val="24"/>
          <w:szCs w:val="24"/>
        </w:rPr>
        <w:t xml:space="preserve"> по отношение на необходимостта от увеличаване на персонала на гръцката полиция за регистрация, Комисията приканва гръцките органи да предоставят информация относно най-новите действия и планове, като се имат предвид също така ситуацията след споразумението между ЕС и Турция от 18 март и необходимостта от ускоряване на процеса по регистриране с оглед на бързото връщане в Турция на мигрантите, които не са кандидати за международна закрила.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Гърция посочи, че засиленото присъствие на 174 служители на гръцката полиция в горещите точки на островите в Егейско море е осигурено до 30 юни 2016 г. благодарение на спешно финансиране по фонд „Вътрешна сигурност“. Не е ясно обаче как това засилено присъствие на служители на гръцката полиция ще се запази след тази дата. Следва да се поясни дали Гърция ще разгледа възможността за постоянно увеличаване на броя на служителите в горещите точки. С това решение ще бъдат отстранени юридическите пречки, които ограничават срока на командироването до шест месеца, както е посочено в плана за действие, и ще се гарантира, че е налице национален капацитет за реакция в случай на миграционен натиск в бъдеще.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 оглед на актуалните доклади на Frontex относно условията на труд в Кос, не е ясно как Гърция планира да се съобрази с препоръката на Комисията относно необходимостта да се гарантират подходящи материални условия на труд за командированите членове на европейските екипи за гранична охрана в горещите точки (препоръка А 1, буква б). Поради това Комисията не счита това действие за окончателно завършено.</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Препоръка/действие 4:</w:t>
      </w:r>
      <w:r>
        <w:rPr>
          <w:rFonts w:ascii="Times New Roman" w:hAnsi="Times New Roman" w:cs="Times New Roman"/>
          <w:noProof/>
          <w:sz w:val="24"/>
          <w:szCs w:val="24"/>
          <w:u w:val="single"/>
        </w:rPr>
        <w:t xml:space="preserve"> </w:t>
      </w:r>
      <w:r>
        <w:rPr>
          <w:rFonts w:ascii="Times New Roman" w:hAnsi="Times New Roman" w:cs="Times New Roman"/>
          <w:noProof/>
          <w:sz w:val="24"/>
          <w:szCs w:val="24"/>
        </w:rPr>
        <w:t>що се отнася до предоставянето на съоръжения за настаняване на мигрантите по време на процеса по регистриране, искането на Комисията е гръцките органи да предоставят информация относно най-новите планове на Гърция за настаняване на мигрантите, които не са кандидати за международна закрила и които по принцип следва да бъдат върнати в Турция след споразумението между ЕС и Турция от 18 март (например евентуално преобразуване на открити центрове в центрове за задържане).</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При все че Комисията отбелязва напредъка, постигнат в създаването на горещите точки благодарение на намесата на гръцката армия, планът за действие не предоставя достатъчно информация за това как ще бъдат осигурени необходимите условия на приемане в тези съоръжения. По-специално няма информация за това по какъв начин ще бъде осигурено финансирането (национално или от ЕС) за тази цел. </w:t>
      </w:r>
    </w:p>
    <w:p>
      <w:pPr>
        <w:spacing w:line="240" w:lineRule="auto"/>
        <w:jc w:val="both"/>
        <w:rPr>
          <w:rFonts w:ascii="Times New Roman" w:eastAsia="Times New Roman" w:hAnsi="Times New Roman" w:cs="Times New Roman"/>
          <w:b/>
          <w:noProof/>
          <w:sz w:val="24"/>
          <w:szCs w:val="24"/>
          <w:u w:val="single"/>
        </w:rPr>
      </w:pPr>
      <w:r>
        <w:rPr>
          <w:rFonts w:ascii="Times New Roman" w:hAnsi="Times New Roman" w:cs="Times New Roman"/>
          <w:noProof/>
          <w:sz w:val="24"/>
          <w:szCs w:val="24"/>
        </w:rPr>
        <w:t>Що се отнася до посрещането на потребностите на децата и на другите уязвими лица, Комисията посочва, че броят на допълнителните места, заделени за лицата, които попадат в тези групи, в Лесбос (18), Хиос (25) и Кос (32), изглежда недостатъчен предвид на отчетения голям брой лица от тези групи. В другите две горещи точки в Лерос и Самос няма съществуващо или планирано пространство с капацитет за настаняване на групи уязвими лица. В този контекст Комисията не счита това действие за окончателно завършено.</w:t>
      </w:r>
    </w:p>
    <w:p>
      <w:pPr>
        <w:spacing w:line="240" w:lineRule="auto"/>
        <w:jc w:val="both"/>
        <w:rPr>
          <w:rFonts w:ascii="Times New Roman" w:eastAsia="Times New Roman" w:hAnsi="Times New Roman" w:cs="Times New Roman"/>
          <w:b/>
          <w:noProof/>
          <w:sz w:val="24"/>
          <w:szCs w:val="24"/>
          <w:u w:val="single"/>
        </w:rPr>
      </w:pPr>
      <w:r>
        <w:rPr>
          <w:rFonts w:ascii="Times New Roman" w:hAnsi="Times New Roman" w:cs="Times New Roman"/>
          <w:b/>
          <w:noProof/>
          <w:sz w:val="24"/>
          <w:szCs w:val="24"/>
          <w:u w:val="single"/>
        </w:rPr>
        <w:t>Препоръка/действие 5:</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що се отнася до евентуалното закупуване на четци на цяла страница, които ще бъдат използвани за проверка на автентичността на документите за пътуване в процеса на регистриране, планът за действие не предоставя достатъчно информация относно графика и начина на финансиране на тези устройства. Гърция следва първо да обмисли възможността за ново приоритизиране в рамките на своята национална програма по фонд „Вътрешна сигурност“ преди да отправя искания за допълнително финансиране. Следователно Комисията не счита това действие за напълно завършено и призовава Гърция да добави времева рамка за действието в препрограмираната национална програма по фонд „Вътрешна сигурност“.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Препоръка/действие 7:</w:t>
      </w:r>
      <w:r>
        <w:rPr>
          <w:rFonts w:ascii="Times New Roman" w:hAnsi="Times New Roman" w:cs="Times New Roman"/>
          <w:b/>
          <w:noProof/>
          <w:sz w:val="24"/>
          <w:szCs w:val="24"/>
        </w:rPr>
        <w:t xml:space="preserve"> </w:t>
      </w:r>
      <w:r>
        <w:rPr>
          <w:rFonts w:ascii="Times New Roman" w:hAnsi="Times New Roman" w:cs="Times New Roman"/>
          <w:noProof/>
          <w:sz w:val="24"/>
          <w:szCs w:val="24"/>
        </w:rPr>
        <w:t>по отношение на адекватността и достатъчността на капацитета в областта на информационните технологии (ИТ), който е необходим за регистриране на мигрантите в Евродак, гръцките органи посочват, че гръцката полиция понастоящем извършва оценка на потребностите в сътрудничество с Агенцията за информационни системи (eu-LISA) с цел да гарантира адекватния ИТ капацитет на системата. Според прогнозите модернизирането на ИТ системата ще отнеме от четири до пет месеца. Затова Комисията не счита това действие за напълно завършено и настоятелно призовава Гърция да добави подходяща и конкретна времева рамка за модернизиране на ИТ системата. В допълнение Комисията би искала да получи актуална информация относно оценката на потребностите и плановете за развитие за ИТ инфраструктурата за подпомагане на адекватното регистриране на пръстови отпечатъци в Евродак, както беше обсъдено и със съответните служби на Комисията и Агенцията за информационни системи (eu-LISA).</w:t>
      </w:r>
    </w:p>
    <w:p>
      <w:pPr>
        <w:spacing w:line="240" w:lineRule="auto"/>
        <w:jc w:val="both"/>
        <w:rPr>
          <w:rFonts w:ascii="Times New Roman" w:hAnsi="Times New Roman" w:cs="Times New Roman"/>
          <w:i/>
          <w:noProof/>
          <w:sz w:val="24"/>
          <w:szCs w:val="24"/>
        </w:rPr>
      </w:pPr>
      <w:r>
        <w:rPr>
          <w:rFonts w:ascii="Times New Roman" w:hAnsi="Times New Roman" w:cs="Times New Roman"/>
          <w:b/>
          <w:noProof/>
          <w:sz w:val="24"/>
          <w:szCs w:val="24"/>
          <w:u w:val="single"/>
        </w:rPr>
        <w:t>Препоръка/действие 40:</w:t>
      </w:r>
      <w:r>
        <w:rPr>
          <w:rFonts w:ascii="Times New Roman" w:hAnsi="Times New Roman" w:cs="Times New Roman"/>
          <w:noProof/>
          <w:sz w:val="24"/>
          <w:szCs w:val="24"/>
        </w:rPr>
        <w:t xml:space="preserve"> тъй като не е предоставена информация относно корективното действие за осигуряване на адекватен брой терминали Евродак в приемния център във Филакио, тази информация следва да се добави към плана за действие, представен от гръцките органи.</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3.2 Връщане</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Препоръка/действие 10:</w:t>
      </w:r>
      <w:r>
        <w:rPr>
          <w:rFonts w:ascii="Times New Roman" w:hAnsi="Times New Roman" w:cs="Times New Roman"/>
          <w:noProof/>
          <w:sz w:val="24"/>
          <w:szCs w:val="24"/>
        </w:rPr>
        <w:t xml:space="preserve"> по отношение на незабавното стартиране на процедурите за връщане, за които Гърция планира по-тясно сътрудничество с Frontex и турските органи, налице е значително развитие в ситуацията предвид на новата ускорена процедура за обратно приемане и новите политически ангажименти в рамките на споразумението между ЕС и Турция от 18 март 2016 г. В това отношение Гърция следва да опише подробно конкретните правни и оперативни мерки, които са били предприети или ще бъдат предприети за улесняване на връщането в Турция, като в същото време се осигурят гаранции за зачитане на основните права и спазване на правото на ЕС и международното право по време на целия процес. Също така следва да бъде предоставена информация за това колко (допълнителен) персонал е бил използван или е предвиден за организиране на процедурите за връщане, както и какви мерки са били предприети в горещите точки, за да се избегне укриването на незаконни мигранти.</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3.3 Наблюдение на морските граници</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Препоръка/действие 12:</w:t>
      </w:r>
      <w:r>
        <w:rPr>
          <w:rFonts w:ascii="Times New Roman" w:hAnsi="Times New Roman" w:cs="Times New Roman"/>
          <w:noProof/>
          <w:sz w:val="24"/>
          <w:szCs w:val="24"/>
        </w:rPr>
        <w:t xml:space="preserve"> при все че беше даден много информативен отговор относно действието за създаване на цялостна и ефикасна система за брегово наблюдение в дългосрочен план, Гърция не е обяснила достатъчно добре как планираните дейности ще подобрят наблюдението на морските граници в сравнение с настоящото положение и взаимното допълване между новия и съществуващия капацитет.  </w:t>
      </w:r>
    </w:p>
    <w:p>
      <w:pPr>
        <w:spacing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 xml:space="preserve">По отношение на мерките, които ще бъдат финансирани от националната програма по фонд „Вътрешна сигурност“, Гърция все още трябва да предостави информация относно това кога точно ще бъде осигурен по-голям капацитет за наблюдение и кога ще започне съответната процедура за възлагане на обществена поръчка. По-специално, като се има предвид съществената роля на интегрираната система за морско наблюдение (ИСМН) в изпълнението на препоръките, е важно да се изяснят подготвителните етапи за системата (чието изпълнение се предвижда от 2017 г.), и по-специално дали съответните технически спецификации са финализирани и кога ще започне в действителност процедурата за възлагане на обществена поръчка . Предвид на значението на елементите, функциониращи в открито море, които допълват ИСМН, Гърция все още трябва да посочи колко патрулни лодки са предвидени в рамките на националната програма по фонд „Вътрешна сигурност“ и дали планираният брой лодки гарантира достатъчен капацитет за реагиране на всички острови. Що се отнася до активите, за които е предвидено финансиране от специфичните действия на националната програма по фонд „Вътрешна сигурност“ (два крайбрежни патрулни лодки и един термовизионен кораб), Гърция следва да посочи в съответните планирани ориентировъчни срокове кога тези активи ще бъдат доставени и напълно функционални.  </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3.4 Анализ на риска</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Препоръки/действия 15 и 16:</w:t>
      </w:r>
      <w:r>
        <w:rPr>
          <w:rFonts w:ascii="Times New Roman" w:hAnsi="Times New Roman" w:cs="Times New Roman"/>
          <w:noProof/>
          <w:sz w:val="24"/>
          <w:szCs w:val="24"/>
        </w:rPr>
        <w:t xml:space="preserve"> по отношение на предлаганите корективни действия, свързани с разработването на система за анализ на риска на местно равнище и провеждането на дейности за анализ на риска, Комисията би желала да подчертае, че е препоръчително тези мерки да бъдат предприети в съответствие с общия модел за интегриран анализ на риска.</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3.5 </w:t>
      </w:r>
      <w:r>
        <w:rPr>
          <w:rFonts w:ascii="Times New Roman" w:hAnsi="Times New Roman" w:cs="Times New Roman"/>
          <w:b/>
          <w:i/>
          <w:noProof/>
          <w:sz w:val="24"/>
          <w:szCs w:val="24"/>
          <w:u w:val="single"/>
        </w:rPr>
        <w:t>Човешки ресурси и обучение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корективните действия за обучение следва да бъде предоставена информация относно броя на граничните служители, обучени след проверката за оценка през ноември 2015 г., и броя на граничните служители, които ще бъдат обучавани по всяка планирана програма за обучение, както и информация за графика на планираните дейности за обучение (</w:t>
      </w:r>
      <w:r>
        <w:rPr>
          <w:rFonts w:ascii="Times New Roman" w:hAnsi="Times New Roman" w:cs="Times New Roman"/>
          <w:b/>
          <w:noProof/>
          <w:sz w:val="24"/>
          <w:szCs w:val="24"/>
          <w:u w:val="single"/>
        </w:rPr>
        <w:t>препоръки/действия:</w:t>
      </w:r>
      <w:r>
        <w:rPr>
          <w:rFonts w:ascii="Times New Roman" w:hAnsi="Times New Roman" w:cs="Times New Roman"/>
          <w:noProof/>
          <w:sz w:val="24"/>
          <w:szCs w:val="24"/>
        </w:rPr>
        <w:t xml:space="preserve"> </w:t>
      </w:r>
      <w:r>
        <w:rPr>
          <w:rFonts w:ascii="Times New Roman" w:hAnsi="Times New Roman" w:cs="Times New Roman"/>
          <w:b/>
          <w:noProof/>
          <w:sz w:val="24"/>
          <w:szCs w:val="24"/>
        </w:rPr>
        <w:t>16,</w:t>
      </w:r>
      <w:r>
        <w:rPr>
          <w:rFonts w:ascii="Times New Roman" w:hAnsi="Times New Roman" w:cs="Times New Roman"/>
          <w:noProof/>
          <w:sz w:val="24"/>
          <w:szCs w:val="24"/>
        </w:rPr>
        <w:t xml:space="preserve"> </w:t>
      </w:r>
      <w:r>
        <w:rPr>
          <w:rFonts w:ascii="Times New Roman" w:hAnsi="Times New Roman" w:cs="Times New Roman"/>
          <w:b/>
          <w:noProof/>
          <w:sz w:val="24"/>
          <w:szCs w:val="24"/>
        </w:rPr>
        <w:t>17,</w:t>
      </w:r>
      <w:r>
        <w:rPr>
          <w:rFonts w:ascii="Times New Roman" w:hAnsi="Times New Roman" w:cs="Times New Roman"/>
          <w:noProof/>
          <w:sz w:val="24"/>
          <w:szCs w:val="24"/>
        </w:rPr>
        <w:t xml:space="preserve"> </w:t>
      </w:r>
      <w:r>
        <w:rPr>
          <w:rFonts w:ascii="Times New Roman" w:hAnsi="Times New Roman" w:cs="Times New Roman"/>
          <w:b/>
          <w:noProof/>
          <w:sz w:val="24"/>
          <w:szCs w:val="24"/>
        </w:rPr>
        <w:t>19, 20, 21, 29 и 49</w:t>
      </w:r>
      <w:r>
        <w:rPr>
          <w:rFonts w:ascii="Times New Roman" w:hAnsi="Times New Roman" w:cs="Times New Roman"/>
          <w:noProof/>
          <w:sz w:val="24"/>
          <w:szCs w:val="24"/>
        </w:rPr>
        <w:t>).</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3.6 </w:t>
      </w:r>
      <w:r>
        <w:rPr>
          <w:rFonts w:ascii="Times New Roman" w:hAnsi="Times New Roman" w:cs="Times New Roman"/>
          <w:b/>
          <w:i/>
          <w:noProof/>
          <w:sz w:val="24"/>
          <w:szCs w:val="24"/>
          <w:u w:val="single"/>
        </w:rPr>
        <w:t>Процедури за граничен контрол</w:t>
      </w:r>
    </w:p>
    <w:p>
      <w:pP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Що се отнася до корективните действия, свързани с привеждането на процедурите за граничен контрол в съответствие с достиженията на правото на ЕС, за които гръцката полиция е изпратила указания до гранично-пропускателните пунктове, следва да се предостави информация за вида механизъм за надзор/последващи действия, който се използва, за да се провери дали указанията наистина се спазват (</w:t>
      </w:r>
      <w:r>
        <w:rPr>
          <w:rFonts w:ascii="Times New Roman" w:hAnsi="Times New Roman" w:cs="Times New Roman"/>
          <w:b/>
          <w:noProof/>
          <w:sz w:val="24"/>
          <w:szCs w:val="24"/>
          <w:u w:val="single"/>
        </w:rPr>
        <w:t>препоръки/действия:</w:t>
      </w:r>
      <w:r>
        <w:rPr>
          <w:rFonts w:ascii="Times New Roman" w:hAnsi="Times New Roman" w:cs="Times New Roman"/>
          <w:noProof/>
          <w:sz w:val="24"/>
          <w:szCs w:val="24"/>
        </w:rPr>
        <w:t xml:space="preserve"> </w:t>
      </w:r>
      <w:r>
        <w:rPr>
          <w:rFonts w:ascii="Times New Roman" w:hAnsi="Times New Roman" w:cs="Times New Roman"/>
          <w:b/>
          <w:noProof/>
          <w:sz w:val="24"/>
          <w:szCs w:val="24"/>
        </w:rPr>
        <w:t>16,</w:t>
      </w:r>
      <w:r>
        <w:rPr>
          <w:rFonts w:ascii="Times New Roman" w:hAnsi="Times New Roman" w:cs="Times New Roman"/>
          <w:noProof/>
          <w:sz w:val="24"/>
          <w:szCs w:val="24"/>
        </w:rPr>
        <w:t xml:space="preserve"> </w:t>
      </w:r>
      <w:r>
        <w:rPr>
          <w:rFonts w:ascii="Times New Roman" w:hAnsi="Times New Roman" w:cs="Times New Roman"/>
          <w:b/>
          <w:noProof/>
          <w:sz w:val="24"/>
          <w:szCs w:val="24"/>
        </w:rPr>
        <w:t>17,</w:t>
      </w:r>
      <w:r>
        <w:rPr>
          <w:rFonts w:ascii="Times New Roman" w:hAnsi="Times New Roman" w:cs="Times New Roman"/>
          <w:noProof/>
          <w:sz w:val="24"/>
          <w:szCs w:val="24"/>
        </w:rPr>
        <w:t xml:space="preserve"> </w:t>
      </w:r>
      <w:r>
        <w:rPr>
          <w:rFonts w:ascii="Times New Roman" w:hAnsi="Times New Roman" w:cs="Times New Roman"/>
          <w:b/>
          <w:noProof/>
          <w:sz w:val="24"/>
          <w:szCs w:val="24"/>
        </w:rPr>
        <w:t>22, 23, 26, 28, 29, 30, 33 и 49)</w:t>
      </w:r>
      <w:r>
        <w:rPr>
          <w:rFonts w:ascii="Times New Roman" w:hAnsi="Times New Roman" w:cs="Times New Roman"/>
          <w:noProof/>
          <w:sz w:val="24"/>
          <w:szCs w:val="24"/>
        </w:rPr>
        <w:t>.</w:t>
      </w:r>
      <w:r>
        <w:rPr>
          <w:rFonts w:ascii="Times New Roman" w:hAnsi="Times New Roman" w:cs="Times New Roman"/>
          <w:i/>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Препоръка/действие 27:</w:t>
      </w:r>
      <w:r>
        <w:rPr>
          <w:rFonts w:ascii="Times New Roman" w:hAnsi="Times New Roman" w:cs="Times New Roman"/>
          <w:noProof/>
          <w:sz w:val="24"/>
          <w:szCs w:val="24"/>
        </w:rPr>
        <w:t xml:space="preserve"> беше планирано да бъде изпратено през март циркулярно писмо за спиране на „извънредния подход по отношение на корабите за развлечение, идващи от трети държави“ с цел контролът на тези кораби да се приведе в съответствие с Кодекса на шенгенските граници. Комисията е на мнение, че предложеното корективно действие за спиране на извънреден подход — подход, който не е в съответствие с Кодекса на шенгенските граници — не е достатъчно за дългосрочното отстраняване на този недостатък. Извънредният подход следва да бъде премахнат и контролът на корабите за развлечение следва да бъде приведен в съответствие с Кодекса на шенгенските граници.</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Препоръка/действие 37:</w:t>
      </w:r>
      <w:r>
        <w:rPr>
          <w:rFonts w:ascii="Times New Roman" w:hAnsi="Times New Roman" w:cs="Times New Roman"/>
          <w:noProof/>
          <w:sz w:val="24"/>
          <w:szCs w:val="24"/>
        </w:rPr>
        <w:t xml:space="preserve"> Гърция посочи, че са налице административни ограничения в гръцката полиция, както и правно обвързващи задължения, които пречат на препоръчаното преместване на центъра за наблюдение от Неа Виса към регионалния център за интегрирано управление и наблюдение на границите към дирекцията на полицията в Орестиада, въпреки че това ще помогне да се осигури по-всеобхватна картина на положението и ще даде възможност за по-ефективното наблюдение и функциониране на дирекцията на полицията в Орестиада (както и да се спестят човешки ресурси чрез сливането на двата центъра). Комисията приканва Гърция да предостави подробности относно посочените административни ограничения и правно обвързващи задължения.  </w:t>
      </w:r>
    </w:p>
    <w:p>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Препоръка/действие 38:</w:t>
      </w:r>
      <w:r>
        <w:rPr>
          <w:rFonts w:ascii="Times New Roman" w:hAnsi="Times New Roman" w:cs="Times New Roman"/>
          <w:noProof/>
          <w:sz w:val="24"/>
          <w:szCs w:val="24"/>
        </w:rPr>
        <w:t xml:space="preserve"> по отношение на завършването на инсталирането на GPS предаватели в патрулните автомобили или екипи, което ще даде възможност на центъра за наблюдение да следи тяхното местоположение, беше заявено, че проектът е бил блокиран в начален стадий поради финансови и други ограничения и поради това ще бъде изготвено ново проучване за по-добро техническо решение на по-достъпна цена. </w:t>
      </w:r>
    </w:p>
    <w:p>
      <w:pPr>
        <w:widowControl w:val="0"/>
        <w:spacing w:after="0"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hAnsi="Times New Roman" w:cs="Times New Roman"/>
          <w:noProof/>
          <w:sz w:val="24"/>
          <w:szCs w:val="24"/>
        </w:rPr>
        <w:t xml:space="preserve">Комисията желае да получи повече информация относно конкретните ограничения, причините за необходимостта от ново проучване и предвидения срок за неговото започване и приключване. Комисията счита, че обменът на най-добри практики с други държави членки би могъл да бъде по-ефективно решение.  </w:t>
      </w:r>
    </w:p>
    <w:p>
      <w:pPr>
        <w:keepNext/>
        <w:spacing w:line="240" w:lineRule="auto"/>
        <w:jc w:val="both"/>
        <w:rPr>
          <w:rFonts w:ascii="Times New Roman" w:eastAsia="Times New Roman" w:hAnsi="Times New Roman" w:cs="Times New Roman"/>
          <w:b/>
          <w:bCs/>
          <w:i/>
          <w:noProof/>
          <w:sz w:val="24"/>
          <w:szCs w:val="24"/>
        </w:rPr>
      </w:pPr>
      <w:r>
        <w:rPr>
          <w:rFonts w:ascii="Times New Roman" w:hAnsi="Times New Roman" w:cs="Times New Roman"/>
          <w:b/>
          <w:i/>
          <w:noProof/>
          <w:sz w:val="24"/>
          <w:szCs w:val="24"/>
        </w:rPr>
        <w:t>3.7 Инфраструктура и оборудване</w:t>
      </w:r>
    </w:p>
    <w:p>
      <w:pPr>
        <w:spacing w:line="240" w:lineRule="auto"/>
        <w:jc w:val="both"/>
        <w:rPr>
          <w:rFonts w:ascii="Times New Roman" w:eastAsia="Times New Roman" w:hAnsi="Times New Roman" w:cs="Times New Roman"/>
          <w:bCs/>
          <w:noProof/>
          <w:sz w:val="24"/>
          <w:szCs w:val="24"/>
        </w:rPr>
      </w:pPr>
      <w:r>
        <w:rPr>
          <w:rFonts w:ascii="Times New Roman" w:hAnsi="Times New Roman" w:cs="Times New Roman"/>
          <w:b/>
          <w:noProof/>
          <w:sz w:val="24"/>
          <w:szCs w:val="24"/>
          <w:u w:val="single"/>
        </w:rPr>
        <w:t>Препоръка/действие 44:</w:t>
      </w:r>
      <w:r>
        <w:rPr>
          <w:rFonts w:ascii="Times New Roman" w:hAnsi="Times New Roman" w:cs="Times New Roman"/>
          <w:noProof/>
          <w:sz w:val="24"/>
          <w:szCs w:val="24"/>
        </w:rPr>
        <w:t xml:space="preserve"> в плана за действие, представен от гръцките органи, се посочва, че ще бъдат взети „подходящи мерки“ за разширяване на прилагането на проверката по Визовата информационна система с цел първата линия да получава всички данни, съхранявани във Визовата информационна система, за да се улесни проверката на условията за влизане. Следва да се посочи какви мерки ще бъдат предприети и в какъв срок.</w:t>
      </w:r>
    </w:p>
    <w:p>
      <w:pPr>
        <w:keepNext/>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3.8 Обща препоръка</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Препоръка/действие 50:</w:t>
      </w:r>
      <w:r>
        <w:rPr>
          <w:rFonts w:ascii="Times New Roman" w:hAnsi="Times New Roman" w:cs="Times New Roman"/>
          <w:noProof/>
          <w:sz w:val="24"/>
          <w:szCs w:val="24"/>
        </w:rPr>
        <w:t xml:space="preserve"> що се отнася до съответните мерки, които Гърция трябва да  предприеме, за да гарантира, че на всички нейни външни граници се извършва граничен контрол и че този контрол е в съответствие с достиженията на правото от Шенген, Гърция посочи, че ще си сътрудничи тясно с Frontex, за да гарантира, че гражданите на трети държави, намиращи се на границата с бившата югославска република Македония, могат да напуснат територията на Гърция единствено през определените гранично-пропускателни пунктове. Освен това Гърция довършва своята оценка на необходимостта от допълнителен персонал в близост до граничните контролно-пропускателни пунктове.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Вследствие на актуалните събития в региона на Западните Балкани, и по-специално факта, че държавите по маршрута през Западните Балкани следва да сложат край на подхода на масово пропускане на мигранти през територията си към други държави, Frontex  предложи да адаптира своята оперативна подкрепа по гръцката граница с бивша югославска република Македония (и Албания) в рамките на цялостна съвместна операция</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Предвид на критичното положение и изразената от Гърция необходимост от допълнителен персонал в близост до граничните контролно-пропускателни пунктове, Комисията настоятелно приканва Гърция да финализира оценката на потребностите и да отговори положително на предложението на Frontex.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корективните действия, свързани с извършването на по-систематични проверки на мигрантите в континенталната част на страната и в близост до северните граници с цел да се гарантира, че те са регистрирани и тяхната самоличност е проверена — за което бяха изпратени указания от гръцката полиция, следва да се предостави информация за механизма за надзор/последващи действия, който е необходим за проверката на цялостното изпълнение на указанията.</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Що се отнася до информацията относно възможностите за настаняване, която гръцката полиция предоставя на мигрантите, които не пребивават в център за прием/регистрация или в център за задържане, Гърция се приканва да приложи мерките незабавно.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Гърция следва също така да следи ситуацията отблизо, включително всички промени в миграционните маршрути, и да се адаптира съответно с оглед на предприемането на всички необходими мерки, включително мерките, посочени в препоръката на Комисията.</w:t>
      </w:r>
    </w:p>
    <w:p>
      <w:pPr>
        <w:keepNext/>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 </w:t>
      </w:r>
      <w:r>
        <w:rPr>
          <w:rFonts w:ascii="Times New Roman" w:hAnsi="Times New Roman" w:cs="Times New Roman"/>
          <w:noProof/>
          <w:sz w:val="24"/>
          <w:szCs w:val="24"/>
        </w:rPr>
        <w:tab/>
      </w:r>
      <w:r>
        <w:rPr>
          <w:rFonts w:ascii="Times New Roman" w:hAnsi="Times New Roman" w:cs="Times New Roman"/>
          <w:b/>
          <w:noProof/>
          <w:sz w:val="24"/>
          <w:szCs w:val="24"/>
        </w:rPr>
        <w:t>Заключение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оглед на оценката, дадена по-горе, Комисията стига до заключението, че Гърция е отбелязала значителен напредък. Въпреки това са необходими допълнителни подобрения в плана за действие, представен от гръцките органи, с цел намирането на всеобхватно решение на установените недостатъци в оценката от ноември 2015 г. По-специално, по отношение на много действия е необходима повече яснота, по-специално относно графика, отговорността и финансовото планиране. Освен това някои действия все още не може да се считат за адекватни или за завършени. И накрая, по отношение на някои действия са необходими допълнителна информация или разяснения по същество. Комисията приканва Гърция да предостави въпросната допълнителна информация и разяснения до 26 април 2016 г. и е готова във всеки момент да окаже съдействие в духа на съобщението на Комисията „Завръщане към Шенгенската система — пътна карта“. </w:t>
      </w: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ic Roman">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Arabic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SN 28/16.</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 (2016) 120 final от 4.3.2016 г.</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295, 6.11.2013 г., стр. 27.</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562/2006 на Европейския парламент и на Съвета от 15 март 2006 г. за създаване на Кодекс на Общността за режима на движение на лица през границите (Кодекс на шенгенските граници) (ОВ L 105, 13.4.2006 г., стр. 1; Кодификация, публикувана в ОВ L 77, 23.3.2016 г., стр. 1).</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срок от един месец, ако в препоръката на Съвета се заключава, че оценяваната държава членка сериозно пренебрегва своите задължения.</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C(2016) 450.</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Документ 5895/16 на Съвета от 12 февруари 2016 г.</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C(2016) 1219.</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20.5.2014 г., стр. 143) (наричан по-нататък „Регламентът за подпомагане за външните граници и визите по ФВС“).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последната година от началото на миграционната криза Комисията е предоставила около 180 милиона евро спешна помощ в полза на Гърция (пряко на гръцките органи или на международни организации/агенции на ЕС).</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120 от 4 март 2016 г.</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таблицата в приложение II към съобщението на Комисията  „Завръщане към Шенгенската система — пътна карта“ се прави преглед на тези препоръки, по които Комисията и агенциите на ЕС следва да дадат своя принос, за да се гарантира тяхното пълно и навременно изпълнение.</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също така забележките по-долу, свързани с действия 3, 12 и 50.</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случай че Гърция реши да използва изключението съгласно член 2, параграф 2, буква a), равнището на защита на засегнатите лица следва да не е по-малко благоприятно от гаранциите, определени в членовете на Директивата за връщането, свързани с ограниченията на използването на принудителни мерки, отлагането на извеждането, спешните медицински грижи и потребностите на децата и други групи уязвими лица, условията за задържане и спазването на принципа на забрана за връщане, в съответствие с член 4, параграф 4 от тази директива, или гаранциите, предвидени в достиженията на правото на ЕС в областта на убежището, когато е приложимо.</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Писмо от 15 март 2016 г. от г-н Fabrice Leggeri, изпълнителен директор на Frontex, до генералния секретар г-н Tzanetos Fillippakos.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4E39"/>
    <w:multiLevelType w:val="singleLevel"/>
    <w:tmpl w:val="2D6E1B2C"/>
    <w:name w:val="Bullet 3"/>
    <w:lvl w:ilvl="0">
      <w:numFmt w:val="bullet"/>
      <w:lvlText w:val=""/>
      <w:lvlJc w:val="left"/>
      <w:pPr>
        <w:tabs>
          <w:tab w:val="num" w:pos="0"/>
        </w:tabs>
        <w:ind w:left="0" w:firstLine="0"/>
      </w:pPr>
      <w:rPr>
        <w:rFonts w:ascii="Wingdings" w:eastAsia="Wingdings" w:hAnsi="Wingdings" w:cs="Wingdings"/>
      </w:rPr>
    </w:lvl>
  </w:abstractNum>
  <w:abstractNum w:abstractNumId="1">
    <w:nsid w:val="6C066018"/>
    <w:multiLevelType w:val="singleLevel"/>
    <w:tmpl w:val="6A5A92E4"/>
    <w:name w:val="Bullet 1"/>
    <w:lvl w:ilvl="0">
      <w:numFmt w:val="bullet"/>
      <w:lvlText w:val=""/>
      <w:lvlJc w:val="left"/>
      <w:pPr>
        <w:tabs>
          <w:tab w:val="num" w:pos="0"/>
        </w:tabs>
        <w:ind w:left="0" w:firstLine="0"/>
      </w:pPr>
      <w:rPr>
        <w:rFonts w:ascii="Symbol" w:hAnsi="Symbol"/>
      </w:rPr>
    </w:lvl>
  </w:abstractNum>
  <w:abstractNum w:abstractNumId="2">
    <w:nsid w:val="6E405532"/>
    <w:multiLevelType w:val="hybridMultilevel"/>
    <w:tmpl w:val="44E8ECC4"/>
    <w:lvl w:ilvl="0" w:tplc="D6260030">
      <w:numFmt w:val="none"/>
      <w:lvlText w:val=""/>
      <w:lvlJc w:val="left"/>
      <w:pPr>
        <w:tabs>
          <w:tab w:val="num" w:pos="360"/>
        </w:tabs>
        <w:ind w:left="360" w:hanging="360"/>
      </w:pPr>
    </w:lvl>
    <w:lvl w:ilvl="1" w:tplc="8E7E1820">
      <w:numFmt w:val="none"/>
      <w:lvlText w:val=""/>
      <w:lvlJc w:val="left"/>
      <w:pPr>
        <w:tabs>
          <w:tab w:val="num" w:pos="360"/>
        </w:tabs>
        <w:ind w:left="360" w:hanging="360"/>
      </w:pPr>
    </w:lvl>
    <w:lvl w:ilvl="2" w:tplc="C600825C">
      <w:numFmt w:val="none"/>
      <w:lvlText w:val=""/>
      <w:lvlJc w:val="left"/>
      <w:pPr>
        <w:tabs>
          <w:tab w:val="num" w:pos="360"/>
        </w:tabs>
        <w:ind w:left="360" w:hanging="360"/>
      </w:pPr>
    </w:lvl>
    <w:lvl w:ilvl="3" w:tplc="6F848222">
      <w:numFmt w:val="none"/>
      <w:lvlText w:val=""/>
      <w:lvlJc w:val="left"/>
      <w:pPr>
        <w:tabs>
          <w:tab w:val="num" w:pos="360"/>
        </w:tabs>
        <w:ind w:left="360" w:hanging="360"/>
      </w:pPr>
    </w:lvl>
    <w:lvl w:ilvl="4" w:tplc="BAB6539E">
      <w:numFmt w:val="none"/>
      <w:lvlText w:val=""/>
      <w:lvlJc w:val="left"/>
      <w:pPr>
        <w:tabs>
          <w:tab w:val="num" w:pos="360"/>
        </w:tabs>
        <w:ind w:left="360" w:hanging="360"/>
      </w:pPr>
    </w:lvl>
    <w:lvl w:ilvl="5" w:tplc="55341EAC">
      <w:numFmt w:val="none"/>
      <w:lvlText w:val=""/>
      <w:lvlJc w:val="left"/>
      <w:pPr>
        <w:tabs>
          <w:tab w:val="num" w:pos="360"/>
        </w:tabs>
        <w:ind w:left="360" w:hanging="360"/>
      </w:pPr>
    </w:lvl>
    <w:lvl w:ilvl="6" w:tplc="F81AC8FE">
      <w:numFmt w:val="none"/>
      <w:lvlText w:val=""/>
      <w:lvlJc w:val="left"/>
      <w:pPr>
        <w:tabs>
          <w:tab w:val="num" w:pos="360"/>
        </w:tabs>
        <w:ind w:left="360" w:hanging="360"/>
      </w:pPr>
    </w:lvl>
    <w:lvl w:ilvl="7" w:tplc="69E01DFA">
      <w:numFmt w:val="none"/>
      <w:lvlText w:val=""/>
      <w:lvlJc w:val="left"/>
      <w:pPr>
        <w:tabs>
          <w:tab w:val="num" w:pos="360"/>
        </w:tabs>
        <w:ind w:left="360" w:hanging="360"/>
      </w:pPr>
    </w:lvl>
    <w:lvl w:ilvl="8" w:tplc="599E8766">
      <w:numFmt w:val="none"/>
      <w:lvlText w:val=""/>
      <w:lvlJc w:val="left"/>
      <w:pPr>
        <w:tabs>
          <w:tab w:val="num" w:pos="360"/>
        </w:tabs>
        <w:ind w:left="360" w:hanging="360"/>
      </w:pPr>
    </w:lvl>
  </w:abstractNum>
  <w:abstractNum w:abstractNumId="3">
    <w:nsid w:val="704F5979"/>
    <w:multiLevelType w:val="singleLevel"/>
    <w:tmpl w:val="81041204"/>
    <w:name w:val="Bullet 2"/>
    <w:lvl w:ilvl="0">
      <w:numFmt w:val="bullet"/>
      <w:lvlText w:val="o"/>
      <w:lvlJc w:val="left"/>
      <w:pPr>
        <w:tabs>
          <w:tab w:val="num" w:pos="0"/>
        </w:tabs>
        <w:ind w:left="0" w:firstLine="0"/>
      </w:pPr>
      <w:rPr>
        <w:rFonts w:ascii="Courier New" w:hAnsi="Courier New" w:cs="Courier New"/>
      </w:rPr>
    </w:lvl>
  </w:abstractNum>
  <w:abstractNum w:abstractNumId="4">
    <w:nsid w:val="71522856"/>
    <w:multiLevelType w:val="singleLevel"/>
    <w:tmpl w:val="62DE3638"/>
    <w:name w:val="Bullet 4"/>
    <w:lvl w:ilvl="0">
      <w:numFmt w:val="bullet"/>
      <w:lvlText w:val=""/>
      <w:lvlJc w:val="left"/>
      <w:pPr>
        <w:tabs>
          <w:tab w:val="num" w:pos="0"/>
        </w:tabs>
        <w:ind w:left="0" w:firstLine="0"/>
      </w:pPr>
      <w:rPr>
        <w:rFonts w:ascii="Symbol" w:eastAsia="Calibri" w:hAnsi="Symbol"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77225C0F8AA4FD99B1858ED2900FA5B"/>
    <w:docVar w:name="LW_CROSSREFERENCE" w:val="&lt;UNUSED&gt;"/>
    <w:docVar w:name="LW_DocType" w:val="NORMAL"/>
    <w:docVar w:name="LW_EMISSION" w:val="12.4.2016"/>
    <w:docVar w:name="LW_EMISSION_ISODATE" w:val="2016-04-12"/>
    <w:docVar w:name="LW_EMISSION_LOCATION" w:val="STR"/>
    <w:docVar w:name="LW_EMISSION_PREFIX" w:val="Страсбург, "/>
    <w:docVar w:name="LW_EMISSION_SUFFIX" w:val=" \u1075?."/>
    <w:docVar w:name="LW_ID_DOCTYPE_NONLW" w:val="CP-010"/>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20"/>
    <w:docVar w:name="LW_REF.INTERNE" w:val="&lt;UNUSED&gt;"/>
    <w:docVar w:name="LW_SOUS.TITRE.OBJ.CP" w:val="&lt;UNUSED&gt;"/>
    <w:docVar w:name="LW_SUPERTITRE" w:val="&lt;UNUSED&gt;"/>
    <w:docVar w:name="LW_TITRE.OBJ.CP" w:val="\u1054?\u1094?\u1077?\u1085?\u1082?\u1072? \u1085?\u1072? \u1087?\u1083?\u1072?\u1085?\u1072? \u1079?\u1072? \u1076?\u1077?\u1081?\u1089?\u1090?\u1074?\u1080?\u1077? \u1085?\u1072? \u1043?\u1098?\u1088?\u1094?\u1080?\u1103? \u1079?\u1072? \u1086?\u1090?\u1089?\u1090?\u1088?\u1072?\u1085?\u1103?\u1074?\u1072?\u1085?\u1077? \u1085?\u1072? \u1085?\u1077?\u1076?\u1086?\u1089?\u1090?\u1072?\u1090?\u1098?\u1094?\u1080?\u1090?\u1077?, \u1091?\u1089?\u1090?\u1072?\u1085?\u1086?\u1074?\u1077?\u1085?\u1080? \u1074? \u1086?\u1094?\u1077?\u1085?\u1082?\u1072?\u1090?\u1072? \u1079?\u1072? 2015 \u1075?. \u1085?\u1072? \u1087?\u1088?\u1080?\u1083?\u1072?\u1075?\u1072?\u1085?\u1077?\u1090?\u1086? \u1085?\u1072? \u1076?\u1086?\u1089?\u1090?\u1080?\u1078?\u1077?\u1085?\u1080?\u1103?\u1090?\u1072? \u1085?\u1072? \u1087?\u1088?\u1072?\u1074?\u1086?\u1090?\u1086? \u1086?\u1090? \u1064?\u1077?\u1085?\u1075?\u1077?\u1085? \u1074? \u1086?\u1073?\u1083?\u1072?\u1089?\u1090?\u1090?\u1072? \u1085?\u1072? \u1091?\u1087?\u1088?\u1072?\u1074?\u1083?\u1077?\u1085?\u1080?\u1077?\u1090?\u1086? \u1085?\u1072? \u1074?\u1098?\u1085?\u1096?\u1085?\u1080?\u1090?\u1077? \u1075?\u1088?\u1072?\u1085?\u1080?\u1094?\u1080?_x000b_"/>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asic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pacing w:after="0" w:line="240" w:lineRule="auto"/>
    </w:pPr>
    <w:rPr>
      <w:sz w:val="20"/>
      <w:szCs w:val="20"/>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styleId="Header">
    <w:name w:val="header"/>
    <w:basedOn w:val="Normal"/>
    <w:qFormat/>
    <w:pPr>
      <w:tabs>
        <w:tab w:val="center" w:pos="4536"/>
        <w:tab w:val="right" w:pos="9072"/>
      </w:tabs>
      <w:spacing w:after="0" w:line="240" w:lineRule="auto"/>
    </w:pPr>
  </w:style>
  <w:style w:type="paragraph" w:styleId="Footer">
    <w:name w:val="footer"/>
    <w:basedOn w:val="Normal"/>
    <w:qFormat/>
    <w:pPr>
      <w:tabs>
        <w:tab w:val="center" w:pos="4536"/>
        <w:tab w:val="right" w:pos="9072"/>
      </w:tabs>
      <w:spacing w:after="0" w:line="240" w:lineRule="auto"/>
    </w:pPr>
  </w:style>
  <w:style w:type="paragraph" w:customStyle="1" w:styleId="FooterCoverPage">
    <w:name w:val="Footer Cover Page"/>
    <w:basedOn w:val="Normal"/>
    <w:qFormat/>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paragraph" w:customStyle="1" w:styleId="HeaderCoverPage">
    <w:name w:val="Header Cover Page"/>
    <w:basedOn w:val="Normal"/>
    <w:qFormat/>
    <w:pPr>
      <w:tabs>
        <w:tab w:val="center" w:pos="4535"/>
        <w:tab w:val="right" w:pos="9071"/>
      </w:tabs>
      <w:spacing w:after="120" w:line="240" w:lineRule="auto"/>
      <w:jc w:val="both"/>
    </w:pPr>
    <w:rPr>
      <w:rFonts w:ascii="Times New Roman" w:hAnsi="Times New Roman" w:cs="Times New Roman"/>
      <w:sz w:val="24"/>
      <w:szCs w:val="24"/>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CommentText1">
    <w:name w:val="Comment Text1"/>
    <w:basedOn w:val="Normal"/>
    <w:qFormat/>
    <w:pPr>
      <w:spacing w:line="240" w:lineRule="auto"/>
    </w:pPr>
    <w:rPr>
      <w:sz w:val="20"/>
      <w:szCs w:val="20"/>
    </w:rPr>
  </w:style>
  <w:style w:type="paragraph" w:styleId="NoSpacing">
    <w:name w:val="No Spacing"/>
    <w:qFormat/>
    <w:pPr>
      <w:spacing w:after="0" w:line="240" w:lineRule="auto"/>
      <w:jc w:val="both"/>
    </w:pPr>
    <w:rPr>
      <w:rFonts w:ascii="Times New Roman" w:eastAsia="Times New Roman" w:hAnsi="Times New Roman" w:cs="Times New Roman"/>
      <w:sz w:val="24"/>
      <w:szCs w:val="20"/>
    </w:rPr>
  </w:style>
  <w:style w:type="paragraph" w:customStyle="1" w:styleId="CommentSubject1">
    <w:name w:val="Comment Subject1"/>
    <w:basedOn w:val="CommentText1"/>
    <w:next w:val="CommentText1"/>
    <w:qFormat/>
    <w:rPr>
      <w:b/>
      <w:bCs/>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erCoverPageChar">
    <w:name w:val="Footer Cover Page Char"/>
    <w:basedOn w:val="DefaultParagraphFont"/>
    <w:rPr>
      <w:rFonts w:ascii="Times New Roman" w:hAnsi="Times New Roman" w:cs="Times New Roman"/>
      <w:sz w:val="24"/>
      <w:szCs w:val="24"/>
    </w:rPr>
  </w:style>
  <w:style w:type="character" w:customStyle="1" w:styleId="HeaderCoverPageChar">
    <w:name w:val="Header Cover Page Char"/>
    <w:basedOn w:val="DefaultParagraphFont"/>
    <w:rPr>
      <w:rFonts w:ascii="Times New Roman" w:hAnsi="Times New Roman" w:cs="Times New Roman"/>
      <w:sz w:val="24"/>
      <w:szCs w:val="24"/>
    </w:rPr>
  </w:style>
  <w:style w:type="character" w:customStyle="1" w:styleId="BalloonTextChar">
    <w:name w:val="Balloon Text Char"/>
    <w:basedOn w:val="DefaultParagraphFont"/>
    <w:rPr>
      <w:rFonts w:ascii="Tahoma" w:hAnsi="Tahoma" w:cs="Tahoma"/>
      <w:sz w:val="16"/>
      <w:szCs w:val="16"/>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val="0"/>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asic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pacing w:after="0" w:line="240" w:lineRule="auto"/>
    </w:pPr>
    <w:rPr>
      <w:sz w:val="20"/>
      <w:szCs w:val="20"/>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styleId="Header">
    <w:name w:val="header"/>
    <w:basedOn w:val="Normal"/>
    <w:qFormat/>
    <w:pPr>
      <w:tabs>
        <w:tab w:val="center" w:pos="4536"/>
        <w:tab w:val="right" w:pos="9072"/>
      </w:tabs>
      <w:spacing w:after="0" w:line="240" w:lineRule="auto"/>
    </w:pPr>
  </w:style>
  <w:style w:type="paragraph" w:styleId="Footer">
    <w:name w:val="footer"/>
    <w:basedOn w:val="Normal"/>
    <w:qFormat/>
    <w:pPr>
      <w:tabs>
        <w:tab w:val="center" w:pos="4536"/>
        <w:tab w:val="right" w:pos="9072"/>
      </w:tabs>
      <w:spacing w:after="0" w:line="240" w:lineRule="auto"/>
    </w:pPr>
  </w:style>
  <w:style w:type="paragraph" w:customStyle="1" w:styleId="FooterCoverPage">
    <w:name w:val="Footer Cover Page"/>
    <w:basedOn w:val="Normal"/>
    <w:qFormat/>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paragraph" w:customStyle="1" w:styleId="HeaderCoverPage">
    <w:name w:val="Header Cover Page"/>
    <w:basedOn w:val="Normal"/>
    <w:qFormat/>
    <w:pPr>
      <w:tabs>
        <w:tab w:val="center" w:pos="4535"/>
        <w:tab w:val="right" w:pos="9071"/>
      </w:tabs>
      <w:spacing w:after="120" w:line="240" w:lineRule="auto"/>
      <w:jc w:val="both"/>
    </w:pPr>
    <w:rPr>
      <w:rFonts w:ascii="Times New Roman" w:hAnsi="Times New Roman" w:cs="Times New Roman"/>
      <w:sz w:val="24"/>
      <w:szCs w:val="24"/>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CommentText1">
    <w:name w:val="Comment Text1"/>
    <w:basedOn w:val="Normal"/>
    <w:qFormat/>
    <w:pPr>
      <w:spacing w:line="240" w:lineRule="auto"/>
    </w:pPr>
    <w:rPr>
      <w:sz w:val="20"/>
      <w:szCs w:val="20"/>
    </w:rPr>
  </w:style>
  <w:style w:type="paragraph" w:styleId="NoSpacing">
    <w:name w:val="No Spacing"/>
    <w:qFormat/>
    <w:pPr>
      <w:spacing w:after="0" w:line="240" w:lineRule="auto"/>
      <w:jc w:val="both"/>
    </w:pPr>
    <w:rPr>
      <w:rFonts w:ascii="Times New Roman" w:eastAsia="Times New Roman" w:hAnsi="Times New Roman" w:cs="Times New Roman"/>
      <w:sz w:val="24"/>
      <w:szCs w:val="20"/>
    </w:rPr>
  </w:style>
  <w:style w:type="paragraph" w:customStyle="1" w:styleId="CommentSubject1">
    <w:name w:val="Comment Subject1"/>
    <w:basedOn w:val="CommentText1"/>
    <w:next w:val="CommentText1"/>
    <w:qFormat/>
    <w:rPr>
      <w:b/>
      <w:bCs/>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erCoverPageChar">
    <w:name w:val="Footer Cover Page Char"/>
    <w:basedOn w:val="DefaultParagraphFont"/>
    <w:rPr>
      <w:rFonts w:ascii="Times New Roman" w:hAnsi="Times New Roman" w:cs="Times New Roman"/>
      <w:sz w:val="24"/>
      <w:szCs w:val="24"/>
    </w:rPr>
  </w:style>
  <w:style w:type="character" w:customStyle="1" w:styleId="HeaderCoverPageChar">
    <w:name w:val="Header Cover Page Char"/>
    <w:basedOn w:val="DefaultParagraphFont"/>
    <w:rPr>
      <w:rFonts w:ascii="Times New Roman" w:hAnsi="Times New Roman" w:cs="Times New Roman"/>
      <w:sz w:val="24"/>
      <w:szCs w:val="24"/>
    </w:rPr>
  </w:style>
  <w:style w:type="character" w:customStyle="1" w:styleId="BalloonTextChar">
    <w:name w:val="Balloon Text Char"/>
    <w:basedOn w:val="DefaultParagraphFont"/>
    <w:rPr>
      <w:rFonts w:ascii="Tahoma" w:hAnsi="Tahoma" w:cs="Tahoma"/>
      <w:sz w:val="16"/>
      <w:szCs w:val="16"/>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val="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0394">
      <w:bodyDiv w:val="1"/>
      <w:marLeft w:val="0"/>
      <w:marRight w:val="0"/>
      <w:marTop w:val="0"/>
      <w:marBottom w:val="0"/>
      <w:divBdr>
        <w:top w:val="none" w:sz="0" w:space="0" w:color="auto"/>
        <w:left w:val="none" w:sz="0" w:space="0" w:color="auto"/>
        <w:bottom w:val="none" w:sz="0" w:space="0" w:color="auto"/>
        <w:right w:val="none" w:sz="0" w:space="0" w:color="auto"/>
      </w:divBdr>
    </w:div>
    <w:div w:id="414741949">
      <w:bodyDiv w:val="1"/>
      <w:marLeft w:val="0"/>
      <w:marRight w:val="0"/>
      <w:marTop w:val="0"/>
      <w:marBottom w:val="0"/>
      <w:divBdr>
        <w:top w:val="none" w:sz="0" w:space="0" w:color="auto"/>
        <w:left w:val="none" w:sz="0" w:space="0" w:color="auto"/>
        <w:bottom w:val="none" w:sz="0" w:space="0" w:color="auto"/>
        <w:right w:val="none" w:sz="0" w:space="0" w:color="auto"/>
      </w:divBdr>
    </w:div>
    <w:div w:id="4549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CEF5-D5BA-46A0-811C-BAE29D4B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4570</Words>
  <Characters>26462</Characters>
  <Application>Microsoft Office Word</Application>
  <DocSecurity>0</DocSecurity>
  <Lines>433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2016-04-11T08:37:00Z</cp:lastPrinted>
  <dcterms:created xsi:type="dcterms:W3CDTF">2016-04-12T08:46:00Z</dcterms:created>
  <dcterms:modified xsi:type="dcterms:W3CDTF">2016-05-11T08:02:00Z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