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FC" w:rsidRDefault="00AA4789" w:rsidP="00AA4789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7FD0F6D2DDCC4C9B8F4FE25E6D382558" style="width:450.75pt;height:452.25pt">
            <v:imagedata r:id="rId9" o:title=""/>
          </v:shape>
        </w:pict>
      </w:r>
    </w:p>
    <w:p w:rsidR="00DB1AFC" w:rsidRDefault="00DB1AFC">
      <w:pPr>
        <w:rPr>
          <w:noProof/>
        </w:rPr>
        <w:sectPr w:rsidR="00DB1AFC" w:rsidSect="00AA478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AA4789" w:rsidRDefault="00AA4789" w:rsidP="00AA4789">
      <w:pPr>
        <w:pStyle w:val="Typedudocument"/>
        <w:rPr>
          <w:noProof/>
        </w:rPr>
      </w:pPr>
      <w:bookmarkStart w:id="0" w:name="_GoBack"/>
      <w:bookmarkEnd w:id="0"/>
      <w:r w:rsidRPr="00AA4789">
        <w:lastRenderedPageBreak/>
        <w:t>ПРИЛОЖЕНИЕ</w:t>
      </w:r>
    </w:p>
    <w:p w:rsidR="00AA4789" w:rsidRDefault="00AA4789" w:rsidP="00AA4789">
      <w:pPr>
        <w:pStyle w:val="Accompagnant"/>
        <w:rPr>
          <w:noProof/>
        </w:rPr>
      </w:pPr>
      <w:r w:rsidRPr="00AA4789">
        <w:t>към</w:t>
      </w:r>
    </w:p>
    <w:p w:rsidR="00AA4789" w:rsidRDefault="00AA4789" w:rsidP="00AA4789">
      <w:pPr>
        <w:pStyle w:val="Typeacteprincipal"/>
        <w:rPr>
          <w:noProof/>
        </w:rPr>
      </w:pPr>
      <w:r w:rsidRPr="00AA4789">
        <w:t>Предложение за</w:t>
      </w:r>
      <w:r w:rsidRPr="00AA4789">
        <w:br/>
        <w:t>ДИРЕКТИВА НА ЕВРОПЕЙСКИЯ ПАРЛАМЕНТ И НА СЪВЕТА</w:t>
      </w:r>
      <w:r w:rsidRPr="00AA4789">
        <w:br/>
      </w:r>
    </w:p>
    <w:p w:rsidR="00AA4789" w:rsidRDefault="00AA4789" w:rsidP="00AA4789">
      <w:pPr>
        <w:pStyle w:val="Objetacteprincipal"/>
        <w:rPr>
          <w:noProof/>
        </w:rPr>
      </w:pPr>
      <w:r w:rsidRPr="00AA4789">
        <w:t xml:space="preserve">за изменение на Директива 2004/37/ЕО относно защитата на работниците от рискове, свързани с експозицията на </w:t>
      </w:r>
      <w:proofErr w:type="spellStart"/>
      <w:r w:rsidRPr="00AA4789">
        <w:t>канцерогени</w:t>
      </w:r>
      <w:proofErr w:type="spellEnd"/>
      <w:r w:rsidRPr="00AA4789">
        <w:t xml:space="preserve"> или </w:t>
      </w:r>
      <w:proofErr w:type="spellStart"/>
      <w:r w:rsidRPr="00AA4789">
        <w:t>мутагени</w:t>
      </w:r>
      <w:proofErr w:type="spellEnd"/>
      <w:r w:rsidRPr="00AA4789">
        <w:t xml:space="preserve"> по време на работа</w:t>
      </w:r>
    </w:p>
    <w:p w:rsidR="00DB1AFC" w:rsidRDefault="00AA4789">
      <w:pPr>
        <w:jc w:val="center"/>
        <w:rPr>
          <w:b/>
          <w:noProof/>
        </w:rPr>
      </w:pPr>
      <w:r>
        <w:rPr>
          <w:b/>
          <w:noProof/>
        </w:rPr>
        <w:t>ПРИЛОЖЕНИЕ</w:t>
      </w:r>
    </w:p>
    <w:p w:rsidR="00DB1AFC" w:rsidRDefault="00AA4789">
      <w:pPr>
        <w:rPr>
          <w:b/>
          <w:i/>
          <w:noProof/>
          <w:spacing w:val="-2"/>
        </w:rPr>
      </w:pPr>
      <w:r>
        <w:rPr>
          <w:b/>
          <w:noProof/>
          <w:spacing w:val="-2"/>
        </w:rPr>
        <w:t>„Приложение III: Гранични стойности и други пряко свързани разпоредби (член 16)</w:t>
      </w:r>
    </w:p>
    <w:p w:rsidR="00DB1AFC" w:rsidRDefault="00AA4789">
      <w:pPr>
        <w:pStyle w:val="ManualHeading1"/>
        <w:rPr>
          <w:i/>
          <w:noProof/>
        </w:rPr>
      </w:pPr>
      <w:r>
        <w:rPr>
          <w:smallCaps w:val="0"/>
          <w:noProof/>
        </w:rPr>
        <w:t xml:space="preserve">A. </w:t>
      </w:r>
      <w:r>
        <w:rPr>
          <w:smallCaps w:val="0"/>
          <w:noProof/>
        </w:rPr>
        <w:t>ГРАНИЧНИ СТОЙНОСТИ НА ПРОФЕСИОНАЛНА ЕКСПОЗИЦИЯ</w:t>
      </w:r>
    </w:p>
    <w:p w:rsidR="00DB1AFC" w:rsidRDefault="00DB1AFC">
      <w:pPr>
        <w:rPr>
          <w:rFonts w:eastAsia="Times New Roman"/>
          <w:noProof/>
          <w:szCs w:val="24"/>
          <w:lang w:eastAsia="de-DE"/>
        </w:rPr>
      </w:pP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2410"/>
        <w:gridCol w:w="1276"/>
        <w:gridCol w:w="992"/>
        <w:gridCol w:w="992"/>
        <w:gridCol w:w="1799"/>
      </w:tblGrid>
      <w:tr w:rsidR="00DB1AFC">
        <w:trPr>
          <w:trHeight w:val="509"/>
          <w:tblHeader/>
        </w:trPr>
        <w:tc>
          <w:tcPr>
            <w:tcW w:w="1242" w:type="dxa"/>
            <w:vMerge w:val="restart"/>
          </w:tcPr>
          <w:p w:rsidR="00DB1AFC" w:rsidRDefault="00AA4789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CAS № 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1"/>
            </w:r>
            <w:r>
              <w:rPr>
                <w:noProof/>
              </w:rPr>
              <w:t>)</w:t>
            </w:r>
          </w:p>
        </w:tc>
        <w:tc>
          <w:tcPr>
            <w:tcW w:w="1276" w:type="dxa"/>
            <w:vMerge w:val="restart"/>
          </w:tcPr>
          <w:p w:rsidR="00DB1AFC" w:rsidRDefault="00AA4789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ЕО № 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2"/>
            </w:r>
            <w:r>
              <w:rPr>
                <w:noProof/>
              </w:rPr>
              <w:t>)</w:t>
            </w:r>
          </w:p>
        </w:tc>
        <w:tc>
          <w:tcPr>
            <w:tcW w:w="2410" w:type="dxa"/>
            <w:vMerge w:val="restart"/>
          </w:tcPr>
          <w:p w:rsidR="00DB1AFC" w:rsidRDefault="00AA4789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НАИМЕНОВАНИЕ НА АГЕНТА</w:t>
            </w:r>
          </w:p>
        </w:tc>
        <w:tc>
          <w:tcPr>
            <w:tcW w:w="3260" w:type="dxa"/>
            <w:gridSpan w:val="3"/>
          </w:tcPr>
          <w:p w:rsidR="00DB1AFC" w:rsidRDefault="00AA4789">
            <w:pPr>
              <w:jc w:val="center"/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ГРАНИЧНИ СТОЙНОСТИ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3"/>
            </w:r>
            <w:r>
              <w:rPr>
                <w:noProof/>
              </w:rPr>
              <w:t>)</w:t>
            </w:r>
          </w:p>
        </w:tc>
        <w:tc>
          <w:tcPr>
            <w:tcW w:w="1799" w:type="dxa"/>
            <w:vMerge w:val="restart"/>
          </w:tcPr>
          <w:p w:rsidR="00DB1AFC" w:rsidRDefault="00AA4789">
            <w:pPr>
              <w:rPr>
                <w:rFonts w:eastAsia="Times New Roman"/>
                <w:b/>
                <w:noProof/>
                <w:spacing w:val="-6"/>
                <w:szCs w:val="24"/>
              </w:rPr>
            </w:pPr>
            <w:r>
              <w:rPr>
                <w:b/>
                <w:noProof/>
                <w:spacing w:val="-6"/>
                <w:szCs w:val="24"/>
              </w:rPr>
              <w:t>Обозначение</w:t>
            </w:r>
            <w:r>
              <w:rPr>
                <w:noProof/>
                <w:spacing w:val="-6"/>
              </w:rPr>
              <w:t>(</w:t>
            </w:r>
            <w:r>
              <w:rPr>
                <w:rStyle w:val="FootnoteReference"/>
                <w:noProof/>
                <w:spacing w:val="-6"/>
              </w:rPr>
              <w:footnoteReference w:id="4"/>
            </w:r>
            <w:r>
              <w:rPr>
                <w:noProof/>
                <w:spacing w:val="-6"/>
              </w:rPr>
              <w:t>)</w:t>
            </w:r>
          </w:p>
        </w:tc>
      </w:tr>
      <w:tr w:rsidR="00DB1AFC">
        <w:trPr>
          <w:tblHeader/>
        </w:trPr>
        <w:tc>
          <w:tcPr>
            <w:tcW w:w="1242" w:type="dxa"/>
            <w:vMerge/>
          </w:tcPr>
          <w:p w:rsidR="00DB1AFC" w:rsidRDefault="00DB1AFC"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  <w:tc>
          <w:tcPr>
            <w:tcW w:w="1276" w:type="dxa"/>
            <w:vMerge/>
          </w:tcPr>
          <w:p w:rsidR="00DB1AFC" w:rsidRDefault="00DB1AFC"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  <w:tc>
          <w:tcPr>
            <w:tcW w:w="2410" w:type="dxa"/>
            <w:vMerge/>
          </w:tcPr>
          <w:p w:rsidR="00DB1AFC" w:rsidRDefault="00DB1AFC"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  <w:tc>
          <w:tcPr>
            <w:tcW w:w="1276" w:type="dxa"/>
          </w:tcPr>
          <w:p w:rsidR="00DB1AFC" w:rsidRDefault="00AA4789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mg/m</w:t>
            </w:r>
            <w:r>
              <w:rPr>
                <w:b/>
                <w:noProof/>
                <w:szCs w:val="24"/>
                <w:vertAlign w:val="superscript"/>
              </w:rPr>
              <w:t xml:space="preserve">3 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5"/>
            </w:r>
            <w:r>
              <w:rPr>
                <w:noProof/>
              </w:rPr>
              <w:t>)</w:t>
            </w:r>
          </w:p>
        </w:tc>
        <w:tc>
          <w:tcPr>
            <w:tcW w:w="992" w:type="dxa"/>
          </w:tcPr>
          <w:p w:rsidR="00DB1AFC" w:rsidRDefault="00AA4789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 xml:space="preserve">ppm 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6"/>
            </w:r>
            <w:r>
              <w:rPr>
                <w:noProof/>
              </w:rPr>
              <w:t>)</w:t>
            </w:r>
          </w:p>
        </w:tc>
        <w:tc>
          <w:tcPr>
            <w:tcW w:w="992" w:type="dxa"/>
          </w:tcPr>
          <w:p w:rsidR="00DB1AFC" w:rsidRDefault="00AA4789">
            <w:pPr>
              <w:rPr>
                <w:rFonts w:eastAsia="Times New Roman"/>
                <w:b/>
                <w:noProof/>
                <w:szCs w:val="24"/>
              </w:rPr>
            </w:pPr>
            <w:r>
              <w:rPr>
                <w:b/>
                <w:noProof/>
              </w:rPr>
              <w:t>f/ml</w:t>
            </w:r>
            <w:r>
              <w:rPr>
                <w:noProof/>
              </w:rPr>
              <w:t>(</w:t>
            </w:r>
            <w:r>
              <w:rPr>
                <w:rStyle w:val="FootnoteReference"/>
                <w:noProof/>
              </w:rPr>
              <w:footnoteReference w:id="7"/>
            </w:r>
            <w:r>
              <w:rPr>
                <w:noProof/>
              </w:rPr>
              <w:t>)</w:t>
            </w:r>
          </w:p>
        </w:tc>
        <w:tc>
          <w:tcPr>
            <w:tcW w:w="1799" w:type="dxa"/>
            <w:vMerge/>
          </w:tcPr>
          <w:p w:rsidR="00DB1AFC" w:rsidRDefault="00DB1AFC">
            <w:pPr>
              <w:rPr>
                <w:rFonts w:eastAsia="Times New Roman"/>
                <w:b/>
                <w:noProof/>
                <w:szCs w:val="24"/>
                <w:lang w:eastAsia="de-DE"/>
              </w:rPr>
            </w:pPr>
          </w:p>
        </w:tc>
      </w:tr>
      <w:tr w:rsidR="00DB1AFC">
        <w:tc>
          <w:tcPr>
            <w:tcW w:w="124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2410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Прах от твърда дървесина 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3 (</w:t>
            </w:r>
            <w:r>
              <w:rPr>
                <w:rStyle w:val="FootnoteReference"/>
                <w:noProof/>
              </w:rPr>
              <w:footnoteReference w:id="8"/>
            </w:r>
            <w:r>
              <w:rPr>
                <w:noProof/>
              </w:rPr>
              <w:t>)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1799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</w:tr>
      <w:tr w:rsidR="00DB1AFC">
        <w:tc>
          <w:tcPr>
            <w:tcW w:w="124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2410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Хромни(VI) съединения, които са канцерогени по смисъла на член 2, буква а), подточка i) от директивата </w:t>
            </w:r>
          </w:p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(като хром)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0,025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1799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</w:tr>
      <w:tr w:rsidR="00DB1AFC">
        <w:tc>
          <w:tcPr>
            <w:tcW w:w="124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2410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Огнеупорни керамични влакна, </w:t>
            </w:r>
          </w:p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които са канцерогени по смисъла на член 2, буква а), подточка i) от директивата 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0,3</w:t>
            </w:r>
          </w:p>
        </w:tc>
        <w:tc>
          <w:tcPr>
            <w:tcW w:w="1799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</w:tr>
      <w:tr w:rsidR="00DB1AFC">
        <w:tc>
          <w:tcPr>
            <w:tcW w:w="124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2410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Респирабилен прах от кристален силициев диоксид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0,1 (</w:t>
            </w:r>
            <w:r>
              <w:rPr>
                <w:rStyle w:val="FootnoteReference"/>
                <w:noProof/>
              </w:rPr>
              <w:footnoteReference w:id="9"/>
            </w:r>
            <w:r>
              <w:rPr>
                <w:noProof/>
              </w:rPr>
              <w:t>)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1799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</w:tr>
      <w:tr w:rsidR="00DB1AFC">
        <w:tc>
          <w:tcPr>
            <w:tcW w:w="124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71-43-2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200-753-7</w:t>
            </w:r>
          </w:p>
        </w:tc>
        <w:tc>
          <w:tcPr>
            <w:tcW w:w="2410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Бензен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3,25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1799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кожа</w:t>
            </w:r>
          </w:p>
        </w:tc>
      </w:tr>
      <w:tr w:rsidR="00DB1AFC">
        <w:tc>
          <w:tcPr>
            <w:tcW w:w="124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lastRenderedPageBreak/>
              <w:t>75-01-4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200-831-0</w:t>
            </w:r>
          </w:p>
        </w:tc>
        <w:tc>
          <w:tcPr>
            <w:tcW w:w="2410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Мономер винилхлорид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2,6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1799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</w:tr>
      <w:tr w:rsidR="00DB1AFC">
        <w:tc>
          <w:tcPr>
            <w:tcW w:w="124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75-21-8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200-849-9</w:t>
            </w:r>
          </w:p>
        </w:tc>
        <w:tc>
          <w:tcPr>
            <w:tcW w:w="2410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Етиленоксид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1,8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1799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кожа</w:t>
            </w:r>
          </w:p>
        </w:tc>
      </w:tr>
      <w:tr w:rsidR="00DB1AFC">
        <w:tc>
          <w:tcPr>
            <w:tcW w:w="124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hyperlink r:id="rId16" w:history="1">
              <w:r>
                <w:rPr>
                  <w:noProof/>
                </w:rPr>
                <w:t>75-56-9</w:t>
              </w:r>
            </w:hyperlink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200-879-2</w:t>
            </w:r>
          </w:p>
        </w:tc>
        <w:tc>
          <w:tcPr>
            <w:tcW w:w="2410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1,2-епоксипропан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2,4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1 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1799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</w:tr>
      <w:tr w:rsidR="00DB1AFC">
        <w:tc>
          <w:tcPr>
            <w:tcW w:w="124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79-06-1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201-173-7</w:t>
            </w:r>
          </w:p>
        </w:tc>
        <w:tc>
          <w:tcPr>
            <w:tcW w:w="2410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Акриламид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0,1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1799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кожа</w:t>
            </w:r>
          </w:p>
        </w:tc>
      </w:tr>
      <w:tr w:rsidR="00DB1AFC">
        <w:tc>
          <w:tcPr>
            <w:tcW w:w="124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79-46-9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201-209-1</w:t>
            </w:r>
          </w:p>
        </w:tc>
        <w:tc>
          <w:tcPr>
            <w:tcW w:w="2410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2-нитропропан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18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5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1799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</w:tr>
      <w:tr w:rsidR="00DB1AFC">
        <w:tc>
          <w:tcPr>
            <w:tcW w:w="124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95-53-4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202-429-0</w:t>
            </w:r>
          </w:p>
        </w:tc>
        <w:tc>
          <w:tcPr>
            <w:tcW w:w="2410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o</w:t>
            </w:r>
            <w:r>
              <w:rPr>
                <w:noProof/>
              </w:rPr>
              <w:t>-толуидин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0,5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0,1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1799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</w:tr>
      <w:tr w:rsidR="00DB1AFC">
        <w:tc>
          <w:tcPr>
            <w:tcW w:w="124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106-99-0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203-450-8</w:t>
            </w:r>
          </w:p>
        </w:tc>
        <w:tc>
          <w:tcPr>
            <w:tcW w:w="2410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Бута-1,3-диен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2,2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1799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</w:tr>
      <w:tr w:rsidR="00DB1AFC">
        <w:tc>
          <w:tcPr>
            <w:tcW w:w="124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302-01-2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206-114-9</w:t>
            </w:r>
          </w:p>
        </w:tc>
        <w:tc>
          <w:tcPr>
            <w:tcW w:w="2410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Хидразин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0,013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0,01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1799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кожа</w:t>
            </w:r>
          </w:p>
        </w:tc>
      </w:tr>
      <w:tr w:rsidR="00DB1AFC">
        <w:tc>
          <w:tcPr>
            <w:tcW w:w="124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 xml:space="preserve">593-60-2 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209-800-6</w:t>
            </w:r>
          </w:p>
        </w:tc>
        <w:tc>
          <w:tcPr>
            <w:tcW w:w="2410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Бромоетилен</w:t>
            </w:r>
          </w:p>
        </w:tc>
        <w:tc>
          <w:tcPr>
            <w:tcW w:w="1276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4,4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  <w:tc>
          <w:tcPr>
            <w:tcW w:w="1799" w:type="dxa"/>
          </w:tcPr>
          <w:p w:rsidR="00DB1AFC" w:rsidRDefault="00AA4789">
            <w:pPr>
              <w:jc w:val="left"/>
              <w:rPr>
                <w:rFonts w:eastAsia="Times New Roman"/>
                <w:noProof/>
                <w:szCs w:val="24"/>
              </w:rPr>
            </w:pPr>
            <w:r>
              <w:rPr>
                <w:noProof/>
              </w:rPr>
              <w:sym w:font="Symbol" w:char="F02D"/>
            </w:r>
          </w:p>
        </w:tc>
      </w:tr>
    </w:tbl>
    <w:p w:rsidR="00DB1AFC" w:rsidRDefault="00AA4789">
      <w:pPr>
        <w:keepNext/>
        <w:tabs>
          <w:tab w:val="left" w:pos="850"/>
        </w:tabs>
        <w:spacing w:before="360"/>
        <w:ind w:left="850" w:hanging="850"/>
        <w:outlineLvl w:val="0"/>
        <w:rPr>
          <w:b/>
          <w:smallCaps/>
          <w:noProof/>
        </w:rPr>
      </w:pPr>
      <w:r>
        <w:rPr>
          <w:b/>
          <w:smallCaps/>
          <w:noProof/>
        </w:rPr>
        <w:t>Б. ДРУГИ ПРЯКО СВЪРЗАНИ РАЗПОРЕДБИ</w:t>
      </w:r>
    </w:p>
    <w:p w:rsidR="00DB1AFC" w:rsidRDefault="00AA4789">
      <w:pPr>
        <w:pStyle w:val="Text1"/>
        <w:ind w:left="0"/>
        <w:rPr>
          <w:noProof/>
        </w:rPr>
      </w:pPr>
      <w:r>
        <w:rPr>
          <w:noProof/>
        </w:rPr>
        <w:t>pm“</w:t>
      </w:r>
    </w:p>
    <w:p w:rsidR="00DB1AFC" w:rsidRDefault="00DB1AFC">
      <w:pPr>
        <w:rPr>
          <w:noProof/>
        </w:rPr>
      </w:pPr>
    </w:p>
    <w:sectPr w:rsidR="00DB1AFC" w:rsidSect="00AA4789">
      <w:footerReference w:type="default" r:id="rId17"/>
      <w:footerReference w:type="first" r:id="rId18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FC" w:rsidRDefault="00AA4789">
      <w:pPr>
        <w:spacing w:before="0" w:after="0"/>
      </w:pPr>
      <w:r>
        <w:separator/>
      </w:r>
    </w:p>
  </w:endnote>
  <w:endnote w:type="continuationSeparator" w:id="0">
    <w:p w:rsidR="00DB1AFC" w:rsidRDefault="00AA47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89" w:rsidRPr="00AA4789" w:rsidRDefault="00AA4789" w:rsidP="00AA47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AFC" w:rsidRPr="00AA4789" w:rsidRDefault="00AA4789" w:rsidP="00AA4789">
    <w:pPr>
      <w:pStyle w:val="Footer"/>
      <w:rPr>
        <w:rFonts w:ascii="Arial" w:hAnsi="Arial" w:cs="Arial"/>
        <w:b/>
        <w:sz w:val="48"/>
      </w:rPr>
    </w:pPr>
    <w:r w:rsidRPr="00AA4789">
      <w:rPr>
        <w:rFonts w:ascii="Arial" w:hAnsi="Arial" w:cs="Arial"/>
        <w:b/>
        <w:sz w:val="48"/>
      </w:rPr>
      <w:t>BG</w:t>
    </w:r>
    <w:r w:rsidRPr="00AA4789">
      <w:rPr>
        <w:rFonts w:ascii="Arial" w:hAnsi="Arial" w:cs="Arial"/>
        <w:b/>
        <w:sz w:val="48"/>
      </w:rPr>
      <w:tab/>
    </w:r>
    <w:r w:rsidRPr="00AA4789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AA4789">
      <w:tab/>
    </w:r>
    <w:proofErr w:type="spellStart"/>
    <w:r w:rsidRPr="00AA4789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89" w:rsidRPr="00AA4789" w:rsidRDefault="00AA4789" w:rsidP="00AA478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89" w:rsidRPr="00AA4789" w:rsidRDefault="00AA4789" w:rsidP="00AA4789">
    <w:pPr>
      <w:pStyle w:val="Footer"/>
      <w:rPr>
        <w:rFonts w:ascii="Arial" w:hAnsi="Arial" w:cs="Arial"/>
        <w:b/>
        <w:sz w:val="48"/>
      </w:rPr>
    </w:pPr>
    <w:r w:rsidRPr="00AA4789">
      <w:rPr>
        <w:rFonts w:ascii="Arial" w:hAnsi="Arial" w:cs="Arial"/>
        <w:b/>
        <w:sz w:val="48"/>
      </w:rPr>
      <w:t>BG</w:t>
    </w:r>
    <w:r w:rsidRPr="00AA478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AA4789">
      <w:tab/>
    </w:r>
    <w:r w:rsidRPr="00AA4789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89" w:rsidRPr="00AA4789" w:rsidRDefault="00AA4789" w:rsidP="00AA47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FC" w:rsidRDefault="00AA4789">
      <w:pPr>
        <w:spacing w:before="0" w:after="0"/>
      </w:pPr>
      <w:r>
        <w:separator/>
      </w:r>
    </w:p>
  </w:footnote>
  <w:footnote w:type="continuationSeparator" w:id="0">
    <w:p w:rsidR="00DB1AFC" w:rsidRDefault="00AA4789">
      <w:pPr>
        <w:spacing w:before="0" w:after="0"/>
      </w:pPr>
      <w:r>
        <w:continuationSeparator/>
      </w:r>
    </w:p>
  </w:footnote>
  <w:footnote w:id="1">
    <w:p w:rsidR="00DB1AFC" w:rsidRDefault="00AA4789">
      <w:pPr>
        <w:pStyle w:val="FootnoteText"/>
      </w:pPr>
      <w:r>
        <w:rPr>
          <w:rStyle w:val="FootnoteReference"/>
        </w:rPr>
        <w:footnoteRef/>
      </w:r>
      <w:r>
        <w:tab/>
        <w:t>CAS №</w:t>
      </w:r>
      <w:r>
        <w:rPr>
          <w:lang w:val="ru-RU"/>
        </w:rPr>
        <w:t>:</w:t>
      </w:r>
      <w:r>
        <w:t xml:space="preserve"> регистрационен номер на Службата за химични индекси.</w:t>
      </w:r>
    </w:p>
  </w:footnote>
  <w:footnote w:id="2">
    <w:p w:rsidR="00DB1AFC" w:rsidRDefault="00AA4789">
      <w:pPr>
        <w:pStyle w:val="FootnoteText"/>
      </w:pPr>
      <w:r>
        <w:rPr>
          <w:rStyle w:val="FootnoteReference"/>
        </w:rPr>
        <w:footnoteRef/>
      </w:r>
      <w:r>
        <w:tab/>
      </w:r>
      <w:r>
        <w:t>ЕО №, т.е. EINECS, ELINCS или NLP, е официалният номер на веществото в рамките на Европейския съюз, както е определено в част 1, раздел</w:t>
      </w:r>
      <w:r>
        <w:t xml:space="preserve"> 1.</w:t>
      </w:r>
      <w:proofErr w:type="spellStart"/>
      <w:r>
        <w:t>1</w:t>
      </w:r>
      <w:proofErr w:type="spellEnd"/>
      <w:r>
        <w:t>.1.2 от приложение VI към Регламент (ЕО) № 1272/2008.</w:t>
      </w:r>
    </w:p>
  </w:footnote>
  <w:footnote w:id="3">
    <w:p w:rsidR="00DB1AFC" w:rsidRDefault="00AA4789">
      <w:pPr>
        <w:pStyle w:val="FootnoteText"/>
      </w:pPr>
      <w:r>
        <w:rPr>
          <w:rStyle w:val="FootnoteReference"/>
        </w:rPr>
        <w:footnoteRef/>
      </w:r>
      <w:r>
        <w:tab/>
      </w:r>
      <w:r>
        <w:t>Измерени или изчислени по отношение на референтен период от осем часа.</w:t>
      </w:r>
    </w:p>
  </w:footnote>
  <w:footnote w:id="4">
    <w:p w:rsidR="00DB1AFC" w:rsidRDefault="00AA4789">
      <w:pPr>
        <w:pStyle w:val="FootnoteText"/>
      </w:pPr>
      <w:r>
        <w:rPr>
          <w:rStyle w:val="FootnoteReference"/>
        </w:rPr>
        <w:footnoteRef/>
      </w:r>
      <w:r>
        <w:tab/>
      </w:r>
      <w:r>
        <w:t>Възможно е да допринесе в значителна степен за общото натрупване в тялото чрез кожна експозиция.</w:t>
      </w:r>
    </w:p>
  </w:footnote>
  <w:footnote w:id="5">
    <w:p w:rsidR="00DB1AFC" w:rsidRDefault="00AA4789">
      <w:pPr>
        <w:pStyle w:val="FootnoteText"/>
        <w:jc w:val="left"/>
      </w:pPr>
      <w:r>
        <w:rPr>
          <w:rStyle w:val="FootnoteReference"/>
        </w:rPr>
        <w:footnoteRef/>
      </w:r>
      <w:r>
        <w:tab/>
      </w:r>
      <w:proofErr w:type="spellStart"/>
      <w:r>
        <w:t>mg</w:t>
      </w:r>
      <w:proofErr w:type="spellEnd"/>
      <w:r>
        <w:t>/m</w:t>
      </w:r>
      <w:r>
        <w:rPr>
          <w:vertAlign w:val="superscript"/>
        </w:rPr>
        <w:t>3</w:t>
      </w:r>
      <w:r>
        <w:t> = милиграма на куб</w:t>
      </w:r>
      <w:r>
        <w:t>ичен метър въздух при температура 20 °C и 101,3 </w:t>
      </w:r>
      <w:proofErr w:type="spellStart"/>
      <w:r>
        <w:t>kРа</w:t>
      </w:r>
      <w:proofErr w:type="spellEnd"/>
      <w:r>
        <w:t xml:space="preserve"> (760 mm живачен стълб).</w:t>
      </w:r>
    </w:p>
  </w:footnote>
  <w:footnote w:id="6">
    <w:p w:rsidR="00DB1AFC" w:rsidRDefault="00AA4789">
      <w:pPr>
        <w:pStyle w:val="FootnoteText"/>
        <w:jc w:val="left"/>
      </w:pPr>
      <w:r>
        <w:rPr>
          <w:rStyle w:val="FootnoteReference"/>
        </w:rPr>
        <w:footnoteRef/>
      </w:r>
      <w:r>
        <w:tab/>
      </w:r>
      <w:proofErr w:type="spellStart"/>
      <w:r>
        <w:t>ppm</w:t>
      </w:r>
      <w:proofErr w:type="spellEnd"/>
      <w:r>
        <w:t xml:space="preserve"> = части на милион в обем във въздуха (ml/m</w:t>
      </w:r>
      <w:r>
        <w:rPr>
          <w:vertAlign w:val="superscript"/>
        </w:rPr>
        <w:t>3</w:t>
      </w:r>
      <w:r>
        <w:t>).</w:t>
      </w:r>
    </w:p>
  </w:footnote>
  <w:footnote w:id="7">
    <w:p w:rsidR="00DB1AFC" w:rsidRDefault="00AA4789">
      <w:pPr>
        <w:pStyle w:val="FootnoteText"/>
        <w:jc w:val="left"/>
      </w:pPr>
      <w:r>
        <w:rPr>
          <w:rStyle w:val="FootnoteReference"/>
        </w:rPr>
        <w:footnoteRef/>
      </w:r>
      <w:r>
        <w:tab/>
      </w:r>
      <w:r>
        <w:t>f/ml = влакна на милилитър.</w:t>
      </w:r>
    </w:p>
  </w:footnote>
  <w:footnote w:id="8">
    <w:p w:rsidR="00DB1AFC" w:rsidRDefault="00AA4789">
      <w:pPr>
        <w:spacing w:before="0" w:after="0"/>
        <w:ind w:left="720" w:hanging="720"/>
      </w:pPr>
      <w:r>
        <w:rPr>
          <w:rStyle w:val="FootnoteReference"/>
        </w:rPr>
        <w:footnoteRef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Инхалабилна</w:t>
      </w:r>
      <w:proofErr w:type="spellEnd"/>
      <w:r>
        <w:rPr>
          <w:sz w:val="20"/>
          <w:szCs w:val="20"/>
        </w:rPr>
        <w:t xml:space="preserve"> фракция: ако прахът от твърда дървесина са смесени с други видове дървесен прах, гра</w:t>
      </w:r>
      <w:r>
        <w:rPr>
          <w:sz w:val="20"/>
          <w:szCs w:val="20"/>
        </w:rPr>
        <w:t>ничната стойност се прилага по отношение на всички видове дървесен прах, които се намират в сместа.</w:t>
      </w:r>
    </w:p>
  </w:footnote>
  <w:footnote w:id="9">
    <w:p w:rsidR="00DB1AFC" w:rsidRDefault="00AA4789">
      <w:pPr>
        <w:pStyle w:val="FootnoteText"/>
      </w:pPr>
      <w:r>
        <w:rPr>
          <w:rStyle w:val="FootnoteReference"/>
        </w:rPr>
        <w:footnoteRef/>
      </w:r>
      <w:r>
        <w:tab/>
      </w:r>
      <w:proofErr w:type="spellStart"/>
      <w:r>
        <w:t>Респирабилна</w:t>
      </w:r>
      <w:proofErr w:type="spellEnd"/>
      <w:r>
        <w:t xml:space="preserve"> фракция.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89" w:rsidRPr="00AA4789" w:rsidRDefault="00AA4789" w:rsidP="00AA47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89" w:rsidRPr="00AA4789" w:rsidRDefault="00AA4789" w:rsidP="00AA47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89" w:rsidRPr="00AA4789" w:rsidRDefault="00AA4789" w:rsidP="00AA47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8C6AD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A8022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16A7F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E3C630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0601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CA410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BEC9B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BA608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5-13 10:45:2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1"/>
    <w:docVar w:name="DQCStatus" w:val="Yellow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7FD0F6D2DDCC4C9B8F4FE25E6D382558"/>
    <w:docVar w:name="LW_CROSSREFERENCE" w:val="{SWD(2016) 152 final}_x000b_{SWD(2016) 153 final}"/>
    <w:docVar w:name="LW_DocType" w:val="ANNEX"/>
    <w:docVar w:name="LW_EMISSION" w:val="13.5.2016"/>
    <w:docVar w:name="LW_EMISSION_ISODATE" w:val="2016-05-13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0?\u1079?\u1084?\u1077?\u1085?\u1077?\u1085?\u1080?\u1077? \u1085?\u1072? \u1044?\u1080?\u1088?\u1077?\u1082?\u1090?\u1080?\u1074?\u1072? 2004/37/\u1045?\u1054? \u1086?\u1090?\u1085?\u1086?\u1089?\u1085?\u1086? \u1079?\u1072?\u1097?\u1080?\u1090?\u1072?\u1090?\u1072? \u1085?\u1072? \u1088?\u1072?\u1073?\u1086?\u1090?\u1085?\u1080?\u1094?\u1080?\u1090?\u1077? \u1086?\u1090? \u1088?\u1080?\u1089?\u1082?\u1086?\u1074?\u1077?, \u1089?\u1074?\u1098?\u1088?\u1079?\u1072?\u1085?\u1080? \u1089? \u1077?\u1082?\u1089?\u1087?\u1086?\u1079?\u1080?\u1094?\u1080?\u1103?\u1090?\u1072? \u1085?\u1072? \u1082?\u1072?\u1085?\u1094?\u1077?\u1088?\u1086?\u1075?\u1077?\u1085?\u1080? \u1080?\u1083?\u1080? \u1084?\u1091?\u1090?\u1072?\u1075?\u1077?\u1085?\u1080? \u1087?\u1086? \u1074?\u1088?\u1077?\u1084?\u1077? \u1085?\u1072? \u1088?\u1072?\u1073?\u1086?\u1090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6) 248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_x000b_\u1044?\u1048?\u1056?\u1045?\u1050?\u1058?\u1048?\u1042?\u1040? \u1053?\u1040? \u1045?\u1042?\u1056?\u1054?\u1055?\u1045?\u1049?\u1057?\u1050?\u1048?\u1071? \u1055?\u1040?\u1056?\u1051?\u1040?\u1052?\u1045?\u1053?\u1058? \u1048? \u1053?\u1040? \u1057?\u1066?\u1042?\u1045?\u1058?\u1040?_x000b_"/>
  </w:docVars>
  <w:rsids>
    <w:rsidRoot w:val="00DB1AFC"/>
    <w:rsid w:val="00AA4789"/>
    <w:rsid w:val="00DB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4789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A478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A4789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4789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A478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A4789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tools.wmflabs.org/magnustools/cas.php?cas=75-56-9&amp;language=fr&amp;title=Oxyde_de_propyl.C3.A8n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F3FB3-18BF-4C85-A85D-D527A1E4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225</Words>
  <Characters>1087</Characters>
  <Application>Microsoft Office Word</Application>
  <DocSecurity>0</DocSecurity>
  <Lines>145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SUBHAN Marie Olga (EMPL)</dc:creator>
  <cp:lastModifiedBy>JANSEN Colette (SG)</cp:lastModifiedBy>
  <cp:revision>9</cp:revision>
  <cp:lastPrinted>2016-04-28T13:30:00Z</cp:lastPrinted>
  <dcterms:created xsi:type="dcterms:W3CDTF">2016-05-12T14:08:00Z</dcterms:created>
  <dcterms:modified xsi:type="dcterms:W3CDTF">2016-05-13T09:26:00Z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