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23" w:rsidRDefault="00EB5296">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79236B16E0348C9A1B556DB5D96375A" style="width:450.25pt;height:321.3pt">
            <v:imagedata r:id="rId9" o:title=""/>
          </v:shape>
        </w:pict>
      </w:r>
    </w:p>
    <w:bookmarkEnd w:id="0"/>
    <w:p w:rsidR="001A0123" w:rsidRDefault="001A0123">
      <w:pPr>
        <w:spacing w:before="120" w:after="120" w:line="240" w:lineRule="auto"/>
        <w:rPr>
          <w:noProof/>
        </w:rPr>
        <w:sectPr w:rsidR="001A012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1A0123" w:rsidRDefault="00EB5296">
      <w:pPr>
        <w:pStyle w:val="Heading1"/>
        <w:keepLines w:val="0"/>
        <w:spacing w:before="240" w:after="240" w:line="240" w:lineRule="auto"/>
        <w:rPr>
          <w:rFonts w:ascii="Times New Roman" w:hAnsi="Times New Roman"/>
          <w:smallCaps/>
          <w:noProof/>
          <w:color w:val="auto"/>
          <w:sz w:val="24"/>
          <w:szCs w:val="24"/>
        </w:rPr>
      </w:pPr>
      <w:r>
        <w:rPr>
          <w:rFonts w:ascii="Times New Roman" w:hAnsi="Times New Roman"/>
          <w:smallCaps/>
          <w:noProof/>
          <w:color w:val="auto"/>
          <w:sz w:val="24"/>
        </w:rPr>
        <w:lastRenderedPageBreak/>
        <w:t>I.</w:t>
      </w:r>
      <w:r>
        <w:rPr>
          <w:noProof/>
        </w:rPr>
        <w:tab/>
      </w:r>
      <w:r>
        <w:rPr>
          <w:rFonts w:ascii="Times New Roman" w:hAnsi="Times New Roman"/>
          <w:smallCaps/>
          <w:noProof/>
          <w:color w:val="auto"/>
          <w:sz w:val="24"/>
        </w:rPr>
        <w:t>Въведение</w:t>
      </w:r>
    </w:p>
    <w:p w:rsidR="001A0123" w:rsidRDefault="00EB5296">
      <w:pPr>
        <w:pStyle w:val="Default"/>
        <w:spacing w:before="120" w:after="120"/>
        <w:jc w:val="both"/>
        <w:rPr>
          <w:noProof/>
        </w:rPr>
      </w:pPr>
      <w:r>
        <w:rPr>
          <w:noProof/>
        </w:rPr>
        <w:t xml:space="preserve">Реципрочността в премахването на визите е принцип на общата визова политика на ЕС и </w:t>
      </w:r>
      <w:r>
        <w:rPr>
          <w:noProof/>
        </w:rPr>
        <w:t>цел, към която Съюзът следва да се стреми дейно в своите отношения с трети държави, като по този начин допринася за повишаването на авторитета и последователността на външните отношения на Съюза.</w:t>
      </w:r>
      <w:r>
        <w:rPr>
          <w:rFonts w:ascii="EUAlbertina" w:hAnsi="EUAlbertina"/>
          <w:noProof/>
          <w:sz w:val="19"/>
        </w:rPr>
        <w:t xml:space="preserve"> </w:t>
      </w:r>
      <w:r>
        <w:rPr>
          <w:noProof/>
        </w:rPr>
        <w:t>Този принцип означава, че при вземането на решение относно п</w:t>
      </w:r>
      <w:r>
        <w:rPr>
          <w:noProof/>
        </w:rPr>
        <w:t xml:space="preserve">ремахването на изискването за виза за гражданите на трета държава ЕС взема предвид дали тази трета държава предоставя реципрочно премахване на визите за гражданите на </w:t>
      </w:r>
      <w:r>
        <w:rPr>
          <w:i/>
          <w:noProof/>
        </w:rPr>
        <w:t>всички</w:t>
      </w:r>
      <w:r>
        <w:rPr>
          <w:noProof/>
        </w:rPr>
        <w:t xml:space="preserve"> държави членки. В това отношение следва да се отбележи, че Обединеното кралство и </w:t>
      </w:r>
      <w:r>
        <w:rPr>
          <w:noProof/>
        </w:rPr>
        <w:t>Ирландия не участват в развитието на общата визова политика</w:t>
      </w:r>
      <w:r>
        <w:rPr>
          <w:rStyle w:val="FootnoteReference"/>
          <w:noProof/>
        </w:rPr>
        <w:footnoteReference w:id="1"/>
      </w:r>
      <w:r>
        <w:rPr>
          <w:noProof/>
        </w:rPr>
        <w:t>. От 2001 г. насам са създадени различни механизми съгласно правото на ЕО/ЕС с мерки, които следва да бъдат взети в случаи на липса на реципрочност. С активната подкрепа на Комисията случаите на л</w:t>
      </w:r>
      <w:r>
        <w:rPr>
          <w:noProof/>
        </w:rPr>
        <w:t xml:space="preserve">ипса на реципрочност, за които бяха нотифицирани осем трети държави, в преобладаващото си мнозинство са отстранени. </w:t>
      </w:r>
    </w:p>
    <w:p w:rsidR="001A0123" w:rsidRDefault="00EB5296">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В последния доклад</w:t>
      </w:r>
      <w:r>
        <w:rPr>
          <w:rStyle w:val="FootnoteReference"/>
          <w:rFonts w:ascii="Times New Roman" w:hAnsi="Times New Roman"/>
          <w:noProof/>
          <w:sz w:val="24"/>
        </w:rPr>
        <w:footnoteReference w:id="2"/>
      </w:r>
      <w:r>
        <w:rPr>
          <w:rFonts w:ascii="Times New Roman" w:hAnsi="Times New Roman"/>
          <w:noProof/>
          <w:sz w:val="24"/>
        </w:rPr>
        <w:t xml:space="preserve"> за оценка на положението на липса на реципрочност с някои трети държави в областта на визовата политика, приет от Комис</w:t>
      </w:r>
      <w:r>
        <w:rPr>
          <w:rFonts w:ascii="Times New Roman" w:hAnsi="Times New Roman"/>
          <w:noProof/>
          <w:sz w:val="24"/>
        </w:rPr>
        <w:t>ията през ноември миналата година, бяха посочени четири държави, с които липсата на реципрочност продължава да съществува: Бруней по отношение на Хърватия; Канада по отношение на България и Румъния; Япония по отношение на Румъния; и Съединените американски</w:t>
      </w:r>
      <w:r>
        <w:rPr>
          <w:rFonts w:ascii="Times New Roman" w:hAnsi="Times New Roman"/>
          <w:noProof/>
          <w:sz w:val="24"/>
        </w:rPr>
        <w:t xml:space="preserve"> щати (САЩ) по отношение на България, Кипър, Полша, Румъния и Хърватия. В настоящото съобщение се прави преглед на развитието от ноември 2015 г. насам.</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Ако съответната трета държава не отмени изискването за виза до12 април 2016 г., Регламент (ЕО) № 539/200</w:t>
      </w:r>
      <w:r>
        <w:rPr>
          <w:rFonts w:ascii="Times New Roman" w:hAnsi="Times New Roman"/>
          <w:noProof/>
          <w:sz w:val="24"/>
        </w:rPr>
        <w:t>1 на Съвета от 15 март 2001 г., изменен с Регламент (ЕС) № 1289/2013 на Европейския парламент и на Съвета от 11 декември 2013 г.,</w:t>
      </w:r>
      <w:r>
        <w:rPr>
          <w:rStyle w:val="FootnoteReference"/>
          <w:rFonts w:ascii="Times New Roman" w:hAnsi="Times New Roman"/>
          <w:noProof/>
          <w:sz w:val="24"/>
        </w:rPr>
        <w:footnoteReference w:id="3"/>
      </w:r>
      <w:r>
        <w:rPr>
          <w:rFonts w:ascii="Times New Roman" w:hAnsi="Times New Roman"/>
          <w:noProof/>
          <w:sz w:val="24"/>
        </w:rPr>
        <w:t xml:space="preserve"> (наричан по-долу „Регламентът“) задължава Комисията да приеме делегиран акт, с който за срок от 12 месеца се суспендира према</w:t>
      </w:r>
      <w:r>
        <w:rPr>
          <w:rFonts w:ascii="Times New Roman" w:hAnsi="Times New Roman"/>
          <w:noProof/>
          <w:sz w:val="24"/>
        </w:rPr>
        <w:t xml:space="preserve">хването на визите за гражданите на тази трета държава. Регламентът изисква също Комисията да вземе предвид последиците от суспендирането на премахването на визите за външните отношения на ЕС и неговите държави членки. В същия дух 21 държави членки заявиха </w:t>
      </w:r>
      <w:r>
        <w:rPr>
          <w:rFonts w:ascii="Times New Roman" w:hAnsi="Times New Roman"/>
          <w:noProof/>
          <w:sz w:val="24"/>
        </w:rPr>
        <w:t>при приемането на Регламента, че „</w:t>
      </w:r>
      <w:r>
        <w:rPr>
          <w:rFonts w:ascii="Times New Roman" w:hAnsi="Times New Roman"/>
          <w:i/>
          <w:noProof/>
          <w:sz w:val="24"/>
        </w:rPr>
        <w:t>съответните институции на Съюза са задължени, преди всяко предложение или решение, да разгледат задълбочено и да вземат предвид възможните неблагоприятни политически последици, които биха могли да произтекат от тези предло</w:t>
      </w:r>
      <w:r>
        <w:rPr>
          <w:rFonts w:ascii="Times New Roman" w:hAnsi="Times New Roman"/>
          <w:i/>
          <w:noProof/>
          <w:sz w:val="24"/>
        </w:rPr>
        <w:t>жения или решения</w:t>
      </w:r>
      <w:r>
        <w:rPr>
          <w:rFonts w:ascii="Times New Roman" w:hAnsi="Times New Roman"/>
          <w:noProof/>
          <w:sz w:val="24"/>
        </w:rPr>
        <w:t xml:space="preserve">“. </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 цел да се гарантира пълното участие на Европейския парламент и на Съвета при прилагането на механизма за реципрочност и предвид особено чувствителния политически характер на суспендирането на премахването на визите, в настоящото съобщение се оценяват пос</w:t>
      </w:r>
      <w:r>
        <w:rPr>
          <w:rFonts w:ascii="Times New Roman" w:hAnsi="Times New Roman"/>
          <w:noProof/>
          <w:sz w:val="24"/>
        </w:rPr>
        <w:t xml:space="preserve">ледиците и въздействието на суспендирането на премахването на визите за гражданите на засегнатите трети държави. </w:t>
      </w:r>
    </w:p>
    <w:p w:rsidR="001A0123" w:rsidRDefault="00EB5296">
      <w:pPr>
        <w:pStyle w:val="Heading1"/>
        <w:keepLines w:val="0"/>
        <w:spacing w:before="240" w:after="240" w:line="240" w:lineRule="auto"/>
        <w:rPr>
          <w:rFonts w:ascii="Times New Roman" w:hAnsi="Times New Roman"/>
          <w:smallCaps/>
          <w:noProof/>
          <w:color w:val="auto"/>
          <w:sz w:val="24"/>
          <w:szCs w:val="24"/>
        </w:rPr>
      </w:pPr>
      <w:r>
        <w:rPr>
          <w:rFonts w:ascii="Times New Roman" w:hAnsi="Times New Roman"/>
          <w:smallCaps/>
          <w:noProof/>
          <w:color w:val="auto"/>
          <w:sz w:val="24"/>
        </w:rPr>
        <w:lastRenderedPageBreak/>
        <w:t>II.</w:t>
      </w:r>
      <w:r>
        <w:rPr>
          <w:noProof/>
        </w:rPr>
        <w:tab/>
      </w:r>
      <w:r>
        <w:rPr>
          <w:rFonts w:ascii="Times New Roman" w:hAnsi="Times New Roman"/>
          <w:smallCaps/>
          <w:noProof/>
          <w:color w:val="auto"/>
          <w:sz w:val="24"/>
        </w:rPr>
        <w:t>Настоящият механизъм за реципрочност, създаден по силата на Регламента</w:t>
      </w:r>
    </w:p>
    <w:p w:rsidR="001A0123" w:rsidRDefault="00EB5296">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Механизмът за реципрочност, приет като компромис от законодателите </w:t>
      </w:r>
      <w:r>
        <w:rPr>
          <w:rFonts w:ascii="Times New Roman" w:hAnsi="Times New Roman"/>
          <w:noProof/>
          <w:sz w:val="24"/>
        </w:rPr>
        <w:t>през 2013 г., се състои от различни стъпки, като се започне с нотификация от държава членка, в случай че трета държава, ползваща се с безвизов режим, запазва или въвежда изискването за виза за гражданите на една или повече държави членки, и нейното публику</w:t>
      </w:r>
      <w:r>
        <w:rPr>
          <w:rFonts w:ascii="Times New Roman" w:hAnsi="Times New Roman"/>
          <w:noProof/>
          <w:sz w:val="24"/>
        </w:rPr>
        <w:t xml:space="preserve">ване в </w:t>
      </w:r>
      <w:r>
        <w:rPr>
          <w:rFonts w:ascii="Times New Roman" w:hAnsi="Times New Roman"/>
          <w:i/>
          <w:noProof/>
          <w:sz w:val="24"/>
        </w:rPr>
        <w:t>Официален вестник</w:t>
      </w:r>
      <w:r>
        <w:rPr>
          <w:rStyle w:val="FootnoteReference"/>
          <w:rFonts w:ascii="Times New Roman" w:hAnsi="Times New Roman"/>
          <w:noProof/>
          <w:sz w:val="24"/>
        </w:rPr>
        <w:footnoteReference w:id="4"/>
      </w:r>
      <w:r>
        <w:rPr>
          <w:rFonts w:ascii="Times New Roman" w:hAnsi="Times New Roman"/>
          <w:noProof/>
          <w:sz w:val="24"/>
        </w:rPr>
        <w:t xml:space="preserve">. </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Съгласно Регламента</w:t>
      </w:r>
      <w:r>
        <w:rPr>
          <w:rStyle w:val="FootnoteReference"/>
          <w:rFonts w:ascii="Times New Roman" w:hAnsi="Times New Roman"/>
          <w:noProof/>
          <w:sz w:val="24"/>
        </w:rPr>
        <w:footnoteReference w:id="5"/>
      </w:r>
      <w:r>
        <w:rPr>
          <w:rFonts w:ascii="Times New Roman" w:hAnsi="Times New Roman"/>
          <w:noProof/>
          <w:sz w:val="24"/>
        </w:rPr>
        <w:t xml:space="preserve">, непосредствено след датата на публикуването в </w:t>
      </w:r>
      <w:r>
        <w:rPr>
          <w:rFonts w:ascii="Times New Roman" w:hAnsi="Times New Roman"/>
          <w:i/>
          <w:noProof/>
          <w:sz w:val="24"/>
        </w:rPr>
        <w:t>Официален вестник</w:t>
      </w:r>
      <w:r>
        <w:rPr>
          <w:rFonts w:ascii="Times New Roman" w:hAnsi="Times New Roman"/>
          <w:noProof/>
          <w:sz w:val="24"/>
        </w:rPr>
        <w:t xml:space="preserve"> Комисията трябва да предприеме мерки съвместно с органите на въпросната трета държава, по-конкретно в политическата, икономическата и търговск</w:t>
      </w:r>
      <w:r>
        <w:rPr>
          <w:rFonts w:ascii="Times New Roman" w:hAnsi="Times New Roman"/>
          <w:noProof/>
          <w:sz w:val="24"/>
        </w:rPr>
        <w:t xml:space="preserve">ата област, за възстановяване на безвизов режим на пътуване за гражданите на съответната държава членка. Предприети бяха контакти с всички трети държави, нотифицирани от държавите членки. </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Ако съответната трета държава не отмени изискването за виза, Комиси</w:t>
      </w:r>
      <w:r>
        <w:rPr>
          <w:rFonts w:ascii="Times New Roman" w:hAnsi="Times New Roman"/>
          <w:noProof/>
          <w:sz w:val="24"/>
        </w:rPr>
        <w:t>ята, не по-късно от шест месеца от датата на публикуване на нотификациите на държави членки, а след това на редовни интервали от не повече от шест месеца, трябва или да приеме акт за изпълнение, с който временно се суспендира прилагането на премахването на</w:t>
      </w:r>
      <w:r>
        <w:rPr>
          <w:rFonts w:ascii="Times New Roman" w:hAnsi="Times New Roman"/>
          <w:noProof/>
          <w:sz w:val="24"/>
        </w:rPr>
        <w:t xml:space="preserve"> визите за някои категории граждани на съответната трета държава за срок до шест месеца, или представя доклад с оценка на положението, в който посочва основанията за своето решение да не суспендира прилагането на това премахване.</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 пое инициативата</w:t>
      </w:r>
      <w:r>
        <w:rPr>
          <w:rFonts w:ascii="Times New Roman" w:hAnsi="Times New Roman"/>
          <w:noProof/>
          <w:sz w:val="24"/>
        </w:rPr>
        <w:t xml:space="preserve"> за организирането на редовни „тристранни срещи“ между третата държава, съответната държава членка (или държави членки) и Комисията. Като взе предвид ангажимента за участие на държавите членки и третите държави в тези срещи, вероятните неблагоприятни после</w:t>
      </w:r>
      <w:r>
        <w:rPr>
          <w:rFonts w:ascii="Times New Roman" w:hAnsi="Times New Roman"/>
          <w:noProof/>
          <w:sz w:val="24"/>
        </w:rPr>
        <w:t>дици от суспендирането на премахването на визите и факта, че никоя от засегнатите държави членки не поиска от Комисията да приеме мерки за суспендиране, Комисията не предложи подобни мерки и прие три доклада</w:t>
      </w:r>
      <w:r>
        <w:rPr>
          <w:rStyle w:val="FootnoteReference"/>
          <w:rFonts w:ascii="Times New Roman" w:hAnsi="Times New Roman"/>
          <w:noProof/>
          <w:sz w:val="24"/>
        </w:rPr>
        <w:footnoteReference w:id="6"/>
      </w:r>
      <w:r>
        <w:rPr>
          <w:rFonts w:ascii="Times New Roman" w:hAnsi="Times New Roman"/>
          <w:noProof/>
          <w:sz w:val="24"/>
        </w:rPr>
        <w:t xml:space="preserve"> през първия етап на механизма. </w:t>
      </w:r>
    </w:p>
    <w:p w:rsidR="001A0123" w:rsidRDefault="00EB5296">
      <w:pPr>
        <w:pStyle w:val="Default"/>
        <w:spacing w:before="120" w:after="120"/>
        <w:jc w:val="both"/>
        <w:rPr>
          <w:rFonts w:ascii="EUAlbertina" w:hAnsi="EUAlbertina" w:cs="EUAlbertina"/>
          <w:noProof/>
        </w:rPr>
      </w:pPr>
      <w:r>
        <w:rPr>
          <w:noProof/>
        </w:rPr>
        <w:t xml:space="preserve">В съответствие </w:t>
      </w:r>
      <w:r>
        <w:rPr>
          <w:noProof/>
        </w:rPr>
        <w:t>със следващия етап на процедурата</w:t>
      </w:r>
      <w:r>
        <w:rPr>
          <w:rStyle w:val="FootnoteReference"/>
          <w:noProof/>
        </w:rPr>
        <w:footnoteReference w:id="7"/>
      </w:r>
      <w:r>
        <w:rPr>
          <w:noProof/>
        </w:rPr>
        <w:t>, ако в рамките на 24 месеца от датата на публикуване на нотификациите съответната трета държава не отмени изискването за виза, Регламентът изисква Комисията да приеме делегиран акт за временно суспендиране за срок от 12 м</w:t>
      </w:r>
      <w:r>
        <w:rPr>
          <w:noProof/>
        </w:rPr>
        <w:t xml:space="preserve">есеца на премахването на визите за гражданите на тази трета държава. </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Регламентът определя подробно параметрите на суспендирането. То е за срок от 12 месеца и важи за всички граждани на съответната трета държава</w:t>
      </w:r>
      <w:r>
        <w:rPr>
          <w:rStyle w:val="FootnoteReference"/>
          <w:rFonts w:ascii="Times New Roman" w:hAnsi="Times New Roman"/>
          <w:noProof/>
          <w:sz w:val="24"/>
        </w:rPr>
        <w:footnoteReference w:id="8"/>
      </w:r>
      <w:r>
        <w:rPr>
          <w:rFonts w:ascii="Times New Roman" w:hAnsi="Times New Roman"/>
          <w:noProof/>
          <w:sz w:val="24"/>
        </w:rPr>
        <w:t>. Суспендирането трябва да влезе в сила в ср</w:t>
      </w:r>
      <w:r>
        <w:rPr>
          <w:rFonts w:ascii="Times New Roman" w:hAnsi="Times New Roman"/>
          <w:noProof/>
          <w:sz w:val="24"/>
        </w:rPr>
        <w:t xml:space="preserve">ок от 90 дни от датата на влизане в сила на делегирания акт. </w:t>
      </w:r>
    </w:p>
    <w:p w:rsidR="001A0123" w:rsidRDefault="00EB5296">
      <w:pPr>
        <w:spacing w:before="120" w:after="120" w:line="240" w:lineRule="auto"/>
        <w:jc w:val="both"/>
        <w:rPr>
          <w:rFonts w:ascii="Times New Roman" w:eastAsia="Arial Unicode MS" w:hAnsi="Times New Roman" w:cs="Times New Roman"/>
          <w:noProof/>
          <w:sz w:val="24"/>
          <w:szCs w:val="24"/>
          <w:shd w:val="clear" w:color="auto" w:fill="FFFFFF"/>
        </w:rPr>
      </w:pPr>
      <w:r>
        <w:rPr>
          <w:rFonts w:ascii="Times New Roman" w:hAnsi="Times New Roman"/>
          <w:noProof/>
          <w:sz w:val="24"/>
        </w:rPr>
        <w:t xml:space="preserve">Делегираният акт (т.е. суспендирането на освобождаването от виза) влиза в сила единствено ако нито Европейският парламент, нито Съветът са представили </w:t>
      </w:r>
      <w:r>
        <w:rPr>
          <w:rFonts w:ascii="Times New Roman" w:hAnsi="Times New Roman"/>
          <w:noProof/>
          <w:sz w:val="24"/>
        </w:rPr>
        <w:lastRenderedPageBreak/>
        <w:t>възражения в срок от четири месеца след нот</w:t>
      </w:r>
      <w:r>
        <w:rPr>
          <w:rFonts w:ascii="Times New Roman" w:hAnsi="Times New Roman"/>
          <w:noProof/>
          <w:sz w:val="24"/>
        </w:rPr>
        <w:t>ифицирането на акта или ако преди изтичането на този срок и двете институции са уведомили Комисията, че няма да представят възражения. Този четиримесечен срок се удължава с два месеца, ако бъде поискано от законодателя. С други думи решението в крайна смет</w:t>
      </w:r>
      <w:r>
        <w:rPr>
          <w:rFonts w:ascii="Times New Roman" w:hAnsi="Times New Roman"/>
          <w:noProof/>
          <w:sz w:val="24"/>
        </w:rPr>
        <w:t xml:space="preserve">ка ще бъде взето от Европейския парламент и/или Съвета. </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Регламентът</w:t>
      </w:r>
      <w:r>
        <w:rPr>
          <w:rStyle w:val="FootnoteReference"/>
          <w:rFonts w:ascii="Times New Roman" w:hAnsi="Times New Roman"/>
          <w:noProof/>
          <w:sz w:val="24"/>
        </w:rPr>
        <w:footnoteReference w:id="9"/>
      </w:r>
      <w:r>
        <w:rPr>
          <w:rFonts w:ascii="Times New Roman" w:hAnsi="Times New Roman"/>
          <w:noProof/>
          <w:sz w:val="24"/>
        </w:rPr>
        <w:t xml:space="preserve"> предвижда, че Европейският парламент или Съветът могат да оттеглят по всяко време делегирането на правомощия на Комисията. Това изисква решение, взето с абсолютно мнозинство от членовете</w:t>
      </w:r>
      <w:r>
        <w:rPr>
          <w:rFonts w:ascii="Times New Roman" w:hAnsi="Times New Roman"/>
          <w:noProof/>
          <w:sz w:val="24"/>
        </w:rPr>
        <w:t xml:space="preserve"> на Европейския парламент, и/или решение, взето с квалифицирано мнозинство в Съвета.</w:t>
      </w:r>
    </w:p>
    <w:p w:rsidR="001A0123" w:rsidRDefault="00EB5296">
      <w:pPr>
        <w:pStyle w:val="Heading1"/>
        <w:keepLines w:val="0"/>
        <w:spacing w:before="240" w:after="240" w:line="240" w:lineRule="auto"/>
        <w:rPr>
          <w:rFonts w:ascii="Times New Roman" w:hAnsi="Times New Roman"/>
          <w:smallCaps/>
          <w:noProof/>
          <w:color w:val="auto"/>
          <w:sz w:val="24"/>
          <w:szCs w:val="24"/>
        </w:rPr>
      </w:pPr>
      <w:r>
        <w:rPr>
          <w:rFonts w:ascii="Times New Roman" w:hAnsi="Times New Roman"/>
          <w:smallCaps/>
          <w:noProof/>
          <w:color w:val="auto"/>
          <w:sz w:val="24"/>
        </w:rPr>
        <w:t>III.</w:t>
      </w:r>
      <w:r>
        <w:rPr>
          <w:noProof/>
        </w:rPr>
        <w:tab/>
      </w:r>
      <w:r>
        <w:rPr>
          <w:rFonts w:ascii="Times New Roman" w:hAnsi="Times New Roman"/>
          <w:smallCaps/>
          <w:noProof/>
          <w:color w:val="auto"/>
          <w:sz w:val="24"/>
        </w:rPr>
        <w:t>Развитие след приемането на третия доклад за оценка на положението на липса на реципрочност с някои трети държави</w:t>
      </w:r>
    </w:p>
    <w:p w:rsidR="001A0123" w:rsidRDefault="00EB5296">
      <w:pPr>
        <w:keepNext/>
        <w:spacing w:before="120" w:after="120" w:line="240" w:lineRule="auto"/>
        <w:ind w:left="360"/>
        <w:jc w:val="both"/>
        <w:rPr>
          <w:rFonts w:ascii="Times New Roman" w:hAnsi="Times New Roman" w:cs="Times New Roman"/>
          <w:b/>
          <w:i/>
          <w:noProof/>
          <w:sz w:val="24"/>
          <w:szCs w:val="24"/>
        </w:rPr>
      </w:pPr>
      <w:r>
        <w:rPr>
          <w:rFonts w:ascii="Times New Roman" w:hAnsi="Times New Roman"/>
          <w:b/>
          <w:i/>
          <w:noProof/>
          <w:sz w:val="24"/>
        </w:rPr>
        <w:t>а.</w:t>
      </w:r>
      <w:r>
        <w:rPr>
          <w:rFonts w:ascii="Times New Roman" w:hAnsi="Times New Roman"/>
          <w:b/>
          <w:i/>
          <w:noProof/>
          <w:sz w:val="24"/>
        </w:rPr>
        <w:tab/>
        <w:t>Япония (нотификация от Румъния)</w:t>
      </w:r>
    </w:p>
    <w:p w:rsidR="001A0123" w:rsidRDefault="00EB5296">
      <w:pPr>
        <w:spacing w:before="120" w:after="120" w:line="240" w:lineRule="auto"/>
        <w:jc w:val="both"/>
        <w:rPr>
          <w:rFonts w:ascii="Times New Roman" w:hAnsi="Times New Roman" w:cs="Times New Roman"/>
          <w:b/>
          <w:noProof/>
          <w:sz w:val="24"/>
          <w:szCs w:val="24"/>
        </w:rPr>
      </w:pPr>
      <w:r>
        <w:rPr>
          <w:rFonts w:ascii="Times New Roman" w:hAnsi="Times New Roman"/>
          <w:noProof/>
          <w:sz w:val="24"/>
        </w:rPr>
        <w:t xml:space="preserve">Япония официално уведоми Министерството на външните работи на Румъния на 17 декември 2015 г., че безвизовият статут на румънските граждани, включително притежателите на временни паспорти, е удължен до 31 декември 2018 г. </w:t>
      </w:r>
      <w:r>
        <w:rPr>
          <w:rFonts w:ascii="Times New Roman" w:hAnsi="Times New Roman"/>
          <w:b/>
          <w:noProof/>
          <w:sz w:val="24"/>
        </w:rPr>
        <w:t xml:space="preserve">Така Комисията отбелязва, че до 31 </w:t>
      </w:r>
      <w:r>
        <w:rPr>
          <w:rFonts w:ascii="Times New Roman" w:hAnsi="Times New Roman"/>
          <w:b/>
          <w:noProof/>
          <w:sz w:val="24"/>
        </w:rPr>
        <w:t xml:space="preserve">декември 2018 г. с Япония е осигурено пълно премахване на визите. </w:t>
      </w:r>
    </w:p>
    <w:p w:rsidR="001A0123" w:rsidRDefault="00EB5296">
      <w:pPr>
        <w:keepNext/>
        <w:spacing w:before="120" w:after="120" w:line="240" w:lineRule="auto"/>
        <w:ind w:left="360"/>
        <w:jc w:val="both"/>
        <w:rPr>
          <w:rFonts w:ascii="Times New Roman" w:hAnsi="Times New Roman" w:cs="Times New Roman"/>
          <w:b/>
          <w:i/>
          <w:noProof/>
          <w:sz w:val="24"/>
          <w:szCs w:val="24"/>
        </w:rPr>
      </w:pPr>
      <w:r>
        <w:rPr>
          <w:rFonts w:ascii="Times New Roman" w:hAnsi="Times New Roman"/>
          <w:b/>
          <w:i/>
          <w:noProof/>
          <w:sz w:val="24"/>
        </w:rPr>
        <w:t>б.</w:t>
      </w:r>
      <w:r>
        <w:rPr>
          <w:rFonts w:ascii="Times New Roman" w:hAnsi="Times New Roman"/>
          <w:b/>
          <w:i/>
          <w:noProof/>
          <w:sz w:val="24"/>
        </w:rPr>
        <w:tab/>
        <w:t>Бруней (нотификация от Хърватия)</w:t>
      </w:r>
    </w:p>
    <w:p w:rsidR="001A0123" w:rsidRDefault="00EB5296">
      <w:pPr>
        <w:spacing w:before="120" w:after="120" w:line="240" w:lineRule="auto"/>
        <w:jc w:val="both"/>
        <w:rPr>
          <w:rFonts w:ascii="Times New Roman" w:hAnsi="Times New Roman" w:cs="Times New Roman"/>
          <w:b/>
          <w:noProof/>
          <w:sz w:val="24"/>
          <w:szCs w:val="24"/>
        </w:rPr>
      </w:pPr>
      <w:r>
        <w:rPr>
          <w:rFonts w:ascii="Times New Roman" w:hAnsi="Times New Roman"/>
          <w:noProof/>
          <w:sz w:val="24"/>
        </w:rPr>
        <w:t>В третият доклад се посочва, че Бруней нотифицира Комисията, че на хърватските граждани, както и на гражданите на Лихтенщайн е предоставено освобождаване</w:t>
      </w:r>
      <w:r>
        <w:rPr>
          <w:rFonts w:ascii="Times New Roman" w:hAnsi="Times New Roman"/>
          <w:noProof/>
          <w:sz w:val="24"/>
        </w:rPr>
        <w:t xml:space="preserve"> от изискването за виза за престой до 90 дни. Тези решения обаче все още не бяха приложени към момента на приемането на доклада. Оттогава Комисията и Европейската служба за външна дейност поискаха няколко пъти от Бруней да въведе премахването на визите, да</w:t>
      </w:r>
      <w:r>
        <w:rPr>
          <w:rFonts w:ascii="Times New Roman" w:hAnsi="Times New Roman"/>
          <w:noProof/>
          <w:sz w:val="24"/>
        </w:rPr>
        <w:t xml:space="preserve"> актуализира съответните свои уебсайтове и да информира IATA за промяната. Комисията получи положителни сигнали при тези контакти. Съвсем неотдавна, на 6 април 2016 г., мисията на Бруней към ЕС информира Комисията в писмена форма, че премахването на визите</w:t>
      </w:r>
      <w:r>
        <w:rPr>
          <w:rFonts w:ascii="Times New Roman" w:hAnsi="Times New Roman"/>
          <w:noProof/>
          <w:sz w:val="24"/>
        </w:rPr>
        <w:t xml:space="preserve"> ще започне да се прилага на практика до няколко седмици. </w:t>
      </w:r>
    </w:p>
    <w:p w:rsidR="001A0123" w:rsidRDefault="00EB5296">
      <w:pPr>
        <w:keepNext/>
        <w:spacing w:before="120" w:after="120" w:line="240" w:lineRule="auto"/>
        <w:ind w:left="360"/>
        <w:jc w:val="both"/>
        <w:rPr>
          <w:rFonts w:ascii="Times New Roman" w:hAnsi="Times New Roman" w:cs="Times New Roman"/>
          <w:b/>
          <w:i/>
          <w:noProof/>
          <w:sz w:val="24"/>
          <w:szCs w:val="24"/>
        </w:rPr>
      </w:pPr>
      <w:r>
        <w:rPr>
          <w:rFonts w:ascii="Times New Roman" w:hAnsi="Times New Roman"/>
          <w:b/>
          <w:i/>
          <w:noProof/>
          <w:sz w:val="24"/>
        </w:rPr>
        <w:t>в.</w:t>
      </w:r>
      <w:r>
        <w:rPr>
          <w:rFonts w:ascii="Times New Roman" w:hAnsi="Times New Roman"/>
          <w:b/>
          <w:i/>
          <w:noProof/>
          <w:sz w:val="24"/>
        </w:rPr>
        <w:tab/>
        <w:t>Канада (нотификация от България и Румъния)</w:t>
      </w:r>
    </w:p>
    <w:p w:rsidR="001A0123" w:rsidRDefault="00EB5296">
      <w:pPr>
        <w:spacing w:before="120" w:after="120" w:line="240" w:lineRule="auto"/>
        <w:jc w:val="both"/>
        <w:rPr>
          <w:rFonts w:ascii="Times New Roman" w:hAnsi="Times New Roman" w:cs="Times New Roman"/>
          <w:noProof/>
          <w:color w:val="000000"/>
          <w:sz w:val="24"/>
          <w:szCs w:val="24"/>
        </w:rPr>
      </w:pPr>
      <w:r>
        <w:rPr>
          <w:rFonts w:ascii="Times New Roman" w:hAnsi="Times New Roman"/>
          <w:noProof/>
          <w:sz w:val="24"/>
        </w:rPr>
        <w:t>На 6 април 2016 г. се проведе четвърта тристранна среща. На срещата Канада разясни, че на 15 март 2016 г. електронното разрешение за пътуване (еРП) е с</w:t>
      </w:r>
      <w:r>
        <w:rPr>
          <w:rFonts w:ascii="Times New Roman" w:hAnsi="Times New Roman"/>
          <w:noProof/>
          <w:sz w:val="24"/>
        </w:rPr>
        <w:t>танало задължително за всички безвизово пътуващи. Въпреки това, за да се улесни плавният преход, е предвиден период на „снизходителност“ до 29 септември 2016 г.</w:t>
      </w:r>
      <w:r>
        <w:rPr>
          <w:rFonts w:ascii="Times New Roman" w:hAnsi="Times New Roman"/>
          <w:noProof/>
          <w:color w:val="000000"/>
          <w:sz w:val="24"/>
        </w:rPr>
        <w:t xml:space="preserve"> </w:t>
      </w:r>
    </w:p>
    <w:p w:rsidR="001A0123" w:rsidRDefault="00EB5296">
      <w:pPr>
        <w:spacing w:before="120"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Канада потвърди отново ангажимента си за продължаване на еРП по отношение на българските и рум</w:t>
      </w:r>
      <w:r>
        <w:rPr>
          <w:rFonts w:ascii="Times New Roman" w:hAnsi="Times New Roman"/>
          <w:noProof/>
          <w:color w:val="000000"/>
          <w:sz w:val="24"/>
        </w:rPr>
        <w:t>ънските граждани, които са пътували с виза до Канада през предходните десет години или които притежават валидно неимигрантско еРП за САЩ, след  като системата за еРП вече е устойчива и напълно функционираща. Все още не е определена дата за това разширение.</w:t>
      </w:r>
      <w:r>
        <w:rPr>
          <w:rFonts w:ascii="Times New Roman" w:hAnsi="Times New Roman"/>
          <w:noProof/>
          <w:color w:val="000000"/>
          <w:sz w:val="24"/>
        </w:rPr>
        <w:t xml:space="preserve"> </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 срещата Канада предостави също актуализирана информация относно процента на нарушаване на имиграционните закони и процента на отказите за издаване на виза, които са два основни показателя за премахването на визите, определени в уредбата на канадската </w:t>
      </w:r>
      <w:r>
        <w:rPr>
          <w:rFonts w:ascii="Times New Roman" w:hAnsi="Times New Roman" w:cs="Times New Roman"/>
          <w:noProof/>
          <w:sz w:val="24"/>
          <w:szCs w:val="24"/>
        </w:rPr>
        <w:t>визова политика. И за България, и за Румъния през последните 3 години процентът на отказите за издаване на виза по-специално продължава да е значително над изисквания</w:t>
      </w:r>
      <w:r>
        <w:rPr>
          <w:rFonts w:ascii="Times New Roman" w:hAnsi="Times New Roman"/>
          <w:noProof/>
          <w:sz w:val="24"/>
        </w:rPr>
        <w:t xml:space="preserve"> праг от 4 % (средната стойност за 2013—2015 г. е около 16 % и за двете държави). По отнош</w:t>
      </w:r>
      <w:r>
        <w:rPr>
          <w:rFonts w:ascii="Times New Roman" w:hAnsi="Times New Roman"/>
          <w:noProof/>
          <w:sz w:val="24"/>
        </w:rPr>
        <w:t>ение на процента на нарушаване на имиграционните закони, за който прагът е 3 % средна стойност за 3 години, и двете държави членки се представят сравнително по-добре (2013—2015 г.): България: 4,3 %; Румъния: 2,5 %. Освен това Канада съобщи, че с цел да съб</w:t>
      </w:r>
      <w:r>
        <w:rPr>
          <w:rFonts w:ascii="Times New Roman" w:hAnsi="Times New Roman"/>
          <w:noProof/>
          <w:sz w:val="24"/>
        </w:rPr>
        <w:t>ере повече информация относно определени области (например издаване на документи за пътуване и документи за легитимация; интеграция на ромите; управлението на границите и борбата срещу корупцията) има предложение за извършването на технически/експертни пос</w:t>
      </w:r>
      <w:r>
        <w:rPr>
          <w:rFonts w:ascii="Times New Roman" w:hAnsi="Times New Roman"/>
          <w:noProof/>
          <w:sz w:val="24"/>
        </w:rPr>
        <w:t xml:space="preserve">ещения в идните месеци и в двете държави членки. При все че това не следва да се разглежда като официален „визов преглед“, подобни експертни мисии ще спомогнат за изграждането на доверие и ще способстват за определянето от страна на канадските експерти на </w:t>
      </w:r>
      <w:r>
        <w:rPr>
          <w:rFonts w:ascii="Times New Roman" w:hAnsi="Times New Roman"/>
          <w:noProof/>
          <w:sz w:val="24"/>
        </w:rPr>
        <w:t>специфичните рискове, свързани с премахването на визите, и възможностите за тяхното намаляване.</w:t>
      </w:r>
    </w:p>
    <w:p w:rsidR="001A0123" w:rsidRDefault="00EB5296">
      <w:pPr>
        <w:spacing w:before="120" w:after="120" w:line="240" w:lineRule="auto"/>
        <w:jc w:val="both"/>
        <w:rPr>
          <w:rFonts w:ascii="Times New Roman" w:hAnsi="Times New Roman" w:cs="Times New Roman"/>
          <w:b/>
          <w:noProof/>
          <w:sz w:val="24"/>
          <w:szCs w:val="24"/>
        </w:rPr>
      </w:pPr>
      <w:r>
        <w:rPr>
          <w:rFonts w:ascii="Times New Roman" w:hAnsi="Times New Roman"/>
          <w:b/>
          <w:noProof/>
          <w:sz w:val="24"/>
        </w:rPr>
        <w:t>Пълна реципрочност в премахването на визите с Канада не е постигната за български и румънски граждани. Комисията ще продължи да следи развитието, по-специално п</w:t>
      </w:r>
      <w:r>
        <w:rPr>
          <w:rFonts w:ascii="Times New Roman" w:hAnsi="Times New Roman"/>
          <w:b/>
          <w:noProof/>
          <w:sz w:val="24"/>
        </w:rPr>
        <w:t>о отношение на изпълнението от страна на Канада във възможно най-кратък срок на предвиденото разширяване на еРП за някои категории пътници, а като следваща стъпка и разширяването на неговия обхват до някои категории „нискорискови“ лица, пътуващи за първи п</w:t>
      </w:r>
      <w:r>
        <w:rPr>
          <w:rFonts w:ascii="Times New Roman" w:hAnsi="Times New Roman"/>
          <w:b/>
          <w:noProof/>
          <w:sz w:val="24"/>
        </w:rPr>
        <w:t>ът.</w:t>
      </w:r>
    </w:p>
    <w:p w:rsidR="001A0123" w:rsidRDefault="00EB5296">
      <w:pPr>
        <w:keepNext/>
        <w:spacing w:before="120" w:after="120" w:line="240" w:lineRule="auto"/>
        <w:ind w:left="360"/>
        <w:jc w:val="both"/>
        <w:rPr>
          <w:rFonts w:ascii="Times New Roman" w:hAnsi="Times New Roman" w:cs="Times New Roman"/>
          <w:b/>
          <w:i/>
          <w:noProof/>
          <w:sz w:val="24"/>
          <w:szCs w:val="24"/>
        </w:rPr>
      </w:pPr>
      <w:r>
        <w:rPr>
          <w:rFonts w:ascii="Times New Roman" w:hAnsi="Times New Roman"/>
          <w:b/>
          <w:i/>
          <w:noProof/>
          <w:sz w:val="24"/>
        </w:rPr>
        <w:t>г.</w:t>
      </w:r>
      <w:r>
        <w:rPr>
          <w:rFonts w:ascii="Times New Roman" w:hAnsi="Times New Roman"/>
          <w:b/>
          <w:i/>
          <w:noProof/>
          <w:sz w:val="24"/>
        </w:rPr>
        <w:tab/>
        <w:t>Съединени американски щати (нотификация от България, Кипър, Полша, Румъния и Хърватия)</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 23 февруари 2016 г. се проведе четвърта тристранна среща със САЩ. САЩ подчертаха своя ангажимент за разширяване на Програмата на САЩ за премахване на визите, с</w:t>
      </w:r>
      <w:r>
        <w:rPr>
          <w:rFonts w:ascii="Times New Roman" w:hAnsi="Times New Roman"/>
          <w:noProof/>
          <w:sz w:val="24"/>
        </w:rPr>
        <w:t>лед като държавите членки отговарят на всички изисквания. Усилията, предприети от държавите членки, бяха признати от САЩ.</w:t>
      </w:r>
    </w:p>
    <w:p w:rsidR="001A0123" w:rsidRDefault="00EB5296">
      <w:pPr>
        <w:tabs>
          <w:tab w:val="left" w:pos="9072"/>
        </w:tabs>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време на срещата САЩ представиха статистически данни за 2015 г. по отношение на отказите за издаване на виза: България: 17,26 %; </w:t>
      </w:r>
      <w:r>
        <w:rPr>
          <w:rFonts w:ascii="Times New Roman" w:hAnsi="Times New Roman"/>
          <w:noProof/>
          <w:sz w:val="24"/>
        </w:rPr>
        <w:t>Хърватия: 5,29 %; Кипър: 3,53 %; Полша: 6,37 %; Румъния: 11,16 %. Нито една от петте държави членки не бе достигнала прага от 3 %, изискван от Закона за имиграцията и гражданството на САЩ.</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 отношение на споразуменията, поискани от САЩ в областта на право</w:t>
      </w:r>
      <w:r>
        <w:rPr>
          <w:rFonts w:ascii="Times New Roman" w:hAnsi="Times New Roman"/>
          <w:noProof/>
          <w:sz w:val="24"/>
        </w:rPr>
        <w:t>прилагането</w:t>
      </w:r>
      <w:r>
        <w:rPr>
          <w:rStyle w:val="FootnoteReference"/>
          <w:rFonts w:ascii="Times New Roman" w:hAnsi="Times New Roman"/>
          <w:noProof/>
          <w:sz w:val="24"/>
        </w:rPr>
        <w:footnoteReference w:id="10"/>
      </w:r>
      <w:r>
        <w:rPr>
          <w:rFonts w:ascii="Times New Roman" w:hAnsi="Times New Roman"/>
          <w:noProof/>
          <w:sz w:val="24"/>
        </w:rPr>
        <w:t>, всички държави членки са в много напреднал етап; почти всички споразумения са подписани. Докладването на изгубени/откраднати паспорти на Интерпол не бе счетено за пречка. САЩ започват обаче посещения на място в страните кандидатки за Програма</w:t>
      </w:r>
      <w:r>
        <w:rPr>
          <w:rFonts w:ascii="Times New Roman" w:hAnsi="Times New Roman"/>
          <w:noProof/>
          <w:sz w:val="24"/>
        </w:rPr>
        <w:t>та за премахване на визите — предварително условие преди допускането в Програмата за премахване на визите — едва когато всички изисквания, предвидени в Закона за имиграцията и гражданството, са били счетени от Държавния департамент и Министерството на вътр</w:t>
      </w:r>
      <w:r>
        <w:rPr>
          <w:rFonts w:ascii="Times New Roman" w:hAnsi="Times New Roman"/>
          <w:noProof/>
          <w:sz w:val="24"/>
        </w:rPr>
        <w:t xml:space="preserve">ешната сигурност за изпълнени. </w:t>
      </w:r>
    </w:p>
    <w:p w:rsidR="001A0123" w:rsidRDefault="00EB5296">
      <w:pPr>
        <w:spacing w:before="120" w:after="120" w:line="240" w:lineRule="auto"/>
        <w:jc w:val="both"/>
        <w:rPr>
          <w:rFonts w:ascii="Times New Roman" w:hAnsi="Times New Roman" w:cs="Times New Roman"/>
          <w:i/>
          <w:noProof/>
          <w:sz w:val="24"/>
          <w:szCs w:val="24"/>
        </w:rPr>
      </w:pPr>
      <w:r>
        <w:rPr>
          <w:rFonts w:ascii="Times New Roman" w:hAnsi="Times New Roman"/>
          <w:noProof/>
          <w:sz w:val="24"/>
        </w:rPr>
        <w:t>Конгресът на САЩ измени законодателството на Програмата за премахване на визите на 18 декември 2015 г. В съответствие с новите разпоредби, като общо правило от 21 януари 2016 г.</w:t>
      </w:r>
      <w:r>
        <w:rPr>
          <w:rStyle w:val="FootnoteReference"/>
          <w:rFonts w:ascii="Times New Roman" w:hAnsi="Times New Roman"/>
          <w:noProof/>
          <w:sz w:val="24"/>
        </w:rPr>
        <w:footnoteReference w:id="11"/>
      </w:r>
      <w:r>
        <w:rPr>
          <w:rFonts w:ascii="Times New Roman" w:hAnsi="Times New Roman"/>
          <w:noProof/>
          <w:sz w:val="24"/>
        </w:rPr>
        <w:t xml:space="preserve"> за пътуващите от държавите, участващи в Програмата за премахване на визите, които са граждани на Ирак, Иран, Сирия или Судан (т.е. лица с двойно гражданство) или които са били в тези държави или в Йемен, Либия или Сомалия по всяко време на или след 1 март</w:t>
      </w:r>
      <w:r>
        <w:rPr>
          <w:rFonts w:ascii="Times New Roman" w:hAnsi="Times New Roman"/>
          <w:noProof/>
          <w:sz w:val="24"/>
        </w:rPr>
        <w:t xml:space="preserve"> 2011 г., се изисква да кандидатстват за виза и вече не могат да пътуват с електронно разрешение  (електронна система за разрешения за пътуване (ЕСРП) в рамките на Програмата за премахване на визите. Този закон има потенциално въздействие върху всички държ</w:t>
      </w:r>
      <w:r>
        <w:rPr>
          <w:rFonts w:ascii="Times New Roman" w:hAnsi="Times New Roman"/>
          <w:noProof/>
          <w:sz w:val="24"/>
        </w:rPr>
        <w:t>ави членки, допуснати до Програмата за премахване на визите. Нито една от държавите членки, допуснати до Програмата за премахване на визите, не нотифицира Комисията за тези промени в Програмата в срок от 30 дни от прилагането им в съответствие с член 1, па</w:t>
      </w:r>
      <w:r>
        <w:rPr>
          <w:rFonts w:ascii="Times New Roman" w:hAnsi="Times New Roman"/>
          <w:noProof/>
          <w:sz w:val="24"/>
        </w:rPr>
        <w:t xml:space="preserve">раграф 4, буква а) от Регламента. </w:t>
      </w:r>
      <w:r>
        <w:rPr>
          <w:rFonts w:ascii="Times New Roman" w:hAnsi="Times New Roman"/>
          <w:noProof/>
          <w:color w:val="000000"/>
          <w:sz w:val="24"/>
          <w:shd w:val="clear" w:color="auto" w:fill="FFFFFF"/>
        </w:rPr>
        <w:t xml:space="preserve">Новият закон също така внесе промени във връзка с документите за пътуване: </w:t>
      </w:r>
      <w:r>
        <w:rPr>
          <w:rFonts w:ascii="Times New Roman" w:hAnsi="Times New Roman"/>
          <w:noProof/>
          <w:sz w:val="24"/>
        </w:rPr>
        <w:t xml:space="preserve">считано от 1 април 2016 г., единствено пътуващите с паспорти с </w:t>
      </w:r>
      <w:r>
        <w:rPr>
          <w:rFonts w:ascii="Times New Roman" w:hAnsi="Times New Roman"/>
          <w:i/>
          <w:noProof/>
          <w:sz w:val="24"/>
        </w:rPr>
        <w:t>биометрични данни</w:t>
      </w:r>
      <w:r>
        <w:rPr>
          <w:rFonts w:ascii="Times New Roman" w:hAnsi="Times New Roman"/>
          <w:noProof/>
          <w:sz w:val="24"/>
        </w:rPr>
        <w:t xml:space="preserve"> имат право да пътуват без виза. </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Тези промени в Програмата за прем</w:t>
      </w:r>
      <w:r>
        <w:rPr>
          <w:rFonts w:ascii="Times New Roman" w:hAnsi="Times New Roman"/>
          <w:noProof/>
          <w:sz w:val="24"/>
        </w:rPr>
        <w:t>ахване на визите доведоха до нови ограничения на пътуванията за граждани на държавите, участващи в посочената програма. Комисията и Европейската служба за външна дейност на няколко пъти изразиха пред Конгреса и администрацията на САЩ загрижеността на ЕС от</w:t>
      </w:r>
      <w:r>
        <w:rPr>
          <w:rFonts w:ascii="Times New Roman" w:hAnsi="Times New Roman"/>
          <w:noProof/>
          <w:sz w:val="24"/>
        </w:rPr>
        <w:t>носно новите мерки в законодателството на САЩ и призоваха за прилагането на закона по гъвкав начин, за да се ограничат отрицателните последици за добросъвестните пътници от ЕС</w:t>
      </w:r>
      <w:r>
        <w:rPr>
          <w:rStyle w:val="FootnoteReference"/>
          <w:rFonts w:ascii="Times New Roman" w:hAnsi="Times New Roman"/>
          <w:noProof/>
          <w:sz w:val="24"/>
        </w:rPr>
        <w:footnoteReference w:id="12"/>
      </w:r>
      <w:r>
        <w:rPr>
          <w:rFonts w:ascii="Times New Roman" w:hAnsi="Times New Roman"/>
          <w:noProof/>
          <w:sz w:val="24"/>
        </w:rPr>
        <w:t>. В отговор на тези опасения и въз основа на разпоредбите на законодателството</w:t>
      </w:r>
      <w:r>
        <w:rPr>
          <w:rStyle w:val="FootnoteReference"/>
          <w:rFonts w:ascii="Times New Roman" w:hAnsi="Times New Roman"/>
          <w:noProof/>
          <w:sz w:val="24"/>
        </w:rPr>
        <w:footnoteReference w:id="13"/>
      </w:r>
      <w:r>
        <w:rPr>
          <w:rFonts w:ascii="Times New Roman" w:hAnsi="Times New Roman"/>
          <w:noProof/>
          <w:sz w:val="24"/>
        </w:rPr>
        <w:t>,</w:t>
      </w:r>
      <w:r>
        <w:rPr>
          <w:rFonts w:ascii="Times New Roman" w:hAnsi="Times New Roman"/>
          <w:noProof/>
          <w:sz w:val="24"/>
        </w:rPr>
        <w:t xml:space="preserve"> правителството на САЩ реши да отмени прилагането на законодателството, поотделно за всеки случай, за определени категории лица</w:t>
      </w:r>
      <w:r>
        <w:rPr>
          <w:rStyle w:val="FootnoteReference"/>
          <w:rFonts w:ascii="Times New Roman" w:hAnsi="Times New Roman"/>
          <w:noProof/>
          <w:sz w:val="24"/>
        </w:rPr>
        <w:footnoteReference w:id="14"/>
      </w:r>
      <w:r>
        <w:rPr>
          <w:rFonts w:ascii="Times New Roman" w:hAnsi="Times New Roman"/>
          <w:noProof/>
          <w:sz w:val="24"/>
        </w:rPr>
        <w:t xml:space="preserve"> в допълнение към изключенията, предвидени изрично в законодателството (т.е. военни и правителствени служители, пътуващи по служ</w:t>
      </w:r>
      <w:r>
        <w:rPr>
          <w:rFonts w:ascii="Times New Roman" w:hAnsi="Times New Roman"/>
          <w:noProof/>
          <w:sz w:val="24"/>
        </w:rPr>
        <w:t>ба). Формулярът на ЕСРП бе съответно преразгледан и сега позволява на заявителите, които считат, че принадлежат към тези категории, да предоставят допълнителна информация, а на органите на САЩ — да вземат решение, поотделно за всеки случай, относно тяхната</w:t>
      </w:r>
      <w:r>
        <w:rPr>
          <w:rFonts w:ascii="Times New Roman" w:hAnsi="Times New Roman"/>
          <w:noProof/>
          <w:sz w:val="24"/>
        </w:rPr>
        <w:t xml:space="preserve"> допустимост за ЕСРП .</w:t>
      </w:r>
    </w:p>
    <w:p w:rsidR="001A0123" w:rsidRDefault="00EB5296">
      <w:pPr>
        <w:pStyle w:val="NormalWeb"/>
        <w:spacing w:before="120" w:beforeAutospacing="0" w:after="120" w:afterAutospacing="0"/>
        <w:jc w:val="both"/>
        <w:rPr>
          <w:b/>
          <w:noProof/>
        </w:rPr>
      </w:pPr>
      <w:r>
        <w:rPr>
          <w:b/>
          <w:noProof/>
        </w:rPr>
        <w:t xml:space="preserve">Гражданите на България, Кипър, Полша, Румъния и Хърватия продължават да подлежат на изискването за виза. В контекста на постигането на пълна визова реципрочност по отношение на въпросните пет държави членки, Комисията отдавна смята, </w:t>
      </w:r>
      <w:r>
        <w:rPr>
          <w:b/>
          <w:noProof/>
        </w:rPr>
        <w:t>че освобождаването на гражданите на тези пет държави членки от изискването за виза не би представлявало засилена миграционна заплаха или заплаха за сигурността на САЩ. Затова Комисията ще прикани САЩ да обмисли, като първа и непосредствена стъпка, мярка, п</w:t>
      </w:r>
      <w:r>
        <w:rPr>
          <w:b/>
          <w:noProof/>
        </w:rPr>
        <w:t>одобна на предвиденото от Канада разширяване на обхвата на еРП до някои категории „нискорискови“ пътуващи от България и Румъния — т.е. разрешение за пътуване по ЕСРП за гражданите на тези пет държави, които са използвали правомерно виза за САЩ през последн</w:t>
      </w:r>
      <w:r>
        <w:rPr>
          <w:b/>
          <w:noProof/>
        </w:rPr>
        <w:t>ите примерно 10 години — и ако е необходимо, да инициира законодателство в това отношение. Освен това Комисията ще прикани САЩ да разгледа представените законодателни инициативи, най-вече проекта на закон от 2015 г. относно създаването на работни места чре</w:t>
      </w:r>
      <w:r>
        <w:rPr>
          <w:b/>
          <w:noProof/>
        </w:rPr>
        <w:t>з насърчаване на пътуванията (Jobs Originating through Launching Travel Act of 2015)</w:t>
      </w:r>
      <w:r>
        <w:rPr>
          <w:rStyle w:val="FootnoteReference"/>
          <w:b/>
          <w:noProof/>
        </w:rPr>
        <w:footnoteReference w:id="15"/>
      </w:r>
      <w:r>
        <w:rPr>
          <w:b/>
          <w:noProof/>
        </w:rPr>
        <w:t>.</w:t>
      </w:r>
    </w:p>
    <w:p w:rsidR="001A0123" w:rsidRDefault="00EB5296">
      <w:pPr>
        <w:pStyle w:val="NormalWeb"/>
        <w:spacing w:before="120" w:beforeAutospacing="0" w:after="120" w:afterAutospacing="0"/>
        <w:jc w:val="both"/>
        <w:rPr>
          <w:b/>
          <w:noProof/>
        </w:rPr>
      </w:pPr>
      <w:r>
        <w:rPr>
          <w:b/>
          <w:noProof/>
        </w:rPr>
        <w:t>Успоредно с обсъждането на пълната визова реципрочност Комисията ще продължи да наблюдава прилагането на промените в Програмата за премахване на визите, с които се въвеж</w:t>
      </w:r>
      <w:r>
        <w:rPr>
          <w:b/>
          <w:noProof/>
        </w:rPr>
        <w:t>дат допълнителни ограничения на пътуванията за граждани на държавите, участващи в тази програма, и ще води диалог със САЩ, за да се гарантира, че тези промени се прилагат по начин, който ограничава отрицателните последствия за добросъвестните пътници от ЕС</w:t>
      </w:r>
      <w:r>
        <w:rPr>
          <w:b/>
          <w:noProof/>
        </w:rPr>
        <w:t>. В този контекст Комисията ще прикани САЩ да разгледа представените законодателни инициативи (например проекта на закон от 2016 г. относно еднаквата закрила при пътуванията (Equal Protection in Travel Act of 2016</w:t>
      </w:r>
      <w:r>
        <w:rPr>
          <w:rStyle w:val="FootnoteReference"/>
          <w:b/>
          <w:noProof/>
        </w:rPr>
        <w:footnoteReference w:id="16"/>
      </w:r>
      <w:r>
        <w:rPr>
          <w:b/>
          <w:noProof/>
        </w:rPr>
        <w:t>) с цел да се смекчат ограниченията, налож</w:t>
      </w:r>
      <w:r>
        <w:rPr>
          <w:b/>
          <w:noProof/>
        </w:rPr>
        <w:t xml:space="preserve">ени на лица с двойно гражданство. </w:t>
      </w:r>
    </w:p>
    <w:p w:rsidR="001A0123" w:rsidRDefault="00EB5296">
      <w:pPr>
        <w:pStyle w:val="Heading1"/>
        <w:keepLines w:val="0"/>
        <w:spacing w:before="240" w:after="240" w:line="240" w:lineRule="auto"/>
        <w:rPr>
          <w:rFonts w:ascii="Times New Roman" w:hAnsi="Times New Roman"/>
          <w:b w:val="0"/>
          <w:i/>
          <w:smallCaps/>
          <w:noProof/>
          <w:color w:val="auto"/>
          <w:sz w:val="24"/>
          <w:szCs w:val="24"/>
        </w:rPr>
      </w:pPr>
      <w:r>
        <w:rPr>
          <w:rFonts w:ascii="Times New Roman" w:hAnsi="Times New Roman"/>
          <w:smallCaps/>
          <w:noProof/>
          <w:color w:val="auto"/>
          <w:sz w:val="24"/>
        </w:rPr>
        <w:t>IV.</w:t>
      </w:r>
      <w:r>
        <w:rPr>
          <w:noProof/>
        </w:rPr>
        <w:tab/>
      </w:r>
      <w:r>
        <w:rPr>
          <w:rFonts w:ascii="Times New Roman" w:hAnsi="Times New Roman"/>
          <w:smallCaps/>
          <w:noProof/>
          <w:color w:val="auto"/>
          <w:sz w:val="24"/>
        </w:rPr>
        <w:t>Оценка на последиците от суспендирането на премахването на визите</w:t>
      </w:r>
    </w:p>
    <w:p w:rsidR="001A0123" w:rsidRDefault="00EB5296">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съответствие с Насоките за по-добро регулиране</w:t>
      </w:r>
      <w:r>
        <w:rPr>
          <w:rStyle w:val="FootnoteReference"/>
          <w:rFonts w:ascii="Times New Roman" w:hAnsi="Times New Roman"/>
          <w:noProof/>
          <w:sz w:val="24"/>
        </w:rPr>
        <w:footnoteReference w:id="17"/>
      </w:r>
      <w:r>
        <w:rPr>
          <w:rFonts w:ascii="Times New Roman" w:hAnsi="Times New Roman"/>
          <w:noProof/>
          <w:sz w:val="24"/>
        </w:rPr>
        <w:t xml:space="preserve"> дори когато Комисията няма на разположение различни политически решения (което е валидно в настоящата</w:t>
      </w:r>
      <w:r>
        <w:rPr>
          <w:rFonts w:ascii="Times New Roman" w:hAnsi="Times New Roman"/>
          <w:noProof/>
          <w:sz w:val="24"/>
        </w:rPr>
        <w:t xml:space="preserve"> ситуация), но се очаква въздействието на акта, което може да бъде пряко установено, да бъде значително, това въздействие следва да бъде разяснено от Комисията на законодателите, така че те да вземат напълно информирано и основаващо се на факти решение.</w:t>
      </w:r>
    </w:p>
    <w:p w:rsidR="001A0123" w:rsidRDefault="00EB5296">
      <w:pPr>
        <w:pStyle w:val="NormalWeb"/>
        <w:keepNext/>
        <w:spacing w:before="120" w:beforeAutospacing="0" w:after="120" w:afterAutospacing="0"/>
        <w:ind w:left="360"/>
        <w:jc w:val="both"/>
        <w:rPr>
          <w:b/>
          <w:i/>
          <w:noProof/>
        </w:rPr>
      </w:pPr>
      <w:r>
        <w:rPr>
          <w:b/>
          <w:i/>
          <w:noProof/>
        </w:rPr>
        <w:t>а.</w:t>
      </w:r>
      <w:r>
        <w:rPr>
          <w:b/>
          <w:i/>
          <w:noProof/>
        </w:rPr>
        <w:tab/>
        <w:t>Възможно въздействие върху гражданите на ЕС</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При последната тристранна среща САЩ зае позицията, че суспендирането на премахването на визите ще доведе до повторно въвеждане на изискването за виза за гражданите на </w:t>
      </w:r>
      <w:r>
        <w:rPr>
          <w:rFonts w:ascii="Times New Roman" w:hAnsi="Times New Roman"/>
          <w:i/>
          <w:noProof/>
          <w:sz w:val="24"/>
        </w:rPr>
        <w:t>всички</w:t>
      </w:r>
      <w:r>
        <w:rPr>
          <w:rFonts w:ascii="Times New Roman" w:hAnsi="Times New Roman"/>
          <w:noProof/>
          <w:sz w:val="24"/>
        </w:rPr>
        <w:t xml:space="preserve"> държави членки</w:t>
      </w:r>
      <w:r>
        <w:rPr>
          <w:rStyle w:val="FootnoteReference"/>
          <w:rFonts w:ascii="Times New Roman" w:hAnsi="Times New Roman"/>
          <w:noProof/>
          <w:sz w:val="24"/>
        </w:rPr>
        <w:footnoteReference w:id="18"/>
      </w:r>
      <w:r>
        <w:rPr>
          <w:rFonts w:ascii="Times New Roman" w:hAnsi="Times New Roman"/>
          <w:noProof/>
          <w:sz w:val="24"/>
        </w:rPr>
        <w:t xml:space="preserve">. Принципът на </w:t>
      </w:r>
      <w:r>
        <w:rPr>
          <w:rFonts w:ascii="Times New Roman" w:hAnsi="Times New Roman"/>
          <w:noProof/>
          <w:sz w:val="24"/>
        </w:rPr>
        <w:t>реципрочност е посочен в Закона за имиграцията и гражданството на САЩ (раздел 217 (2)(A)</w:t>
      </w:r>
      <w:r>
        <w:rPr>
          <w:rStyle w:val="FootnoteReference"/>
          <w:rFonts w:ascii="Times New Roman" w:hAnsi="Times New Roman"/>
          <w:noProof/>
          <w:sz w:val="24"/>
        </w:rPr>
        <w:footnoteReference w:id="19"/>
      </w:r>
      <w:r>
        <w:rPr>
          <w:rFonts w:ascii="Times New Roman" w:hAnsi="Times New Roman"/>
          <w:noProof/>
          <w:sz w:val="24"/>
        </w:rPr>
        <w:t>. Вследствие на това е много вероятно ситуацията да не се подобри за въпросните пет държави членки и би могла да се влоши за всички държави членки, които понастоящем с</w:t>
      </w:r>
      <w:r>
        <w:rPr>
          <w:rFonts w:ascii="Times New Roman" w:hAnsi="Times New Roman"/>
          <w:noProof/>
          <w:sz w:val="24"/>
        </w:rPr>
        <w:t>е ползват от безвизово пътуване до САЩ.</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Въз основа на статистически данни на Световната организация по туризъм (UNWTO)</w:t>
      </w:r>
      <w:r>
        <w:rPr>
          <w:rStyle w:val="FootnoteReference"/>
          <w:rFonts w:ascii="Times New Roman" w:hAnsi="Times New Roman"/>
          <w:noProof/>
          <w:sz w:val="24"/>
        </w:rPr>
        <w:footnoteReference w:id="20"/>
      </w:r>
      <w:r>
        <w:rPr>
          <w:rFonts w:ascii="Times New Roman" w:hAnsi="Times New Roman"/>
          <w:noProof/>
          <w:sz w:val="24"/>
        </w:rPr>
        <w:t xml:space="preserve"> и Министерството на търговията на САЩ</w:t>
      </w:r>
      <w:r>
        <w:rPr>
          <w:rStyle w:val="FootnoteReference"/>
          <w:rFonts w:ascii="Times New Roman" w:hAnsi="Times New Roman"/>
          <w:noProof/>
          <w:sz w:val="24"/>
        </w:rPr>
        <w:footnoteReference w:id="21"/>
      </w:r>
      <w:r>
        <w:rPr>
          <w:rFonts w:ascii="Times New Roman" w:hAnsi="Times New Roman"/>
          <w:noProof/>
          <w:sz w:val="24"/>
        </w:rPr>
        <w:t xml:space="preserve"> Комисията смята, че гражданите на ЕС, които понастоящем се ползват от безвизово пътуване, ще тряб</w:t>
      </w:r>
      <w:r>
        <w:rPr>
          <w:rFonts w:ascii="Times New Roman" w:hAnsi="Times New Roman"/>
          <w:noProof/>
          <w:sz w:val="24"/>
        </w:rPr>
        <w:t>ва да се кандидатират (годишно) за най-малко 8 милиона визи, за да пътуват до САЩ. Като се има предвид таксата от 160 щатски долара за виза и разходите, свързани с кандидатстването (около 200 щатски долара</w:t>
      </w:r>
      <w:r>
        <w:rPr>
          <w:rStyle w:val="FootnoteReference"/>
          <w:rFonts w:ascii="Times New Roman" w:hAnsi="Times New Roman"/>
          <w:noProof/>
          <w:sz w:val="24"/>
        </w:rPr>
        <w:footnoteReference w:id="22"/>
      </w:r>
      <w:r>
        <w:rPr>
          <w:rFonts w:ascii="Times New Roman" w:hAnsi="Times New Roman"/>
          <w:noProof/>
          <w:sz w:val="24"/>
        </w:rPr>
        <w:t>), това се равнява на приблизително 2,5 милиарда е</w:t>
      </w:r>
      <w:r>
        <w:rPr>
          <w:rFonts w:ascii="Times New Roman" w:hAnsi="Times New Roman"/>
          <w:noProof/>
          <w:sz w:val="24"/>
        </w:rPr>
        <w:t>вро под формата на допълнителни разходи за гражданите/дружествата на ЕС</w:t>
      </w:r>
      <w:r>
        <w:rPr>
          <w:rStyle w:val="FootnoteReference"/>
          <w:rFonts w:ascii="Times New Roman" w:hAnsi="Times New Roman"/>
          <w:noProof/>
          <w:sz w:val="24"/>
        </w:rPr>
        <w:footnoteReference w:id="23"/>
      </w:r>
      <w:r>
        <w:rPr>
          <w:rFonts w:ascii="Times New Roman" w:hAnsi="Times New Roman"/>
          <w:noProof/>
          <w:sz w:val="24"/>
        </w:rPr>
        <w:t>.</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Въпреки че принципът на реципрочност не е елемент в уредбата на визовата политика на Канада, не може да се изключи, че Канада ще отговори на евентуално суспендиране на премахването н</w:t>
      </w:r>
      <w:r>
        <w:rPr>
          <w:rFonts w:ascii="Times New Roman" w:hAnsi="Times New Roman"/>
          <w:noProof/>
          <w:sz w:val="24"/>
        </w:rPr>
        <w:t>а визите за своите граждани по подобен начин. Ако това е така, по оценка на Комисията граждани на ЕС ще кандидатстват за поне 1,5 милиона визи, което ще доведе до 375 милиона евро</w:t>
      </w:r>
      <w:r>
        <w:rPr>
          <w:rStyle w:val="FootnoteReference"/>
          <w:rFonts w:ascii="Times New Roman" w:hAnsi="Times New Roman"/>
          <w:noProof/>
          <w:sz w:val="24"/>
        </w:rPr>
        <w:footnoteReference w:id="24"/>
      </w:r>
      <w:r>
        <w:rPr>
          <w:rFonts w:ascii="Times New Roman" w:hAnsi="Times New Roman"/>
          <w:noProof/>
          <w:sz w:val="24"/>
        </w:rPr>
        <w:t xml:space="preserve"> под формата на допълнителни разходи за тях/дружествата от ЕС</w:t>
      </w:r>
      <w:r>
        <w:rPr>
          <w:rStyle w:val="FootnoteReference"/>
          <w:rFonts w:ascii="Times New Roman" w:hAnsi="Times New Roman"/>
          <w:noProof/>
          <w:sz w:val="24"/>
        </w:rPr>
        <w:footnoteReference w:id="25"/>
      </w:r>
      <w:r>
        <w:rPr>
          <w:rFonts w:ascii="Times New Roman" w:hAnsi="Times New Roman"/>
          <w:noProof/>
          <w:sz w:val="24"/>
        </w:rPr>
        <w:t>.</w:t>
      </w:r>
    </w:p>
    <w:p w:rsidR="001A0123" w:rsidRDefault="00EB5296">
      <w:pPr>
        <w:pStyle w:val="NormalWeb"/>
        <w:keepNext/>
        <w:spacing w:before="120" w:beforeAutospacing="0" w:after="120" w:afterAutospacing="0"/>
        <w:ind w:left="360"/>
        <w:jc w:val="both"/>
        <w:rPr>
          <w:b/>
          <w:i/>
          <w:noProof/>
        </w:rPr>
      </w:pPr>
      <w:r>
        <w:rPr>
          <w:b/>
          <w:i/>
          <w:noProof/>
        </w:rPr>
        <w:t>б.</w:t>
      </w:r>
      <w:r>
        <w:rPr>
          <w:b/>
          <w:i/>
          <w:noProof/>
        </w:rPr>
        <w:tab/>
        <w:t>Възможнос</w:t>
      </w:r>
      <w:r>
        <w:rPr>
          <w:b/>
          <w:i/>
          <w:noProof/>
        </w:rPr>
        <w:t xml:space="preserve">ти за обработка на визите в случай на суспендиране на премахването на визите </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Най-значителният брой международни пътници в ЕС пристигат от Северна Америка. Въз основа на статистически данни на Световната организация по туризъм (UNWTO) и Министерството на т</w:t>
      </w:r>
      <w:r>
        <w:rPr>
          <w:rFonts w:ascii="Times New Roman" w:hAnsi="Times New Roman"/>
          <w:noProof/>
          <w:sz w:val="24"/>
        </w:rPr>
        <w:t xml:space="preserve">ърговията на САЩ Комисията смята, че консулствата на държавите членки ще трябва да бъдат готови да обработват годишно само в САЩ приблизително 10 милиона заявления за виза. Въпреки че държавите членки имат широка консулска мрежа в САЩ (около 100 консулски </w:t>
      </w:r>
      <w:r>
        <w:rPr>
          <w:rFonts w:ascii="Times New Roman" w:hAnsi="Times New Roman"/>
          <w:noProof/>
          <w:sz w:val="24"/>
        </w:rPr>
        <w:t>служби), понастоящем те обработват само около 120 000 заявления за шенгенски визи годишно.</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Установяването на сътрудничество с външни доставчици на услуги, осигуряването на оборудване и персонал в консулствата, закупуването и/или наемането на нови работни п</w:t>
      </w:r>
      <w:r>
        <w:rPr>
          <w:rFonts w:ascii="Times New Roman" w:hAnsi="Times New Roman"/>
          <w:noProof/>
          <w:sz w:val="24"/>
        </w:rPr>
        <w:t>омещения ще изискват сериозни усилия и разходи в милиони евро. Таксите за виза (като общо правило 60 евро на виза) е възможно да не покрият оперативните разходи, да не говорим за разходи, свързани с подготовката. Няколко държави членки вероятно ще бъдат пр</w:t>
      </w:r>
      <w:r>
        <w:rPr>
          <w:rFonts w:ascii="Times New Roman" w:hAnsi="Times New Roman"/>
          <w:noProof/>
          <w:sz w:val="24"/>
        </w:rPr>
        <w:t xml:space="preserve">инудени да издават толкова визи в САЩ, колкото и в целия останал свят. </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случая на Канада държавите членки също ще бъдат изправени пред сериозни предизвикателства, макар и в по-малка степен. Понастоящем около 45 консулства обработват 30 000 заявления годи</w:t>
      </w:r>
      <w:r>
        <w:rPr>
          <w:rFonts w:ascii="Times New Roman" w:hAnsi="Times New Roman"/>
          <w:noProof/>
          <w:sz w:val="24"/>
        </w:rPr>
        <w:t>шно, но в случай на суспендиране на премахването на визите могат да се очакват минимум 2 милиона заявления.</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Съгласно Регламента суспендирането на премахването на визите трябва да влезе в сила най-късно в срок от 90 дни от датата на влизане в сила на делеги</w:t>
      </w:r>
      <w:r>
        <w:rPr>
          <w:rFonts w:ascii="Times New Roman" w:hAnsi="Times New Roman"/>
          <w:noProof/>
          <w:sz w:val="24"/>
        </w:rPr>
        <w:t>рания акт. Това е максималният срок за подготовка. Този срок изглежда недостатъчен, за да се предприемат всички необходими стъпки (включително покриване на разходите) за обработване на огромното увеличение на заявленията за виза в съответствие с разпоредби</w:t>
      </w:r>
      <w:r>
        <w:rPr>
          <w:rFonts w:ascii="Times New Roman" w:hAnsi="Times New Roman"/>
          <w:noProof/>
          <w:sz w:val="24"/>
        </w:rPr>
        <w:t xml:space="preserve">те на правото на ЕС (напр. срокове за приемане на подателите на заявления, време за обработка). Освен липсата на подходящи помещения за приемането на толкова много кандидати за виза, отсъствието на необходимата степен на сътрудничество с външни доставчици </w:t>
      </w:r>
      <w:r>
        <w:rPr>
          <w:rFonts w:ascii="Times New Roman" w:hAnsi="Times New Roman"/>
          <w:noProof/>
          <w:sz w:val="24"/>
        </w:rPr>
        <w:t>на услуги, както и на достатъчен брой квалифицирани консулски служители и местен персонал, увеличението на заявленията ще се отрази също на информационните системи в подкрепа на обработката на визите.</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тази връзка централният елемент на визовата информаци</w:t>
      </w:r>
      <w:r>
        <w:rPr>
          <w:rFonts w:ascii="Times New Roman" w:hAnsi="Times New Roman"/>
          <w:noProof/>
          <w:sz w:val="24"/>
        </w:rPr>
        <w:t xml:space="preserve">онна система (ВИС) и нейната биометрична съпоставителна система биха могли да издържат на допълнителното натоварване в краткосрочен план (до една година), но техният капацитет ще трябва да бъде увеличен с бързи темпове. Като се изключват инфраструктурните </w:t>
      </w:r>
      <w:r>
        <w:rPr>
          <w:rFonts w:ascii="Times New Roman" w:hAnsi="Times New Roman"/>
          <w:noProof/>
          <w:sz w:val="24"/>
        </w:rPr>
        <w:t>аспекти, според направените вътрешно разчети очакваните разходи са от порядъка на поне 20—25 милиона евро. Редица държави членки също ще трябва да модернизират своите национални системи и да увеличат капацитета на комуникационната инфраструктура между цент</w:t>
      </w:r>
      <w:r>
        <w:rPr>
          <w:rFonts w:ascii="Times New Roman" w:hAnsi="Times New Roman"/>
          <w:noProof/>
          <w:sz w:val="24"/>
        </w:rPr>
        <w:t>ралната система и националните системи. В краткосрочен план, поради увеличаването на броя на заявленията и запитванията на границата, може да се очаква по-дълго време за отговор (търсения, биометрично съпоставяне).</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Суспендирането на премахването на визите </w:t>
      </w:r>
      <w:r>
        <w:rPr>
          <w:rFonts w:ascii="Times New Roman" w:hAnsi="Times New Roman"/>
          <w:noProof/>
          <w:sz w:val="24"/>
        </w:rPr>
        <w:t xml:space="preserve">ще има също така значително въздействие върху граничната охрана и инфраструктурата по външните граници поради увеличението на пътуващите, чиито визи трябва да бъдат проверени, включително техните пръстови отпечатъци. Това ще изисква допълнителен персонал, </w:t>
      </w:r>
      <w:r>
        <w:rPr>
          <w:rFonts w:ascii="Times New Roman" w:hAnsi="Times New Roman"/>
          <w:noProof/>
          <w:sz w:val="24"/>
        </w:rPr>
        <w:t>реорганизация/преструктуриране на работния процес и подобряване на инфраструктурата, особено на големите летища, което би довело до значителни разходи.</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Дори по отношение на Бруней, от чиито граждани Комисията очаква броят на заявленията за виза да бъде мно</w:t>
      </w:r>
      <w:r>
        <w:rPr>
          <w:rFonts w:ascii="Times New Roman" w:hAnsi="Times New Roman"/>
          <w:noProof/>
          <w:sz w:val="24"/>
        </w:rPr>
        <w:t>го нисък, не могат да бъдат изключени проблеми в изпълнението. Само две държави членки имат представителство и издават визи в страната. Следователно другите държави членки ще трябва да сключат споразумения за представителство с тях, така че да не се налага</w:t>
      </w:r>
      <w:r>
        <w:rPr>
          <w:rFonts w:ascii="Times New Roman" w:hAnsi="Times New Roman"/>
          <w:noProof/>
          <w:sz w:val="24"/>
        </w:rPr>
        <w:t xml:space="preserve"> кандидатите за виза да пътуват до Сингапур и/или Куала Лумпур, за да подават заявление. За издаването дори на ограничен брой визи може да се окаже необходимо модернизирането на консулствата на тези държави членки (помещения, персонал, ИТ оборудване) . </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noProof/>
          <w:sz w:val="24"/>
        </w:rPr>
        <w:t xml:space="preserve">заключение Комисията смята, че е </w:t>
      </w:r>
      <w:r>
        <w:rPr>
          <w:rFonts w:ascii="Times New Roman" w:hAnsi="Times New Roman"/>
          <w:b/>
          <w:noProof/>
          <w:sz w:val="24"/>
        </w:rPr>
        <w:t>много малко вероятно държавите членки да бъдат в състояние да обработват нарасналия брой заявления за виза в съответствие с Визовия кодекс в 90-дневен срок от влизането в сила на делегирания акт</w:t>
      </w:r>
      <w:r>
        <w:rPr>
          <w:rFonts w:ascii="Times New Roman" w:hAnsi="Times New Roman"/>
          <w:noProof/>
          <w:sz w:val="24"/>
        </w:rPr>
        <w:t>. Следователно кандидатите ще</w:t>
      </w:r>
      <w:r>
        <w:rPr>
          <w:rFonts w:ascii="Times New Roman" w:hAnsi="Times New Roman"/>
          <w:noProof/>
          <w:sz w:val="24"/>
        </w:rPr>
        <w:t xml:space="preserve"> се сблъскват с дълго време за чакане за получаване на час за подаване и за обработката на техните заявления за виза. Освен това важен фактор, който би могъл да накара много кандидати да изберат дестинация за пътуване извън ЕС, ще бъдат усилията и допълнит</w:t>
      </w:r>
      <w:r>
        <w:rPr>
          <w:rFonts w:ascii="Times New Roman" w:hAnsi="Times New Roman"/>
          <w:noProof/>
          <w:sz w:val="24"/>
        </w:rPr>
        <w:t>елните разходи, свързани с пътуването до най-близкото консулство/външен изпълнител на компетентната държава членка с цел подаване на заявлението за виза. В САЩ например консулствата са концентрирани по Източния бряг и Калифорния. При тези обстоятелства е р</w:t>
      </w:r>
      <w:r>
        <w:rPr>
          <w:rFonts w:ascii="Times New Roman" w:hAnsi="Times New Roman"/>
          <w:noProof/>
          <w:sz w:val="24"/>
        </w:rPr>
        <w:t xml:space="preserve">азумно да се очаква, че суспендирането на премахването на визите ще доведе до </w:t>
      </w:r>
      <w:r>
        <w:rPr>
          <w:rFonts w:ascii="Times New Roman" w:hAnsi="Times New Roman"/>
          <w:b/>
          <w:noProof/>
          <w:sz w:val="24"/>
        </w:rPr>
        <w:t>спад в броя на пътниците от Канада и САЩ</w:t>
      </w:r>
      <w:r>
        <w:rPr>
          <w:rFonts w:ascii="Times New Roman" w:hAnsi="Times New Roman"/>
          <w:noProof/>
          <w:sz w:val="24"/>
        </w:rPr>
        <w:t xml:space="preserve"> (и също от Бруней), което ще доведе до </w:t>
      </w:r>
      <w:r>
        <w:rPr>
          <w:rFonts w:ascii="Times New Roman" w:hAnsi="Times New Roman"/>
          <w:b/>
          <w:noProof/>
          <w:sz w:val="24"/>
        </w:rPr>
        <w:t>значителна икономическа загуба</w:t>
      </w:r>
      <w:r>
        <w:rPr>
          <w:rFonts w:ascii="Times New Roman" w:hAnsi="Times New Roman"/>
          <w:noProof/>
          <w:sz w:val="24"/>
        </w:rPr>
        <w:t xml:space="preserve"> за ЕС.</w:t>
      </w:r>
    </w:p>
    <w:p w:rsidR="001A0123" w:rsidRDefault="00EB5296">
      <w:pPr>
        <w:pStyle w:val="NormalWeb"/>
        <w:keepNext/>
        <w:spacing w:before="120" w:beforeAutospacing="0" w:after="120" w:afterAutospacing="0"/>
        <w:ind w:left="360"/>
        <w:jc w:val="both"/>
        <w:rPr>
          <w:b/>
          <w:i/>
          <w:noProof/>
        </w:rPr>
      </w:pPr>
      <w:r>
        <w:rPr>
          <w:b/>
          <w:i/>
          <w:noProof/>
        </w:rPr>
        <w:t>в.</w:t>
      </w:r>
      <w:r>
        <w:rPr>
          <w:b/>
          <w:i/>
          <w:noProof/>
        </w:rPr>
        <w:tab/>
        <w:t xml:space="preserve">Икономическо въздействие </w:t>
      </w:r>
    </w:p>
    <w:p w:rsidR="001A0123" w:rsidRDefault="00EB5296">
      <w:pPr>
        <w:pStyle w:val="NormalWeb"/>
        <w:spacing w:before="120" w:beforeAutospacing="0" w:after="120" w:afterAutospacing="0"/>
        <w:jc w:val="both"/>
        <w:rPr>
          <w:noProof/>
        </w:rPr>
      </w:pPr>
      <w:r>
        <w:rPr>
          <w:noProof/>
        </w:rPr>
        <w:t xml:space="preserve">В допълнение към въздействието </w:t>
      </w:r>
      <w:r>
        <w:rPr>
          <w:noProof/>
        </w:rPr>
        <w:t>върху гражданите на ЕС и трудностите, свързани с изпълнението, следва също да бъде взето предвид значителното въздействие в широк кръг от политически области/сектори.</w:t>
      </w:r>
    </w:p>
    <w:p w:rsidR="001A0123" w:rsidRDefault="00EB5296">
      <w:pPr>
        <w:spacing w:before="120" w:after="120" w:line="240" w:lineRule="auto"/>
        <w:jc w:val="both"/>
        <w:rPr>
          <w:rFonts w:ascii="Times New Roman" w:hAnsi="Times New Roman" w:cs="Times New Roman"/>
          <w:b/>
          <w:noProof/>
          <w:sz w:val="24"/>
          <w:szCs w:val="24"/>
        </w:rPr>
      </w:pPr>
      <w:r>
        <w:rPr>
          <w:rFonts w:ascii="Times New Roman" w:hAnsi="Times New Roman"/>
          <w:noProof/>
          <w:sz w:val="24"/>
        </w:rPr>
        <w:t xml:space="preserve">В областта на </w:t>
      </w:r>
      <w:r>
        <w:rPr>
          <w:rFonts w:ascii="Times New Roman" w:hAnsi="Times New Roman"/>
          <w:b/>
          <w:noProof/>
          <w:sz w:val="24"/>
        </w:rPr>
        <w:t>туризма</w:t>
      </w:r>
      <w:r>
        <w:rPr>
          <w:rFonts w:ascii="Times New Roman" w:hAnsi="Times New Roman"/>
          <w:noProof/>
          <w:sz w:val="24"/>
        </w:rPr>
        <w:t xml:space="preserve"> посетителите от Северна Америка биха могли лесно да се прехвърлят о</w:t>
      </w:r>
      <w:r>
        <w:rPr>
          <w:rFonts w:ascii="Times New Roman" w:hAnsi="Times New Roman"/>
          <w:noProof/>
          <w:sz w:val="24"/>
        </w:rPr>
        <w:t>т Европейския съюз към други дестинации.</w:t>
      </w:r>
      <w:r>
        <w:rPr>
          <w:rFonts w:ascii="Times New Roman" w:hAnsi="Times New Roman"/>
          <w:noProof/>
          <w:color w:val="000000"/>
          <w:sz w:val="24"/>
        </w:rPr>
        <w:t xml:space="preserve"> Резервациите често се правят малко преди планираното пътуване, така че поради своята загриженост, че визата може да не бъде издадена навреме, е малко вероятно потенциалните посетители да резервират пътувания до Евро</w:t>
      </w:r>
      <w:r>
        <w:rPr>
          <w:rFonts w:ascii="Times New Roman" w:hAnsi="Times New Roman"/>
          <w:noProof/>
          <w:color w:val="000000"/>
          <w:sz w:val="24"/>
        </w:rPr>
        <w:t xml:space="preserve">па. </w:t>
      </w:r>
      <w:r>
        <w:rPr>
          <w:rFonts w:ascii="Times New Roman" w:hAnsi="Times New Roman"/>
          <w:noProof/>
          <w:sz w:val="24"/>
        </w:rPr>
        <w:t xml:space="preserve">Потенциално намаление </w:t>
      </w:r>
      <w:r>
        <w:rPr>
          <w:rFonts w:ascii="Times New Roman" w:hAnsi="Times New Roman"/>
          <w:b/>
          <w:noProof/>
          <w:sz w:val="24"/>
        </w:rPr>
        <w:t>от 5 %</w:t>
      </w:r>
      <w:r>
        <w:rPr>
          <w:rFonts w:ascii="Times New Roman" w:hAnsi="Times New Roman"/>
          <w:noProof/>
          <w:sz w:val="24"/>
        </w:rPr>
        <w:t xml:space="preserve"> — което се счита за </w:t>
      </w:r>
      <w:r>
        <w:rPr>
          <w:rFonts w:ascii="Times New Roman" w:hAnsi="Times New Roman"/>
          <w:b/>
          <w:noProof/>
          <w:sz w:val="24"/>
        </w:rPr>
        <w:t>умерена оценка</w:t>
      </w:r>
      <w:r>
        <w:rPr>
          <w:rFonts w:ascii="Times New Roman" w:hAnsi="Times New Roman"/>
          <w:noProof/>
          <w:sz w:val="24"/>
        </w:rPr>
        <w:t xml:space="preserve"> — на броя на туристите от САЩ/Канада в ЕС би представлявало </w:t>
      </w:r>
      <w:r>
        <w:rPr>
          <w:rFonts w:ascii="Times New Roman" w:hAnsi="Times New Roman"/>
          <w:b/>
          <w:noProof/>
          <w:sz w:val="24"/>
        </w:rPr>
        <w:t>загуба от 1,8 милиарда евро</w:t>
      </w:r>
      <w:r>
        <w:rPr>
          <w:rFonts w:ascii="Times New Roman" w:hAnsi="Times New Roman"/>
          <w:noProof/>
          <w:sz w:val="24"/>
        </w:rPr>
        <w:t xml:space="preserve"> за сектора на туризма в ЕС</w:t>
      </w:r>
      <w:r>
        <w:rPr>
          <w:rStyle w:val="FootnoteReference"/>
          <w:rFonts w:ascii="Times New Roman" w:hAnsi="Times New Roman"/>
          <w:noProof/>
          <w:sz w:val="24"/>
        </w:rPr>
        <w:footnoteReference w:id="26"/>
      </w:r>
      <w:r>
        <w:rPr>
          <w:rFonts w:ascii="Times New Roman" w:hAnsi="Times New Roman"/>
          <w:noProof/>
          <w:sz w:val="24"/>
        </w:rPr>
        <w:t xml:space="preserve">. </w:t>
      </w:r>
      <w:r>
        <w:rPr>
          <w:rFonts w:ascii="Times New Roman" w:hAnsi="Times New Roman"/>
          <w:noProof/>
          <w:color w:val="000000"/>
          <w:sz w:val="24"/>
        </w:rPr>
        <w:t xml:space="preserve">Суспендирането на премахването на визите очевидно ще доведе до </w:t>
      </w:r>
      <w:r>
        <w:rPr>
          <w:rFonts w:ascii="Times New Roman" w:hAnsi="Times New Roman"/>
          <w:b/>
          <w:noProof/>
          <w:color w:val="000000"/>
          <w:sz w:val="24"/>
        </w:rPr>
        <w:t>значителни загуби за сектора на въздухоплаването</w:t>
      </w:r>
      <w:r>
        <w:rPr>
          <w:rFonts w:ascii="Times New Roman" w:hAnsi="Times New Roman"/>
          <w:noProof/>
          <w:color w:val="000000"/>
          <w:sz w:val="24"/>
        </w:rPr>
        <w:t xml:space="preserve">, включително за големите европейски въздушни превозвачи и големите европейски летища. </w:t>
      </w:r>
      <w:r>
        <w:rPr>
          <w:rFonts w:ascii="Times New Roman" w:hAnsi="Times New Roman"/>
          <w:noProof/>
          <w:sz w:val="24"/>
        </w:rPr>
        <w:t>По отношение на приходите от туризма може да се приеме, че най-засегнатите държави членки, с които ще бъдат свързани по-г</w:t>
      </w:r>
      <w:r>
        <w:rPr>
          <w:rFonts w:ascii="Times New Roman" w:hAnsi="Times New Roman"/>
          <w:noProof/>
          <w:sz w:val="24"/>
        </w:rPr>
        <w:t>олямата част от икономическите загуби (и също така разходите за прилагане), ще бъдат Франция, Германия, Италия, Испания, Гърция и Нидерландия. Освен това туристическият сектор на петте държави членки, чиито граждани все още се нуждаят от визи, за да посетя</w:t>
      </w:r>
      <w:r>
        <w:rPr>
          <w:rFonts w:ascii="Times New Roman" w:hAnsi="Times New Roman"/>
          <w:noProof/>
          <w:sz w:val="24"/>
        </w:rPr>
        <w:t>т Канада и/или САЩ, също би изпитал отрицателни последици.</w:t>
      </w:r>
      <w:r>
        <w:rPr>
          <w:rFonts w:ascii="Times New Roman" w:hAnsi="Times New Roman"/>
          <w:b/>
          <w:noProof/>
          <w:sz w:val="24"/>
        </w:rPr>
        <w:t xml:space="preserve"> </w:t>
      </w:r>
    </w:p>
    <w:p w:rsidR="001A0123" w:rsidRDefault="00EB5296">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b/>
          <w:noProof/>
          <w:sz w:val="24"/>
          <w:szCs w:val="24"/>
        </w:rPr>
        <w:t>Бруней</w:t>
      </w:r>
      <w:r>
        <w:rPr>
          <w:rFonts w:ascii="Times New Roman" w:hAnsi="Times New Roman" w:cs="Times New Roman"/>
          <w:noProof/>
          <w:sz w:val="24"/>
          <w:szCs w:val="24"/>
        </w:rPr>
        <w:t xml:space="preserve"> е конструктивен партньор в международните форуми. Преговорите за споразумение за партньорство и сътрудничество отбелязват</w:t>
      </w:r>
      <w:r>
        <w:rPr>
          <w:rFonts w:ascii="Times New Roman" w:hAnsi="Times New Roman"/>
          <w:noProof/>
          <w:sz w:val="24"/>
        </w:rPr>
        <w:t xml:space="preserve"> добър напредък. Макар населението да е малобройно, Бруней фигурира </w:t>
      </w:r>
      <w:r>
        <w:rPr>
          <w:rFonts w:ascii="Times New Roman" w:hAnsi="Times New Roman"/>
          <w:noProof/>
          <w:sz w:val="24"/>
        </w:rPr>
        <w:t xml:space="preserve">сред най-богатите държави в света. Икономиката е отворена и силно зависима от международната търговия, като търговският баланс между ЕС и Бруней е силно в полза на ЕС. Суспендирането на премахването на визите вероятно би имало отрицателно въздействие също </w:t>
      </w:r>
      <w:r>
        <w:rPr>
          <w:rFonts w:ascii="Times New Roman" w:hAnsi="Times New Roman"/>
          <w:noProof/>
          <w:sz w:val="24"/>
        </w:rPr>
        <w:t>и върху туризма и стопанските връзки с Бруней.</w:t>
      </w:r>
    </w:p>
    <w:p w:rsidR="001A0123" w:rsidRDefault="00EB5296">
      <w:pPr>
        <w:pStyle w:val="NormalWeb"/>
        <w:keepNext/>
        <w:spacing w:before="120" w:beforeAutospacing="0" w:after="120" w:afterAutospacing="0"/>
        <w:ind w:left="360"/>
        <w:jc w:val="both"/>
        <w:rPr>
          <w:b/>
          <w:i/>
          <w:noProof/>
        </w:rPr>
      </w:pPr>
      <w:r>
        <w:rPr>
          <w:b/>
          <w:i/>
          <w:noProof/>
        </w:rPr>
        <w:t>г.</w:t>
      </w:r>
      <w:r>
        <w:rPr>
          <w:b/>
          <w:i/>
          <w:noProof/>
        </w:rPr>
        <w:tab/>
        <w:t>Въздействие върху външните отношения</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външните отношения (включително търговията)</w:t>
      </w:r>
      <w:r>
        <w:rPr>
          <w:rFonts w:ascii="Times New Roman" w:hAnsi="Times New Roman"/>
          <w:noProof/>
          <w:sz w:val="24"/>
        </w:rPr>
        <w:t xml:space="preserve">, въздействието също биха било значително. 2016 г. е много важна година за </w:t>
      </w:r>
      <w:r>
        <w:rPr>
          <w:rFonts w:ascii="Times New Roman" w:hAnsi="Times New Roman"/>
          <w:b/>
          <w:noProof/>
          <w:sz w:val="24"/>
        </w:rPr>
        <w:t>отношенията между ЕС и Канада</w:t>
      </w:r>
      <w:r>
        <w:rPr>
          <w:rFonts w:ascii="Times New Roman" w:hAnsi="Times New Roman"/>
          <w:noProof/>
          <w:sz w:val="24"/>
        </w:rPr>
        <w:t xml:space="preserve">, тъй </w:t>
      </w:r>
      <w:r>
        <w:rPr>
          <w:rFonts w:ascii="Times New Roman" w:hAnsi="Times New Roman"/>
          <w:noProof/>
          <w:sz w:val="24"/>
        </w:rPr>
        <w:t>като тя бележи 40-та годишнина на официалното ни сътрудничество. ЕС е готов да засили допълнително съществуващото отлично сътрудничество с Канада, по-специално по въпросите на външната политика и сигурността и особено чрез бързото подписване и прилагане на</w:t>
      </w:r>
      <w:r>
        <w:rPr>
          <w:rFonts w:ascii="Times New Roman" w:hAnsi="Times New Roman"/>
          <w:noProof/>
          <w:sz w:val="24"/>
        </w:rPr>
        <w:t xml:space="preserve"> Споразумението за стратегическо партньорство (ССП) и Всеобхватното икономическо и търговско споразумение (ВИТС). Предстоящата среща на върха ЕС—Канада през есента на 2016 г. следва да отбележи началото на нова и по-активна глава в отношенията между ЕС и К</w:t>
      </w:r>
      <w:r>
        <w:rPr>
          <w:rFonts w:ascii="Times New Roman" w:hAnsi="Times New Roman"/>
          <w:noProof/>
          <w:sz w:val="24"/>
        </w:rPr>
        <w:t>анада с подписването на двете споразумения. Временното суспендиране на премахването на визите за канадските граждани ще има силно отрицателно въздействие върху общата положителна атмосфера на сътрудничество и ще изложи на риск гладкото финализиране на тези</w:t>
      </w:r>
      <w:r>
        <w:rPr>
          <w:rFonts w:ascii="Times New Roman" w:hAnsi="Times New Roman"/>
          <w:noProof/>
          <w:sz w:val="24"/>
        </w:rPr>
        <w:t xml:space="preserve"> важни споразумения.</w:t>
      </w:r>
    </w:p>
    <w:p w:rsidR="001A0123" w:rsidRDefault="00EB5296">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Дълбочината и обхватът на </w:t>
      </w:r>
      <w:r>
        <w:rPr>
          <w:rFonts w:ascii="Times New Roman" w:hAnsi="Times New Roman"/>
          <w:b/>
          <w:noProof/>
          <w:sz w:val="24"/>
        </w:rPr>
        <w:t>стратегическото партньорство</w:t>
      </w:r>
      <w:r>
        <w:rPr>
          <w:rFonts w:ascii="Times New Roman" w:hAnsi="Times New Roman"/>
          <w:noProof/>
          <w:sz w:val="24"/>
        </w:rPr>
        <w:t xml:space="preserve"> между ЕС и </w:t>
      </w:r>
      <w:r>
        <w:rPr>
          <w:rFonts w:ascii="Times New Roman" w:hAnsi="Times New Roman"/>
          <w:b/>
          <w:noProof/>
          <w:sz w:val="24"/>
        </w:rPr>
        <w:t>САЩ</w:t>
      </w:r>
      <w:r>
        <w:rPr>
          <w:rFonts w:ascii="Times New Roman" w:hAnsi="Times New Roman"/>
          <w:noProof/>
          <w:sz w:val="24"/>
        </w:rPr>
        <w:t xml:space="preserve"> са уникални. Изградено на солидна основа от общи ценности, то процъфтява в продължение на повече от шест десетилетия. Между ЕС и САЩ съществуват най-значителните дву</w:t>
      </w:r>
      <w:r>
        <w:rPr>
          <w:rFonts w:ascii="Times New Roman" w:hAnsi="Times New Roman"/>
          <w:noProof/>
          <w:sz w:val="24"/>
        </w:rPr>
        <w:t>странни отношения в областта на търговията и инвестициите в световен мащаб, като процесът на преговорите за трансатлантическо партньорство в областта на търговията и инвестициите (ТПТИ) е достигнал до решаващ етап, който може да бъде застрашен от временнот</w:t>
      </w:r>
      <w:r>
        <w:rPr>
          <w:rFonts w:ascii="Times New Roman" w:hAnsi="Times New Roman"/>
          <w:noProof/>
          <w:sz w:val="24"/>
        </w:rPr>
        <w:t xml:space="preserve">о суспендиране на премахването на визите. Ежедневно ЕС и САЩ работят съвместно за изграждането на по-сигурен, демократичен и проспериращ свят. Сътрудничеството в областта на правосъдието и вътрешните работи, което гарантира сигурността на гражданите, като </w:t>
      </w:r>
      <w:r>
        <w:rPr>
          <w:rFonts w:ascii="Times New Roman" w:hAnsi="Times New Roman"/>
          <w:noProof/>
          <w:sz w:val="24"/>
        </w:rPr>
        <w:t>същевременно улеснява мобилността, винаги е било основен приоритет от двете страни на Атлантическия океан. Като цяло може да се очаква суспендирането да засегне неблагоприятно трансатлантическото сътрудничество, което е от съществено значение за благосъсто</w:t>
      </w:r>
      <w:r>
        <w:rPr>
          <w:rFonts w:ascii="Times New Roman" w:hAnsi="Times New Roman"/>
          <w:noProof/>
          <w:sz w:val="24"/>
        </w:rPr>
        <w:t>янието и сигурността на хората и от двата континента, в момент, когато по-важно от всякога е да увеличим нашите общи усилия.</w:t>
      </w:r>
    </w:p>
    <w:p w:rsidR="001A0123" w:rsidRDefault="00EB5296">
      <w:pPr>
        <w:spacing w:before="120" w:after="120" w:line="240" w:lineRule="auto"/>
        <w:jc w:val="both"/>
        <w:rPr>
          <w:noProof/>
        </w:rPr>
      </w:pPr>
      <w:r>
        <w:rPr>
          <w:rFonts w:ascii="Times New Roman" w:hAnsi="Times New Roman"/>
          <w:b/>
          <w:noProof/>
          <w:sz w:val="24"/>
        </w:rPr>
        <w:t>Въздействието върху външните ни отношения с двама стратегически партньори в година, през която важни споразумения в областта на тър</w:t>
      </w:r>
      <w:r>
        <w:rPr>
          <w:rFonts w:ascii="Times New Roman" w:hAnsi="Times New Roman"/>
          <w:b/>
          <w:noProof/>
          <w:sz w:val="24"/>
        </w:rPr>
        <w:t>говията се намират на решаващ етап или следва да бъдат финализирани, ще бъде съществено</w:t>
      </w:r>
      <w:r>
        <w:rPr>
          <w:rFonts w:ascii="Times New Roman" w:hAnsi="Times New Roman"/>
          <w:noProof/>
          <w:sz w:val="24"/>
        </w:rPr>
        <w:t>.</w:t>
      </w:r>
    </w:p>
    <w:p w:rsidR="001A0123" w:rsidRDefault="00EB5296">
      <w:pPr>
        <w:pStyle w:val="Heading1"/>
        <w:keepLines w:val="0"/>
        <w:spacing w:before="240" w:after="240" w:line="240" w:lineRule="auto"/>
        <w:rPr>
          <w:rFonts w:ascii="Times New Roman" w:hAnsi="Times New Roman"/>
          <w:smallCaps/>
          <w:noProof/>
          <w:color w:val="auto"/>
          <w:sz w:val="24"/>
          <w:szCs w:val="24"/>
        </w:rPr>
      </w:pPr>
      <w:r>
        <w:rPr>
          <w:rFonts w:ascii="Times New Roman" w:hAnsi="Times New Roman"/>
          <w:smallCaps/>
          <w:noProof/>
          <w:color w:val="auto"/>
          <w:sz w:val="24"/>
        </w:rPr>
        <w:t>V.</w:t>
      </w:r>
      <w:r>
        <w:rPr>
          <w:noProof/>
        </w:rPr>
        <w:tab/>
      </w:r>
      <w:r>
        <w:rPr>
          <w:rFonts w:ascii="Times New Roman" w:hAnsi="Times New Roman"/>
          <w:smallCaps/>
          <w:noProof/>
          <w:color w:val="auto"/>
          <w:sz w:val="24"/>
        </w:rPr>
        <w:t>Заключение</w:t>
      </w:r>
    </w:p>
    <w:p w:rsidR="001A0123" w:rsidRDefault="00EB5296">
      <w:pPr>
        <w:spacing w:before="120" w:after="120" w:line="240" w:lineRule="auto"/>
        <w:jc w:val="both"/>
        <w:rPr>
          <w:rFonts w:ascii="Times New Roman" w:hAnsi="Times New Roman" w:cs="Times New Roman"/>
          <w:noProof/>
        </w:rPr>
      </w:pPr>
      <w:r>
        <w:rPr>
          <w:rFonts w:ascii="Times New Roman" w:hAnsi="Times New Roman"/>
          <w:noProof/>
          <w:sz w:val="24"/>
        </w:rPr>
        <w:t>Комисията приветства постигането на пълна реципрочност в премахването на визите с Япония.</w:t>
      </w:r>
    </w:p>
    <w:p w:rsidR="001A0123" w:rsidRDefault="00EB5296">
      <w:pPr>
        <w:spacing w:before="120" w:after="120" w:line="240" w:lineRule="auto"/>
        <w:jc w:val="both"/>
        <w:rPr>
          <w:rFonts w:ascii="Times New Roman" w:hAnsi="Times New Roman" w:cs="Times New Roman"/>
          <w:noProof/>
        </w:rPr>
      </w:pPr>
      <w:r>
        <w:rPr>
          <w:rFonts w:ascii="Times New Roman" w:hAnsi="Times New Roman"/>
          <w:noProof/>
          <w:sz w:val="24"/>
        </w:rPr>
        <w:t xml:space="preserve">Комисията отбелязва, че пълна реципрочност в премахването на </w:t>
      </w:r>
      <w:r>
        <w:rPr>
          <w:rFonts w:ascii="Times New Roman" w:hAnsi="Times New Roman"/>
          <w:noProof/>
          <w:sz w:val="24"/>
        </w:rPr>
        <w:t>визите все още не е постигната с Бруней, но въз основа на проведените неотдавна контакти Комисията очаква, че това ще се постигне с официална нотификация до края на април 2016 г.</w:t>
      </w:r>
    </w:p>
    <w:p w:rsidR="001A0123" w:rsidRDefault="00EB5296">
      <w:pPr>
        <w:spacing w:before="120" w:after="120" w:line="240" w:lineRule="auto"/>
        <w:jc w:val="both"/>
        <w:rPr>
          <w:rFonts w:ascii="Times New Roman" w:hAnsi="Times New Roman" w:cs="Times New Roman"/>
          <w:noProof/>
        </w:rPr>
      </w:pPr>
      <w:r>
        <w:rPr>
          <w:rFonts w:ascii="Times New Roman" w:hAnsi="Times New Roman"/>
          <w:noProof/>
          <w:sz w:val="24"/>
        </w:rPr>
        <w:t>Що се отнася до Канада и Съединените щати, Комисията отбелязва, че все още не</w:t>
      </w:r>
      <w:r>
        <w:rPr>
          <w:rFonts w:ascii="Times New Roman" w:hAnsi="Times New Roman"/>
          <w:noProof/>
          <w:sz w:val="24"/>
        </w:rPr>
        <w:t xml:space="preserve"> е постигната пълна визова реципрочност. Поради това Комисията ще настоява за пълна визова реципрочност с тези две държави. Комисията призовава Канада и Съединените щати да демонстрират своя ангажимент чрез въвеждане на конкретни мерки за постигане на пълн</w:t>
      </w:r>
      <w:r>
        <w:rPr>
          <w:rFonts w:ascii="Times New Roman" w:hAnsi="Times New Roman"/>
          <w:noProof/>
          <w:sz w:val="24"/>
        </w:rPr>
        <w:t xml:space="preserve">а визова реципрочност за всички 28 държави — членки на Европейския съюз. </w:t>
      </w:r>
    </w:p>
    <w:p w:rsidR="001A0123" w:rsidRDefault="00EB5296">
      <w:pPr>
        <w:pStyle w:val="NormalWeb"/>
        <w:spacing w:before="120" w:beforeAutospacing="0" w:after="120" w:afterAutospacing="0"/>
        <w:jc w:val="both"/>
        <w:rPr>
          <w:noProof/>
        </w:rPr>
      </w:pPr>
      <w:r>
        <w:rPr>
          <w:noProof/>
        </w:rPr>
        <w:t>По отношение на сегашния механизъм за реципрочност Комисията приканва Европейския парламент и Съвета спешно да започнат обсъждания и да заемат позиция относно най-уместния начин на д</w:t>
      </w:r>
      <w:r>
        <w:rPr>
          <w:noProof/>
        </w:rPr>
        <w:t>ействие с оглед на предоставената с настоящото съобщение оценка. Европейският парламент и Съветът се приканват да информират Комисията за съответните си позиции не по-късно от 12 юли 2016 г.</w:t>
      </w:r>
    </w:p>
    <w:p w:rsidR="001A0123" w:rsidRDefault="001A0123">
      <w:pPr>
        <w:spacing w:before="120" w:after="120" w:line="240" w:lineRule="auto"/>
        <w:jc w:val="center"/>
        <w:rPr>
          <w:rFonts w:ascii="Times New Roman" w:hAnsi="Times New Roman" w:cs="Times New Roman"/>
          <w:noProof/>
          <w:sz w:val="24"/>
          <w:szCs w:val="24"/>
        </w:rPr>
      </w:pPr>
    </w:p>
    <w:sectPr w:rsidR="001A012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23" w:rsidRDefault="00EB5296">
      <w:pPr>
        <w:spacing w:after="0" w:line="240" w:lineRule="auto"/>
      </w:pPr>
      <w:r>
        <w:separator/>
      </w:r>
    </w:p>
  </w:endnote>
  <w:endnote w:type="continuationSeparator" w:id="0">
    <w:p w:rsidR="001A0123" w:rsidRDefault="00EB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96" w:rsidRDefault="00EB5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23" w:rsidRDefault="00EB5296" w:rsidP="00EB5296">
    <w:pPr>
      <w:pStyle w:val="FooterCoverPage"/>
      <w:pBdr>
        <w:top w:val="none" w:sz="0" w:space="0" w:color="auto"/>
        <w:left w:val="none" w:sz="0" w:space="0" w:color="auto"/>
        <w:bottom w:val="none" w:sz="0" w:space="0" w:color="auto"/>
        <w:right w:val="none" w:sz="0" w:space="0" w:color="auto"/>
      </w:pBdr>
      <w:shd w:val="clear" w:color="auto" w:fill="FFFFFF" w:themeFill="background1"/>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96" w:rsidRDefault="00EB52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23" w:rsidRDefault="001A01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30191"/>
      <w:docPartObj>
        <w:docPartGallery w:val="Page Numbers (Bottom of Page)"/>
        <w:docPartUnique/>
      </w:docPartObj>
    </w:sdtPr>
    <w:sdtEndPr>
      <w:rPr>
        <w:rFonts w:ascii="Times New Roman" w:hAnsi="Times New Roman" w:cs="Times New Roman"/>
        <w:noProof/>
      </w:rPr>
    </w:sdtEndPr>
    <w:sdtContent>
      <w:p w:rsidR="001A0123" w:rsidRDefault="00EB529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1A0123" w:rsidRDefault="001A01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23" w:rsidRDefault="001A0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23" w:rsidRDefault="00EB5296">
      <w:pPr>
        <w:spacing w:after="0" w:line="240" w:lineRule="auto"/>
      </w:pPr>
      <w:r>
        <w:separator/>
      </w:r>
    </w:p>
  </w:footnote>
  <w:footnote w:type="continuationSeparator" w:id="0">
    <w:p w:rsidR="001A0123" w:rsidRDefault="00EB5296">
      <w:pPr>
        <w:spacing w:after="0" w:line="240" w:lineRule="auto"/>
      </w:pPr>
      <w:r>
        <w:continuationSeparator/>
      </w:r>
    </w:p>
  </w:footnote>
  <w:footnote w:id="1">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Съответно в настоящото съобщение „държави членки“, освен ако е посочено друго, следва да се разбира като всички държави — членки на ЕС, с изключение на Обединеното кралство и Ирландия, а също и държавите, асоциирани към Шенген (Исландия, Лихтенщайн, Норве</w:t>
      </w:r>
      <w:r>
        <w:rPr>
          <w:rFonts w:ascii="Times New Roman" w:hAnsi="Times New Roman"/>
        </w:rPr>
        <w:t>гия и Швейцария).</w:t>
      </w:r>
    </w:p>
  </w:footnote>
  <w:footnote w:id="2">
    <w:p w:rsidR="001A0123" w:rsidRDefault="00EB529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C(2015) 7455 final от 5.11.2015 г.</w:t>
      </w:r>
    </w:p>
  </w:footnote>
  <w:footnote w:id="3">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1289/2013 на Европейския парламент и на Съвета от 11 декември 2013 г. за изменение на Регламент (ЕО) № 539/2001 на Съвета за определяне на третите страни, чиито граждани трябва да притежават виза, когато преминават външните граници на дър</w:t>
      </w:r>
      <w:r>
        <w:rPr>
          <w:rFonts w:ascii="Times New Roman" w:hAnsi="Times New Roman"/>
        </w:rPr>
        <w:t>жавите членки, както и тези, чиито граждани са освободени от това изискване, ОВ L 347 от 11.12.2013 г., стр. 74).</w:t>
      </w:r>
    </w:p>
  </w:footnote>
  <w:footnote w:id="4">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Комисията публикува нотификациите на липса на реципрочност на 12 април 2014 г. (ОВ C 111, 12.4.2014 г., стр. 1.). Пет държави членки (Българ</w:t>
      </w:r>
      <w:r>
        <w:rPr>
          <w:rFonts w:ascii="Times New Roman" w:hAnsi="Times New Roman"/>
        </w:rPr>
        <w:t>ия, Кипър, Полша, Румъния и Хърватия) нотифицираха случаи на липса на реципрочност по отношение на пет държави: Австралия, Бруней Даруссалам, Канада, Съединените американски щати и Япония.</w:t>
      </w:r>
    </w:p>
  </w:footnote>
  <w:footnote w:id="5">
    <w:p w:rsidR="001A0123" w:rsidRDefault="00EB5296">
      <w:pPr>
        <w:pStyle w:val="FootnoteText"/>
      </w:pPr>
      <w:r>
        <w:rPr>
          <w:rStyle w:val="FootnoteReference"/>
        </w:rPr>
        <w:footnoteRef/>
      </w:r>
      <w:r>
        <w:t xml:space="preserve"> </w:t>
      </w:r>
      <w:r>
        <w:rPr>
          <w:rFonts w:ascii="Times New Roman" w:hAnsi="Times New Roman"/>
        </w:rPr>
        <w:t>Член 1, параграф 4, буква б).</w:t>
      </w:r>
    </w:p>
  </w:footnote>
  <w:footnote w:id="6">
    <w:p w:rsidR="001A0123" w:rsidRDefault="00EB5296">
      <w:pPr>
        <w:pStyle w:val="FootnoteText"/>
      </w:pPr>
      <w:r>
        <w:rPr>
          <w:rStyle w:val="FootnoteReference"/>
        </w:rPr>
        <w:footnoteRef/>
      </w:r>
      <w:r>
        <w:t xml:space="preserve"> </w:t>
      </w:r>
      <w:r>
        <w:rPr>
          <w:rFonts w:ascii="Times New Roman" w:hAnsi="Times New Roman"/>
        </w:rPr>
        <w:t xml:space="preserve">C(2014) 7218 final от 10.10.2014 </w:t>
      </w:r>
      <w:r>
        <w:rPr>
          <w:rFonts w:ascii="Times New Roman" w:hAnsi="Times New Roman"/>
        </w:rPr>
        <w:t>г., C(2015) 2575 final от 22.4.2015 г. и C(2015) 7455 final от 5.11.2015 г.</w:t>
      </w:r>
    </w:p>
  </w:footnote>
  <w:footnote w:id="7">
    <w:p w:rsidR="001A0123" w:rsidRDefault="00EB529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 силата на член 1, параграф 4, буква е) от Регламента.</w:t>
      </w:r>
    </w:p>
  </w:footnote>
  <w:footnote w:id="8">
    <w:p w:rsidR="001A0123" w:rsidRDefault="00EB529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Ще продължи да се прилага член 4 от Регламента, който дава възможност на държавите членки да освобождават от изискванет</w:t>
      </w:r>
      <w:r>
        <w:rPr>
          <w:rFonts w:ascii="Times New Roman" w:hAnsi="Times New Roman"/>
        </w:rPr>
        <w:t>о за виза някои категории лица като притежателите на дипломатически паспорти и членовете на граждански въздушни и морски екипажи.</w:t>
      </w:r>
    </w:p>
  </w:footnote>
  <w:footnote w:id="9">
    <w:p w:rsidR="001A0123" w:rsidRDefault="00EB5296">
      <w:pPr>
        <w:pStyle w:val="FootnoteText"/>
      </w:pPr>
      <w:r>
        <w:rPr>
          <w:rStyle w:val="FootnoteReference"/>
        </w:rPr>
        <w:footnoteRef/>
      </w:r>
      <w:r>
        <w:t xml:space="preserve"> </w:t>
      </w:r>
      <w:r>
        <w:rPr>
          <w:rFonts w:ascii="Times New Roman" w:hAnsi="Times New Roman"/>
        </w:rPr>
        <w:t>Член 4, буква б), параграф 3.</w:t>
      </w:r>
    </w:p>
  </w:footnote>
  <w:footnote w:id="10">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Споразумение за обмен на информация за проверка относно известни или предполагаеми терористи</w:t>
      </w:r>
      <w:r>
        <w:rPr>
          <w:rFonts w:ascii="Times New Roman" w:hAnsi="Times New Roman"/>
        </w:rPr>
        <w:t>; Споразумение за засилване на сътрудничеството в предотвратяването и борбата с тежката престъпност.</w:t>
      </w:r>
    </w:p>
  </w:footnote>
  <w:footnote w:id="11">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 пътувалите до Либия, Йемен и Сомалия на мястото на влизане в страната може да им бъде отнето разрешението за пътуване от ЕСРП, като при все това им се</w:t>
      </w:r>
      <w:r>
        <w:rPr>
          <w:rFonts w:ascii="Times New Roman" w:hAnsi="Times New Roman"/>
        </w:rPr>
        <w:t xml:space="preserve"> разреши да влязат в САЩ. От април във въпросника на ЕСРП ще бъде включена информация за предишни пътувания до тези страни. Лицата с двойно гражданство от държавите, участващи в Програмата за премахване на визите, притежаващи гражданство на Йемен, Либия ил</w:t>
      </w:r>
      <w:r>
        <w:rPr>
          <w:rFonts w:ascii="Times New Roman" w:hAnsi="Times New Roman"/>
        </w:rPr>
        <w:t>и Сомалия, понастоящем все още могат да пътуват с разрешение за пътуване от ЕСРП.</w:t>
      </w:r>
    </w:p>
  </w:footnote>
  <w:footnote w:id="12">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Например коментарна статия, подписана от ръководителя на делегацията на ЕС във Вашингтон и посланиците на всички държави — членки на ЕС, в САЩ, бе публикувана на 14 декемвр</w:t>
      </w:r>
      <w:r>
        <w:rPr>
          <w:rFonts w:ascii="Times New Roman" w:hAnsi="Times New Roman"/>
        </w:rPr>
        <w:t>и 2015 г. в конгресния блог на „Тhe Hill“, (http://thehill.com/blogs/congress-blog/foreign-policy/262999-what-the-visa-waiver-program-means-to-europe).</w:t>
      </w:r>
    </w:p>
  </w:footnote>
  <w:footnote w:id="13">
    <w:p w:rsidR="001A0123" w:rsidRDefault="00EB529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http://www.state.gov/r/pa/prs/p</w:t>
        </w:r>
        <w:r>
          <w:rPr>
            <w:rStyle w:val="Hyperlink"/>
            <w:rFonts w:ascii="Times New Roman" w:hAnsi="Times New Roman"/>
          </w:rPr>
          <w:t>s/2016/01/251577.htm</w:t>
        </w:r>
      </w:hyperlink>
    </w:p>
  </w:footnote>
  <w:footnote w:id="14">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Представители на международни организации, на хуманитарни НПО, пътуващи по служба, журналисти и определени групи бизнесмени.</w:t>
      </w:r>
    </w:p>
  </w:footnote>
  <w:footnote w:id="15">
    <w:p w:rsidR="001A0123" w:rsidRDefault="00EB529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https://www.congress.gov/b</w:t>
        </w:r>
        <w:r>
          <w:rPr>
            <w:rStyle w:val="Hyperlink"/>
            <w:rFonts w:ascii="Times New Roman" w:hAnsi="Times New Roman"/>
          </w:rPr>
          <w:t>ill/114th-congress/house-bill/1401</w:t>
        </w:r>
      </w:hyperlink>
      <w:r>
        <w:rPr>
          <w:rFonts w:ascii="Times New Roman" w:hAnsi="Times New Roman"/>
        </w:rPr>
        <w:t xml:space="preserve"> </w:t>
      </w:r>
    </w:p>
  </w:footnote>
  <w:footnote w:id="16">
    <w:p w:rsidR="001A0123" w:rsidRDefault="00EB529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https://www.congress.gov/bill/114th-congress/house-bill/4380/text</w:t>
        </w:r>
      </w:hyperlink>
      <w:r>
        <w:rPr>
          <w:rFonts w:ascii="Times New Roman" w:hAnsi="Times New Roman"/>
        </w:rPr>
        <w:t xml:space="preserve"> </w:t>
      </w:r>
    </w:p>
  </w:footnote>
  <w:footnote w:id="17">
    <w:p w:rsidR="001A0123" w:rsidRDefault="00EB529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http://ec.europa.eu/smart-regulation/guidelines/tool_5_en.htm</w:t>
      </w:r>
    </w:p>
  </w:footnote>
  <w:footnote w:id="18">
    <w:p w:rsidR="001A0123" w:rsidRDefault="00EB5296">
      <w:pPr>
        <w:pStyle w:val="FootnoteText"/>
        <w:rPr>
          <w:rFonts w:ascii="Times New Roman" w:hAnsi="Times New Roman" w:cs="Times New Roman"/>
        </w:rPr>
      </w:pPr>
      <w:r>
        <w:rPr>
          <w:rStyle w:val="FootnoteReference"/>
        </w:rPr>
        <w:footnoteRef/>
      </w:r>
      <w:r>
        <w:t xml:space="preserve"> </w:t>
      </w:r>
      <w:r>
        <w:rPr>
          <w:rFonts w:ascii="Times New Roman" w:hAnsi="Times New Roman"/>
        </w:rPr>
        <w:t>Вж. бележка под линия 1.</w:t>
      </w:r>
    </w:p>
  </w:footnote>
  <w:footnote w:id="19">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https://www.uscis.gov/iframe/ilink/docView/SLB/HTML/SLB/0-0-0-1/0-0-0-29/0-0-0-4391.html</w:t>
        </w:r>
      </w:hyperlink>
      <w:r>
        <w:rPr>
          <w:rFonts w:ascii="Times New Roman" w:hAnsi="Times New Roman"/>
        </w:rPr>
        <w:t xml:space="preserve">. </w:t>
      </w:r>
    </w:p>
  </w:footnote>
  <w:footnote w:id="20">
    <w:p w:rsidR="001A0123" w:rsidRDefault="00EB529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http://www.e-unwto.org/toc/u</w:t>
      </w:r>
      <w:r>
        <w:rPr>
          <w:rFonts w:ascii="Times New Roman" w:hAnsi="Times New Roman"/>
        </w:rPr>
        <w:t>nwtotfb/current</w:t>
      </w:r>
    </w:p>
  </w:footnote>
  <w:footnote w:id="21">
    <w:p w:rsidR="001A0123" w:rsidRDefault="00EB5296">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http://travel.trade.gov/outreachpages/inbound.general_information.inbound_overview.asp</w:t>
      </w:r>
    </w:p>
  </w:footnote>
  <w:footnote w:id="22">
    <w:p w:rsidR="001A0123" w:rsidRDefault="00EB5296">
      <w:pPr>
        <w:pStyle w:val="FootnoteText"/>
      </w:pPr>
      <w:r>
        <w:rPr>
          <w:rStyle w:val="FootnoteReference"/>
          <w:rFonts w:ascii="Times New Roman" w:hAnsi="Times New Roman"/>
        </w:rPr>
        <w:footnoteRef/>
      </w:r>
      <w:r>
        <w:rPr>
          <w:rFonts w:ascii="Times New Roman" w:hAnsi="Times New Roman"/>
        </w:rPr>
        <w:t xml:space="preserve"> Табло 6 на Окончателната наредба на ЕСРП (Final Rule of the ESTA), стр. 32289 (достъпна на адрес: </w:t>
      </w:r>
      <w:hyperlink r:id="rId5">
        <w:r>
          <w:rPr>
            <w:rStyle w:val="Hyperlink"/>
            <w:rFonts w:ascii="Times New Roman" w:hAnsi="Times New Roman"/>
          </w:rPr>
          <w:t>https://www.gpo.gov/fdsys/pkg/FR-2015-06-08/pdf/2015-13919.pdf</w:t>
        </w:r>
      </w:hyperlink>
      <w:r>
        <w:rPr>
          <w:rFonts w:ascii="Times New Roman" w:hAnsi="Times New Roman"/>
        </w:rPr>
        <w:t xml:space="preserve">). </w:t>
      </w:r>
    </w:p>
  </w:footnote>
  <w:footnote w:id="23">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сравнение — безвизово пътуващите за САЩ в момента плащат 14 щатски долара за ЕСРП (с валидност две години).</w:t>
      </w:r>
    </w:p>
  </w:footnote>
  <w:footnote w:id="24">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Като се вземе предвид таксата за виза от 100 канадски долара и ако се предположи, че размерът на непреките разходи може да се счита за подобен на този за заявленията за американска виза.</w:t>
      </w:r>
    </w:p>
  </w:footnote>
  <w:footnote w:id="25">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сравнение — безвизово пътуващите за Канада плащат 7 канадски до</w:t>
      </w:r>
      <w:r>
        <w:rPr>
          <w:rFonts w:ascii="Times New Roman" w:hAnsi="Times New Roman"/>
        </w:rPr>
        <w:t>лара за еРП (с валидност до пет години).</w:t>
      </w:r>
    </w:p>
  </w:footnote>
  <w:footnote w:id="26">
    <w:p w:rsidR="001A0123" w:rsidRDefault="00EB529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Тази оценка се основава на проучване от 2013 г. относно потенциалното въздействие на визови облекчения в шест други основни целеви пазара. Според това проучване туристическите агенти са преценили, че биха продавал</w:t>
      </w:r>
      <w:r>
        <w:rPr>
          <w:rFonts w:ascii="Times New Roman" w:hAnsi="Times New Roman"/>
        </w:rPr>
        <w:t xml:space="preserve">и поне 20 % повече пътувания, ако пътуването в Шенгенското пространство е безвизово. Изискването на виза от канадските и американските граждани ще имат обратен ефект, но в по-малък мащаб. </w:t>
      </w:r>
    </w:p>
    <w:p w:rsidR="001A0123" w:rsidRDefault="00EB5296">
      <w:pPr>
        <w:pStyle w:val="FootnoteText"/>
        <w:jc w:val="both"/>
        <w:rPr>
          <w:rFonts w:ascii="Times New Roman" w:hAnsi="Times New Roman" w:cs="Times New Roman"/>
        </w:rPr>
      </w:pPr>
      <w:r>
        <w:rPr>
          <w:rFonts w:ascii="Times New Roman" w:hAnsi="Times New Roman"/>
        </w:rPr>
        <w:t>(</w:t>
      </w:r>
      <w:hyperlink r:id="rId6">
        <w:r>
          <w:rPr>
            <w:rStyle w:val="Hyperlink"/>
            <w:rFonts w:ascii="Times New Roman" w:hAnsi="Times New Roman"/>
          </w:rPr>
          <w:t>http://ec.europa.eu/growth/tools-databases/newsroom/cf/itemdetail.cfm?item_id=7005&amp;lang=en</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96" w:rsidRDefault="00EB5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23" w:rsidRDefault="001A0123" w:rsidP="00EB5296">
    <w:pPr>
      <w:pStyle w:val="HeaderCoverPage"/>
      <w:pBdr>
        <w:top w:val="none" w:sz="0" w:space="0" w:color="auto"/>
        <w:left w:val="none" w:sz="0" w:space="0" w:color="auto"/>
        <w:bottom w:val="none" w:sz="0" w:space="0" w:color="auto"/>
        <w:right w:val="none" w:sz="0" w:space="0" w:color="auto"/>
      </w:pBdr>
      <w:shd w:val="clear" w:color="auto" w:fill="FFFFFF" w:themeFill="background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96" w:rsidRDefault="00EB52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23" w:rsidRDefault="001A01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23" w:rsidRDefault="001A01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23" w:rsidRDefault="001A0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0676"/>
    <w:multiLevelType w:val="hybridMultilevel"/>
    <w:tmpl w:val="0E0093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9A5C49"/>
    <w:multiLevelType w:val="hybridMultilevel"/>
    <w:tmpl w:val="3C0C1D36"/>
    <w:lvl w:ilvl="0" w:tplc="F14A26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53436"/>
    <w:multiLevelType w:val="hybridMultilevel"/>
    <w:tmpl w:val="01A458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F2414A"/>
    <w:multiLevelType w:val="hybridMultilevel"/>
    <w:tmpl w:val="E2904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29295E"/>
    <w:multiLevelType w:val="hybridMultilevel"/>
    <w:tmpl w:val="4734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E5DF0"/>
    <w:multiLevelType w:val="hybridMultilevel"/>
    <w:tmpl w:val="C6E84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89061F"/>
    <w:multiLevelType w:val="hybridMultilevel"/>
    <w:tmpl w:val="41642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8F6CA3"/>
    <w:multiLevelType w:val="hybridMultilevel"/>
    <w:tmpl w:val="F9C239A4"/>
    <w:lvl w:ilvl="0" w:tplc="ADBA4A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2561F"/>
    <w:multiLevelType w:val="hybridMultilevel"/>
    <w:tmpl w:val="6BC62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260F7E"/>
    <w:multiLevelType w:val="hybridMultilevel"/>
    <w:tmpl w:val="01905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303368"/>
    <w:multiLevelType w:val="hybridMultilevel"/>
    <w:tmpl w:val="CDCE0C6C"/>
    <w:lvl w:ilvl="0" w:tplc="530EAA7A">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70D14"/>
    <w:multiLevelType w:val="hybridMultilevel"/>
    <w:tmpl w:val="C6E84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4074BF"/>
    <w:multiLevelType w:val="hybridMultilevel"/>
    <w:tmpl w:val="78C8EE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2B1515"/>
    <w:multiLevelType w:val="hybridMultilevel"/>
    <w:tmpl w:val="E6829A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9E77FD5"/>
    <w:multiLevelType w:val="hybridMultilevel"/>
    <w:tmpl w:val="CF3474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987709"/>
    <w:multiLevelType w:val="hybridMultilevel"/>
    <w:tmpl w:val="D00C1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520074E"/>
    <w:multiLevelType w:val="hybridMultilevel"/>
    <w:tmpl w:val="6BC62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7015D4"/>
    <w:multiLevelType w:val="hybridMultilevel"/>
    <w:tmpl w:val="D4A8D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521CC"/>
    <w:multiLevelType w:val="hybridMultilevel"/>
    <w:tmpl w:val="A8A69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C0F6E7C"/>
    <w:multiLevelType w:val="hybridMultilevel"/>
    <w:tmpl w:val="A3BCF7CA"/>
    <w:lvl w:ilvl="0" w:tplc="FFFFFFFF">
      <w:start w:val="1"/>
      <w:numFmt w:val="bullet"/>
      <w:lvlText w:val="–"/>
      <w:lvlJc w:val="left"/>
      <w:pPr>
        <w:ind w:left="1004" w:hanging="360"/>
      </w:pPr>
      <w:rPr>
        <w:rFonts w:ascii="Times New Roman" w:hAnsi="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12A4CF5"/>
    <w:multiLevelType w:val="hybridMultilevel"/>
    <w:tmpl w:val="51D616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274DC7"/>
    <w:multiLevelType w:val="hybridMultilevel"/>
    <w:tmpl w:val="CDFE0714"/>
    <w:lvl w:ilvl="0" w:tplc="6144ECEC">
      <w:start w:val="1"/>
      <w:numFmt w:val="bullet"/>
      <w:lvlText w:val="-"/>
      <w:lvlJc w:val="left"/>
      <w:pPr>
        <w:ind w:left="720" w:hanging="360"/>
      </w:pPr>
      <w:rPr>
        <w:rFonts w:ascii="Bookman Old Style" w:eastAsia="Calibri" w:hAnsi="Bookman Old Styl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85E3231"/>
    <w:multiLevelType w:val="hybridMultilevel"/>
    <w:tmpl w:val="8758E3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6C2F0E18"/>
    <w:multiLevelType w:val="hybridMultilevel"/>
    <w:tmpl w:val="CC1C0112"/>
    <w:lvl w:ilvl="0" w:tplc="ADBA4A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D54114D"/>
    <w:multiLevelType w:val="hybridMultilevel"/>
    <w:tmpl w:val="8D9620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03C74E3"/>
    <w:multiLevelType w:val="hybridMultilevel"/>
    <w:tmpl w:val="FAB0B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034159"/>
    <w:multiLevelType w:val="hybridMultilevel"/>
    <w:tmpl w:val="86FC1B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3F221B"/>
    <w:multiLevelType w:val="hybridMultilevel"/>
    <w:tmpl w:val="636A5E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300D4F"/>
    <w:multiLevelType w:val="hybridMultilevel"/>
    <w:tmpl w:val="D3CE3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6A6FD6"/>
    <w:multiLevelType w:val="hybridMultilevel"/>
    <w:tmpl w:val="2E1437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69480E"/>
    <w:multiLevelType w:val="hybridMultilevel"/>
    <w:tmpl w:val="2FA41A9C"/>
    <w:lvl w:ilvl="0" w:tplc="FFFFFFFF">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8"/>
  </w:num>
  <w:num w:numId="4">
    <w:abstractNumId w:val="16"/>
  </w:num>
  <w:num w:numId="5">
    <w:abstractNumId w:val="3"/>
  </w:num>
  <w:num w:numId="6">
    <w:abstractNumId w:val="13"/>
  </w:num>
  <w:num w:numId="7">
    <w:abstractNumId w:val="10"/>
  </w:num>
  <w:num w:numId="8">
    <w:abstractNumId w:val="30"/>
  </w:num>
  <w:num w:numId="9">
    <w:abstractNumId w:val="2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20"/>
  </w:num>
  <w:num w:numId="14">
    <w:abstractNumId w:val="26"/>
  </w:num>
  <w:num w:numId="15">
    <w:abstractNumId w:val="14"/>
  </w:num>
  <w:num w:numId="16">
    <w:abstractNumId w:val="9"/>
  </w:num>
  <w:num w:numId="17">
    <w:abstractNumId w:val="1"/>
  </w:num>
  <w:num w:numId="18">
    <w:abstractNumId w:val="7"/>
  </w:num>
  <w:num w:numId="19">
    <w:abstractNumId w:val="19"/>
  </w:num>
  <w:num w:numId="20">
    <w:abstractNumId w:val="15"/>
  </w:num>
  <w:num w:numId="21">
    <w:abstractNumId w:val="17"/>
  </w:num>
  <w:num w:numId="22">
    <w:abstractNumId w:val="28"/>
  </w:num>
  <w:num w:numId="23">
    <w:abstractNumId w:val="6"/>
  </w:num>
  <w:num w:numId="24">
    <w:abstractNumId w:val="12"/>
  </w:num>
  <w:num w:numId="25">
    <w:abstractNumId w:val="2"/>
  </w:num>
  <w:num w:numId="26">
    <w:abstractNumId w:val="4"/>
  </w:num>
  <w:num w:numId="27">
    <w:abstractNumId w:val="24"/>
  </w:num>
  <w:num w:numId="28">
    <w:abstractNumId w:val="5"/>
  </w:num>
  <w:num w:numId="29">
    <w:abstractNumId w:val="27"/>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79236B16E0348C9A1B556DB5D96375A"/>
    <w:docVar w:name="LW_CROSSREFERENCE" w:val="&lt;UNUSED&gt;"/>
    <w:docVar w:name="LW_DocType" w:val="NORMAL"/>
    <w:docVar w:name="LW_EMISSION" w:val="12.4.2016"/>
    <w:docVar w:name="LW_EMISSION_ISODATE" w:val="2016-04-12"/>
    <w:docVar w:name="LW_EMISSION_LOCATION" w:val="STR"/>
    <w:docVar w:name="LW_EMISSION_PREFIX" w:val="Страсбург,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21"/>
    <w:docVar w:name="LW_REF.INTERNE" w:val="&lt;UNUSED&gt;"/>
    <w:docVar w:name="LW_SOUS.TITRE.OBJ.CP" w:val="&lt;UNUSED&gt;"/>
    <w:docVar w:name="LW_SUPERTITRE" w:val="&lt;UNUSED&gt;"/>
    <w:docVar w:name="LW_TITRE.OBJ.CP" w:val="A\u1082?\u1090?\u1091?\u1072?\u1083?\u1085?\u1086? \u1089?\u1098?\u1089?\u1090?\u1086?\u1103?\u1085?\u1080?\u1077? \u1080? \u1074?\u1098?\u1079?\u1084?\u1086?\u1078?\u1085?\u1080? \u1089?\u1083?\u1077?\u1076?\u1074?\u1072?\u1097?\u1080? \u1089?\u1090?\u1098?\u1087?\u1082?\u1080? \u1087?\u1086? \u1086?\u1090?\u1085?\u1086?\u1096?\u1077?\u1085?\u1080?\u1077? \u1085?\u1072? \u1083?\u1080?\u1087?\u1089?\u1072?\u1090?\u1072? \u1085?\u1072? \u1088?\u1077?\u1094?\u1080?\u1087?\u1088?\u1086?\u1095?\u1085?\u1086?\u1089?\u1090? \u1089? \u1085?\u1103?\u1082?\u1086?\u1080? \u1090?\u1088?\u1077?\u1090?\u1080? \u1076?\u1098?\u1088?\u1078?\u1072?\u1074?\u1080? \u1074? \u1086?\u1073?\u1083?\u1072?\u1089?\u1090?\u1090?\u1072? \u1085?\u1072? \u1074?\u1080?\u1079?\u1086?\u1074?\u1072?\u1090?\u1072? \u1087?\u1086?\u1083?\u1080?\u1090?\u1080?\u1082?\u1072?"/>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1A0123"/>
    <w:rsid w:val="001A0123"/>
    <w:rsid w:val="00EB529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EEECE1" w:themeFill="background2"/>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EEECE1" w:themeFill="background2"/>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2">
    <w:name w:val="Text 2"/>
    <w:basedOn w:val="Normal"/>
    <w:pPr>
      <w:spacing w:after="120" w:line="240" w:lineRule="auto"/>
      <w:jc w:val="both"/>
    </w:pPr>
    <w:rPr>
      <w:rFonts w:ascii="Times New Roman" w:eastAsia="Times New Roman" w:hAnsi="Times New Roman" w:cs="Times New Roman"/>
      <w:szCs w:val="20"/>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EEECE1" w:themeFill="background2"/>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shd w:val="clear" w:color="auto" w:fill="EEECE1" w:themeFill="background2"/>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EEECE1" w:themeFill="background2"/>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2">
    <w:name w:val="Text 2"/>
    <w:basedOn w:val="Normal"/>
    <w:pPr>
      <w:spacing w:after="120" w:line="240" w:lineRule="auto"/>
      <w:jc w:val="both"/>
    </w:pPr>
    <w:rPr>
      <w:rFonts w:ascii="Times New Roman" w:eastAsia="Times New Roman" w:hAnsi="Times New Roman" w:cs="Times New Roman"/>
      <w:szCs w:val="20"/>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160">
      <w:bodyDiv w:val="1"/>
      <w:marLeft w:val="0"/>
      <w:marRight w:val="0"/>
      <w:marTop w:val="0"/>
      <w:marBottom w:val="0"/>
      <w:divBdr>
        <w:top w:val="none" w:sz="0" w:space="0" w:color="auto"/>
        <w:left w:val="none" w:sz="0" w:space="0" w:color="auto"/>
        <w:bottom w:val="none" w:sz="0" w:space="0" w:color="auto"/>
        <w:right w:val="none" w:sz="0" w:space="0" w:color="auto"/>
      </w:divBdr>
    </w:div>
    <w:div w:id="91362351">
      <w:bodyDiv w:val="1"/>
      <w:marLeft w:val="0"/>
      <w:marRight w:val="0"/>
      <w:marTop w:val="0"/>
      <w:marBottom w:val="0"/>
      <w:divBdr>
        <w:top w:val="none" w:sz="0" w:space="0" w:color="auto"/>
        <w:left w:val="none" w:sz="0" w:space="0" w:color="auto"/>
        <w:bottom w:val="none" w:sz="0" w:space="0" w:color="auto"/>
        <w:right w:val="none" w:sz="0" w:space="0" w:color="auto"/>
      </w:divBdr>
    </w:div>
    <w:div w:id="331422026">
      <w:bodyDiv w:val="1"/>
      <w:marLeft w:val="0"/>
      <w:marRight w:val="0"/>
      <w:marTop w:val="0"/>
      <w:marBottom w:val="0"/>
      <w:divBdr>
        <w:top w:val="none" w:sz="0" w:space="0" w:color="auto"/>
        <w:left w:val="none" w:sz="0" w:space="0" w:color="auto"/>
        <w:bottom w:val="none" w:sz="0" w:space="0" w:color="auto"/>
        <w:right w:val="none" w:sz="0" w:space="0" w:color="auto"/>
      </w:divBdr>
    </w:div>
    <w:div w:id="375937796">
      <w:bodyDiv w:val="1"/>
      <w:marLeft w:val="0"/>
      <w:marRight w:val="0"/>
      <w:marTop w:val="0"/>
      <w:marBottom w:val="0"/>
      <w:divBdr>
        <w:top w:val="none" w:sz="0" w:space="0" w:color="auto"/>
        <w:left w:val="none" w:sz="0" w:space="0" w:color="auto"/>
        <w:bottom w:val="none" w:sz="0" w:space="0" w:color="auto"/>
        <w:right w:val="none" w:sz="0" w:space="0" w:color="auto"/>
      </w:divBdr>
    </w:div>
    <w:div w:id="452601459">
      <w:bodyDiv w:val="1"/>
      <w:marLeft w:val="0"/>
      <w:marRight w:val="0"/>
      <w:marTop w:val="0"/>
      <w:marBottom w:val="0"/>
      <w:divBdr>
        <w:top w:val="none" w:sz="0" w:space="0" w:color="auto"/>
        <w:left w:val="none" w:sz="0" w:space="0" w:color="auto"/>
        <w:bottom w:val="none" w:sz="0" w:space="0" w:color="auto"/>
        <w:right w:val="none" w:sz="0" w:space="0" w:color="auto"/>
      </w:divBdr>
    </w:div>
    <w:div w:id="540556806">
      <w:bodyDiv w:val="1"/>
      <w:marLeft w:val="0"/>
      <w:marRight w:val="0"/>
      <w:marTop w:val="0"/>
      <w:marBottom w:val="0"/>
      <w:divBdr>
        <w:top w:val="none" w:sz="0" w:space="0" w:color="auto"/>
        <w:left w:val="none" w:sz="0" w:space="0" w:color="auto"/>
        <w:bottom w:val="none" w:sz="0" w:space="0" w:color="auto"/>
        <w:right w:val="none" w:sz="0" w:space="0" w:color="auto"/>
      </w:divBdr>
    </w:div>
    <w:div w:id="671833060">
      <w:bodyDiv w:val="1"/>
      <w:marLeft w:val="0"/>
      <w:marRight w:val="0"/>
      <w:marTop w:val="0"/>
      <w:marBottom w:val="0"/>
      <w:divBdr>
        <w:top w:val="none" w:sz="0" w:space="0" w:color="auto"/>
        <w:left w:val="none" w:sz="0" w:space="0" w:color="auto"/>
        <w:bottom w:val="none" w:sz="0" w:space="0" w:color="auto"/>
        <w:right w:val="none" w:sz="0" w:space="0" w:color="auto"/>
      </w:divBdr>
    </w:div>
    <w:div w:id="725492937">
      <w:bodyDiv w:val="1"/>
      <w:marLeft w:val="0"/>
      <w:marRight w:val="0"/>
      <w:marTop w:val="0"/>
      <w:marBottom w:val="0"/>
      <w:divBdr>
        <w:top w:val="none" w:sz="0" w:space="0" w:color="auto"/>
        <w:left w:val="none" w:sz="0" w:space="0" w:color="auto"/>
        <w:bottom w:val="none" w:sz="0" w:space="0" w:color="auto"/>
        <w:right w:val="none" w:sz="0" w:space="0" w:color="auto"/>
      </w:divBdr>
    </w:div>
    <w:div w:id="773281581">
      <w:bodyDiv w:val="1"/>
      <w:marLeft w:val="0"/>
      <w:marRight w:val="0"/>
      <w:marTop w:val="0"/>
      <w:marBottom w:val="0"/>
      <w:divBdr>
        <w:top w:val="none" w:sz="0" w:space="0" w:color="auto"/>
        <w:left w:val="none" w:sz="0" w:space="0" w:color="auto"/>
        <w:bottom w:val="none" w:sz="0" w:space="0" w:color="auto"/>
        <w:right w:val="none" w:sz="0" w:space="0" w:color="auto"/>
      </w:divBdr>
    </w:div>
    <w:div w:id="1014571230">
      <w:bodyDiv w:val="1"/>
      <w:marLeft w:val="0"/>
      <w:marRight w:val="0"/>
      <w:marTop w:val="0"/>
      <w:marBottom w:val="0"/>
      <w:divBdr>
        <w:top w:val="none" w:sz="0" w:space="0" w:color="auto"/>
        <w:left w:val="none" w:sz="0" w:space="0" w:color="auto"/>
        <w:bottom w:val="none" w:sz="0" w:space="0" w:color="auto"/>
        <w:right w:val="none" w:sz="0" w:space="0" w:color="auto"/>
      </w:divBdr>
    </w:div>
    <w:div w:id="1059979342">
      <w:bodyDiv w:val="1"/>
      <w:marLeft w:val="0"/>
      <w:marRight w:val="0"/>
      <w:marTop w:val="0"/>
      <w:marBottom w:val="0"/>
      <w:divBdr>
        <w:top w:val="none" w:sz="0" w:space="0" w:color="auto"/>
        <w:left w:val="none" w:sz="0" w:space="0" w:color="auto"/>
        <w:bottom w:val="none" w:sz="0" w:space="0" w:color="auto"/>
        <w:right w:val="none" w:sz="0" w:space="0" w:color="auto"/>
      </w:divBdr>
    </w:div>
    <w:div w:id="1173034522">
      <w:bodyDiv w:val="1"/>
      <w:marLeft w:val="0"/>
      <w:marRight w:val="0"/>
      <w:marTop w:val="0"/>
      <w:marBottom w:val="0"/>
      <w:divBdr>
        <w:top w:val="none" w:sz="0" w:space="0" w:color="auto"/>
        <w:left w:val="none" w:sz="0" w:space="0" w:color="auto"/>
        <w:bottom w:val="none" w:sz="0" w:space="0" w:color="auto"/>
        <w:right w:val="none" w:sz="0" w:space="0" w:color="auto"/>
      </w:divBdr>
    </w:div>
    <w:div w:id="1273586933">
      <w:bodyDiv w:val="1"/>
      <w:marLeft w:val="0"/>
      <w:marRight w:val="0"/>
      <w:marTop w:val="0"/>
      <w:marBottom w:val="0"/>
      <w:divBdr>
        <w:top w:val="none" w:sz="0" w:space="0" w:color="auto"/>
        <w:left w:val="none" w:sz="0" w:space="0" w:color="auto"/>
        <w:bottom w:val="none" w:sz="0" w:space="0" w:color="auto"/>
        <w:right w:val="none" w:sz="0" w:space="0" w:color="auto"/>
      </w:divBdr>
    </w:div>
    <w:div w:id="1399474000">
      <w:bodyDiv w:val="1"/>
      <w:marLeft w:val="0"/>
      <w:marRight w:val="0"/>
      <w:marTop w:val="0"/>
      <w:marBottom w:val="0"/>
      <w:divBdr>
        <w:top w:val="none" w:sz="0" w:space="0" w:color="auto"/>
        <w:left w:val="none" w:sz="0" w:space="0" w:color="auto"/>
        <w:bottom w:val="none" w:sz="0" w:space="0" w:color="auto"/>
        <w:right w:val="none" w:sz="0" w:space="0" w:color="auto"/>
      </w:divBdr>
    </w:div>
    <w:div w:id="1492286216">
      <w:bodyDiv w:val="1"/>
      <w:marLeft w:val="0"/>
      <w:marRight w:val="0"/>
      <w:marTop w:val="0"/>
      <w:marBottom w:val="0"/>
      <w:divBdr>
        <w:top w:val="none" w:sz="0" w:space="0" w:color="auto"/>
        <w:left w:val="none" w:sz="0" w:space="0" w:color="auto"/>
        <w:bottom w:val="none" w:sz="0" w:space="0" w:color="auto"/>
        <w:right w:val="none" w:sz="0" w:space="0" w:color="auto"/>
      </w:divBdr>
    </w:div>
    <w:div w:id="1642539514">
      <w:bodyDiv w:val="1"/>
      <w:marLeft w:val="0"/>
      <w:marRight w:val="0"/>
      <w:marTop w:val="0"/>
      <w:marBottom w:val="0"/>
      <w:divBdr>
        <w:top w:val="none" w:sz="0" w:space="0" w:color="auto"/>
        <w:left w:val="none" w:sz="0" w:space="0" w:color="auto"/>
        <w:bottom w:val="none" w:sz="0" w:space="0" w:color="auto"/>
        <w:right w:val="none" w:sz="0" w:space="0" w:color="auto"/>
      </w:divBdr>
    </w:div>
    <w:div w:id="1788045934">
      <w:bodyDiv w:val="1"/>
      <w:marLeft w:val="0"/>
      <w:marRight w:val="0"/>
      <w:marTop w:val="0"/>
      <w:marBottom w:val="0"/>
      <w:divBdr>
        <w:top w:val="none" w:sz="0" w:space="0" w:color="auto"/>
        <w:left w:val="none" w:sz="0" w:space="0" w:color="auto"/>
        <w:bottom w:val="none" w:sz="0" w:space="0" w:color="auto"/>
        <w:right w:val="none" w:sz="0" w:space="0" w:color="auto"/>
      </w:divBdr>
    </w:div>
    <w:div w:id="1802384488">
      <w:bodyDiv w:val="1"/>
      <w:marLeft w:val="0"/>
      <w:marRight w:val="0"/>
      <w:marTop w:val="0"/>
      <w:marBottom w:val="0"/>
      <w:divBdr>
        <w:top w:val="none" w:sz="0" w:space="0" w:color="auto"/>
        <w:left w:val="none" w:sz="0" w:space="0" w:color="auto"/>
        <w:bottom w:val="none" w:sz="0" w:space="0" w:color="auto"/>
        <w:right w:val="none" w:sz="0" w:space="0" w:color="auto"/>
      </w:divBdr>
    </w:div>
    <w:div w:id="1871603177">
      <w:bodyDiv w:val="1"/>
      <w:marLeft w:val="0"/>
      <w:marRight w:val="0"/>
      <w:marTop w:val="0"/>
      <w:marBottom w:val="0"/>
      <w:divBdr>
        <w:top w:val="none" w:sz="0" w:space="0" w:color="auto"/>
        <w:left w:val="none" w:sz="0" w:space="0" w:color="auto"/>
        <w:bottom w:val="none" w:sz="0" w:space="0" w:color="auto"/>
        <w:right w:val="none" w:sz="0" w:space="0" w:color="auto"/>
      </w:divBdr>
    </w:div>
    <w:div w:id="2090468168">
      <w:bodyDiv w:val="1"/>
      <w:marLeft w:val="0"/>
      <w:marRight w:val="0"/>
      <w:marTop w:val="0"/>
      <w:marBottom w:val="0"/>
      <w:divBdr>
        <w:top w:val="none" w:sz="0" w:space="0" w:color="auto"/>
        <w:left w:val="none" w:sz="0" w:space="0" w:color="auto"/>
        <w:bottom w:val="none" w:sz="0" w:space="0" w:color="auto"/>
        <w:right w:val="none" w:sz="0" w:space="0" w:color="auto"/>
      </w:divBdr>
    </w:div>
    <w:div w:id="21451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gress.gov/bill/114th-congress/house-bill/4380/text" TargetMode="External"/><Relationship Id="rId2" Type="http://schemas.openxmlformats.org/officeDocument/2006/relationships/hyperlink" Target="https://www.congress.gov/bill/114th-congress/house-bill/1401" TargetMode="External"/><Relationship Id="rId1" Type="http://schemas.openxmlformats.org/officeDocument/2006/relationships/hyperlink" Target="http://www.state.gov/r/pa/prs/ps/2016/01/251577.htm" TargetMode="External"/><Relationship Id="rId6" Type="http://schemas.openxmlformats.org/officeDocument/2006/relationships/hyperlink" Target="http://ec.europa.eu/growth/tools-databases/newsroom/cf/itemdetail.cfm?item_id=7005&amp;lang=en" TargetMode="External"/><Relationship Id="rId5" Type="http://schemas.openxmlformats.org/officeDocument/2006/relationships/hyperlink" Target="https://www.gpo.gov/fdsys/pkg/FR-2015-06-08/pdf/2015-13919.pdf" TargetMode="External"/><Relationship Id="rId4" Type="http://schemas.openxmlformats.org/officeDocument/2006/relationships/hyperlink" Target="https://www.uscis.gov/iframe/ilink/docView/SLB/HTML/SLB/0-0-0-1/0-0-0-29/0-0-0-43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123FA-3CE5-4960-9EE3-43F1DBC9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4249</Words>
  <Characters>23374</Characters>
  <Application>Microsoft Office Word</Application>
  <DocSecurity>0</DocSecurity>
  <Lines>403</Lines>
  <Paragraphs>138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27485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27</cp:revision>
  <cp:lastPrinted>2016-04-11T15:33:00Z</cp:lastPrinted>
  <dcterms:created xsi:type="dcterms:W3CDTF">2016-04-12T08:44:00Z</dcterms:created>
  <dcterms:modified xsi:type="dcterms:W3CDTF">2016-05-01T09:31:00Z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