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42" w:rsidRDefault="00221B07" w:rsidP="00221B07">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252A7E22BF945479F233E66DFB79783" style="width:450.25pt;height:379.35pt">
            <v:imagedata r:id="rId9" o:title=""/>
          </v:shape>
        </w:pict>
      </w:r>
    </w:p>
    <w:p w:rsidR="003B5C42" w:rsidRDefault="003B5C42" w:rsidP="003B5C42">
      <w:pPr>
        <w:sectPr w:rsidR="003B5C42" w:rsidSect="00221B07">
          <w:footerReference w:type="default" r:id="rId10"/>
          <w:pgSz w:w="11907" w:h="16839"/>
          <w:pgMar w:top="1134" w:right="1417" w:bottom="1134" w:left="1417" w:header="709" w:footer="709" w:gutter="0"/>
          <w:pgNumType w:start="1"/>
          <w:cols w:space="720"/>
          <w:docGrid w:linePitch="360"/>
        </w:sectPr>
      </w:pPr>
    </w:p>
    <w:p w:rsidR="003B5C42" w:rsidRDefault="003B5C42" w:rsidP="00DE46FA">
      <w:pPr>
        <w:pStyle w:val="Exposdesmotifstitre"/>
      </w:pPr>
      <w:r w:rsidRPr="006F770D">
        <w:lastRenderedPageBreak/>
        <w:t>EXPLANATORY MEMORANDUM</w:t>
      </w:r>
    </w:p>
    <w:p w:rsidR="003B5C42" w:rsidRPr="006F770D" w:rsidRDefault="003B5C42" w:rsidP="00DE46FA">
      <w:pPr>
        <w:pStyle w:val="ManualHeading1"/>
      </w:pPr>
      <w:r w:rsidRPr="00C567EE">
        <w:t>1.</w:t>
      </w:r>
      <w:r w:rsidRPr="00C567EE">
        <w:tab/>
      </w:r>
      <w:r w:rsidRPr="006F770D">
        <w:t>CONTEXT OF THE PROPOSAL</w:t>
      </w:r>
    </w:p>
    <w:p w:rsidR="003B5C42" w:rsidRPr="00044058" w:rsidRDefault="003B5C42" w:rsidP="00DE46FA">
      <w:pPr>
        <w:pStyle w:val="ManualHeading2"/>
        <w:rPr>
          <w:rFonts w:eastAsia="Arial Unicode MS"/>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Reasons for and objectives of the proposal</w:t>
      </w:r>
    </w:p>
    <w:p w:rsidR="003B5C42" w:rsidRDefault="0080492A" w:rsidP="003B5C42">
      <w:pPr>
        <w:rPr>
          <w:szCs w:val="24"/>
        </w:rPr>
      </w:pPr>
      <w:r>
        <w:rPr>
          <w:szCs w:val="24"/>
        </w:rPr>
        <w:t>On 16 December 2013 the European Union (EU) and Turkey launched the Visa Liberalisation Dialogue (VLD)</w:t>
      </w:r>
      <w:r w:rsidR="00B7620A" w:rsidRPr="00B7620A">
        <w:rPr>
          <w:szCs w:val="24"/>
        </w:rPr>
        <w:t>, in parallel with the signature of the EU-Turkey Readmission Agreement</w:t>
      </w:r>
      <w:r w:rsidR="00B7620A">
        <w:rPr>
          <w:szCs w:val="24"/>
        </w:rPr>
        <w:t xml:space="preserve">. </w:t>
      </w:r>
      <w:r w:rsidR="00B7620A" w:rsidRPr="00B7620A">
        <w:rPr>
          <w:szCs w:val="24"/>
        </w:rPr>
        <w:t xml:space="preserve">The VLD is based on the </w:t>
      </w:r>
      <w:r w:rsidR="00B7620A" w:rsidRPr="00B7620A">
        <w:rPr>
          <w:i/>
          <w:szCs w:val="24"/>
        </w:rPr>
        <w:t>Roadmap towards a visa free regime with Turkey</w:t>
      </w:r>
      <w:r w:rsidR="00B7620A" w:rsidRPr="00B7620A">
        <w:rPr>
          <w:szCs w:val="24"/>
        </w:rPr>
        <w:t xml:space="preserve"> (</w:t>
      </w:r>
      <w:r w:rsidR="001B6C2F">
        <w:rPr>
          <w:szCs w:val="24"/>
        </w:rPr>
        <w:t>"</w:t>
      </w:r>
      <w:r w:rsidR="00B7620A" w:rsidRPr="00B7620A">
        <w:rPr>
          <w:szCs w:val="24"/>
        </w:rPr>
        <w:t>the Roadmap</w:t>
      </w:r>
      <w:r w:rsidR="001B6C2F">
        <w:rPr>
          <w:szCs w:val="24"/>
        </w:rPr>
        <w:t>"</w:t>
      </w:r>
      <w:r w:rsidR="00B7620A" w:rsidRPr="00B7620A">
        <w:rPr>
          <w:szCs w:val="24"/>
        </w:rPr>
        <w:t>), a document setting out the requirements that Turkey needs to meet in order to enable the</w:t>
      </w:r>
      <w:r w:rsidR="00007AE2">
        <w:rPr>
          <w:szCs w:val="24"/>
        </w:rPr>
        <w:t xml:space="preserve"> European Parliament and the Council to</w:t>
      </w:r>
      <w:r w:rsidR="00B7620A" w:rsidRPr="00B7620A">
        <w:rPr>
          <w:szCs w:val="24"/>
        </w:rPr>
        <w:t xml:space="preserve"> amend Regulation (EC) No 539/2001</w:t>
      </w:r>
      <w:r w:rsidR="00B7620A" w:rsidRPr="00A6533E">
        <w:rPr>
          <w:rStyle w:val="FootnoteReference"/>
        </w:rPr>
        <w:footnoteReference w:id="1"/>
      </w:r>
      <w:r w:rsidR="00B7620A" w:rsidRPr="00B7620A">
        <w:rPr>
          <w:szCs w:val="24"/>
        </w:rPr>
        <w:t xml:space="preserve"> which would allow Turkish citizens </w:t>
      </w:r>
      <w:r w:rsidR="00B955A0">
        <w:rPr>
          <w:szCs w:val="24"/>
        </w:rPr>
        <w:t>holding biometric passport</w:t>
      </w:r>
      <w:r w:rsidR="006F6A19">
        <w:rPr>
          <w:szCs w:val="24"/>
        </w:rPr>
        <w:t>s</w:t>
      </w:r>
      <w:r w:rsidR="00B955A0">
        <w:rPr>
          <w:szCs w:val="24"/>
        </w:rPr>
        <w:t xml:space="preserve"> in line with EU standards </w:t>
      </w:r>
      <w:r w:rsidR="00B7620A" w:rsidRPr="00B7620A">
        <w:rPr>
          <w:szCs w:val="24"/>
        </w:rPr>
        <w:t xml:space="preserve">to travel </w:t>
      </w:r>
      <w:r w:rsidR="00B7620A">
        <w:rPr>
          <w:szCs w:val="24"/>
        </w:rPr>
        <w:t xml:space="preserve">to the Member States </w:t>
      </w:r>
      <w:r w:rsidR="00B7620A" w:rsidRPr="00B7620A">
        <w:rPr>
          <w:szCs w:val="24"/>
        </w:rPr>
        <w:t xml:space="preserve">without a visa for short stays (i.e. </w:t>
      </w:r>
      <w:r w:rsidR="00B7620A">
        <w:rPr>
          <w:szCs w:val="24"/>
        </w:rPr>
        <w:t>up to</w:t>
      </w:r>
      <w:r w:rsidR="00B7620A" w:rsidRPr="00B7620A">
        <w:rPr>
          <w:szCs w:val="24"/>
        </w:rPr>
        <w:t xml:space="preserve"> 90 days within any 180-day period). The 72 requirements listed in the Roadmap are organised in five thematic groups ("blocks"): document security; migration management; public order and security; fundamental rights</w:t>
      </w:r>
      <w:r w:rsidR="00C40B6F">
        <w:rPr>
          <w:szCs w:val="24"/>
        </w:rPr>
        <w:t>;</w:t>
      </w:r>
      <w:r w:rsidR="00B7620A" w:rsidRPr="00B7620A">
        <w:rPr>
          <w:szCs w:val="24"/>
        </w:rPr>
        <w:t xml:space="preserve"> and readmission of irregular migrants.</w:t>
      </w:r>
      <w:r>
        <w:rPr>
          <w:szCs w:val="24"/>
        </w:rPr>
        <w:t xml:space="preserve"> </w:t>
      </w:r>
    </w:p>
    <w:p w:rsidR="00B7620A" w:rsidRDefault="001B6C2F" w:rsidP="003B5C42">
      <w:pPr>
        <w:rPr>
          <w:szCs w:val="24"/>
        </w:rPr>
      </w:pPr>
      <w:r>
        <w:rPr>
          <w:szCs w:val="24"/>
        </w:rPr>
        <w:t>The</w:t>
      </w:r>
      <w:r w:rsidR="00B7620A" w:rsidRPr="00B7620A">
        <w:rPr>
          <w:szCs w:val="24"/>
        </w:rPr>
        <w:t xml:space="preserve"> </w:t>
      </w:r>
      <w:r w:rsidR="00B7620A" w:rsidRPr="00B7620A">
        <w:rPr>
          <w:i/>
          <w:szCs w:val="24"/>
        </w:rPr>
        <w:t>First report on progress by Turkey in fulfilling the requirements of its visa liberalisation roadmap</w:t>
      </w:r>
      <w:r>
        <w:rPr>
          <w:rStyle w:val="FootnoteReference"/>
          <w:szCs w:val="24"/>
        </w:rPr>
        <w:footnoteReference w:id="2"/>
      </w:r>
      <w:r w:rsidR="00B7620A" w:rsidRPr="00B7620A">
        <w:rPr>
          <w:szCs w:val="24"/>
        </w:rPr>
        <w:t xml:space="preserve"> (</w:t>
      </w:r>
      <w:r>
        <w:rPr>
          <w:szCs w:val="24"/>
        </w:rPr>
        <w:t>"</w:t>
      </w:r>
      <w:r w:rsidR="00B7620A" w:rsidRPr="00B7620A">
        <w:rPr>
          <w:szCs w:val="24"/>
        </w:rPr>
        <w:t>the First Report</w:t>
      </w:r>
      <w:r>
        <w:rPr>
          <w:szCs w:val="24"/>
        </w:rPr>
        <w:t>"</w:t>
      </w:r>
      <w:r w:rsidR="00B7620A" w:rsidRPr="00B7620A">
        <w:rPr>
          <w:szCs w:val="24"/>
        </w:rPr>
        <w:t>)</w:t>
      </w:r>
      <w:r>
        <w:rPr>
          <w:szCs w:val="24"/>
        </w:rPr>
        <w:t xml:space="preserve"> was adopted by the Commission on 20 </w:t>
      </w:r>
      <w:r w:rsidRPr="00B7620A">
        <w:rPr>
          <w:szCs w:val="24"/>
        </w:rPr>
        <w:t>October 2014</w:t>
      </w:r>
      <w:r w:rsidR="00B7620A" w:rsidRPr="00B7620A">
        <w:rPr>
          <w:szCs w:val="24"/>
        </w:rPr>
        <w:t xml:space="preserve">. </w:t>
      </w:r>
      <w:r>
        <w:rPr>
          <w:szCs w:val="24"/>
        </w:rPr>
        <w:t>It</w:t>
      </w:r>
      <w:r w:rsidR="00B7620A" w:rsidRPr="00B7620A">
        <w:rPr>
          <w:szCs w:val="24"/>
        </w:rPr>
        <w:t xml:space="preserve"> assessed the fulfilment of each requirement and issued recommendations for making further progress in all of them.</w:t>
      </w:r>
    </w:p>
    <w:p w:rsidR="00E067CD" w:rsidRPr="00E067CD" w:rsidRDefault="006953E6" w:rsidP="00003DC9">
      <w:pPr>
        <w:autoSpaceDE w:val="0"/>
        <w:autoSpaceDN w:val="0"/>
        <w:adjustRightInd w:val="0"/>
        <w:spacing w:before="0"/>
        <w:rPr>
          <w:i/>
          <w:szCs w:val="24"/>
        </w:rPr>
      </w:pPr>
      <w:r>
        <w:rPr>
          <w:rFonts w:eastAsia="Calibri"/>
          <w:szCs w:val="24"/>
        </w:rPr>
        <w:t>At the</w:t>
      </w:r>
      <w:r w:rsidR="00776E11">
        <w:rPr>
          <w:rFonts w:eastAsia="Calibri"/>
          <w:szCs w:val="24"/>
        </w:rPr>
        <w:t xml:space="preserve"> </w:t>
      </w:r>
      <w:r w:rsidR="00B955A0" w:rsidRPr="00B955A0">
        <w:rPr>
          <w:rFonts w:eastAsia="Calibri"/>
          <w:szCs w:val="24"/>
        </w:rPr>
        <w:t>EU-Turkey Summit</w:t>
      </w:r>
      <w:r w:rsidR="00E067CD" w:rsidRPr="00E067CD">
        <w:rPr>
          <w:rFonts w:eastAsia="Calibri"/>
          <w:szCs w:val="24"/>
        </w:rPr>
        <w:t xml:space="preserve"> </w:t>
      </w:r>
      <w:r w:rsidR="00E067CD">
        <w:rPr>
          <w:rFonts w:eastAsia="Calibri"/>
          <w:szCs w:val="24"/>
        </w:rPr>
        <w:t>o</w:t>
      </w:r>
      <w:r w:rsidR="00E067CD" w:rsidRPr="00B955A0">
        <w:rPr>
          <w:rFonts w:eastAsia="Calibri"/>
          <w:szCs w:val="24"/>
        </w:rPr>
        <w:t>n 29 November 2015</w:t>
      </w:r>
      <w:r w:rsidR="00B955A0" w:rsidRPr="00B955A0">
        <w:rPr>
          <w:rFonts w:eastAsia="Calibri"/>
          <w:szCs w:val="24"/>
        </w:rPr>
        <w:t>, the Turkish side expressed its commitment</w:t>
      </w:r>
      <w:r w:rsidR="00B955A0" w:rsidRPr="00B955A0">
        <w:rPr>
          <w:szCs w:val="24"/>
        </w:rPr>
        <w:t xml:space="preserve"> to accelerate the fulfilment of the Roadmap, including by anticipating the application of all the provisions of the EU-Turkey Readmission agreement, with the objective </w:t>
      </w:r>
      <w:r w:rsidR="00007AE2">
        <w:rPr>
          <w:szCs w:val="24"/>
        </w:rPr>
        <w:t>of</w:t>
      </w:r>
      <w:r w:rsidR="00B955A0" w:rsidRPr="00B955A0">
        <w:rPr>
          <w:szCs w:val="24"/>
        </w:rPr>
        <w:t xml:space="preserve"> obtain</w:t>
      </w:r>
      <w:r w:rsidR="00007AE2">
        <w:rPr>
          <w:szCs w:val="24"/>
        </w:rPr>
        <w:t>ing</w:t>
      </w:r>
      <w:r w:rsidR="00B955A0" w:rsidRPr="00B955A0">
        <w:rPr>
          <w:szCs w:val="24"/>
        </w:rPr>
        <w:t xml:space="preserve"> visa liberalisation by October 2016</w:t>
      </w:r>
      <w:r w:rsidR="00B955A0" w:rsidRPr="00A10D7A">
        <w:rPr>
          <w:rStyle w:val="FootnoteReference"/>
        </w:rPr>
        <w:footnoteReference w:id="3"/>
      </w:r>
      <w:r w:rsidR="00B955A0" w:rsidRPr="00B955A0">
        <w:rPr>
          <w:rFonts w:eastAsia="Calibri"/>
          <w:szCs w:val="24"/>
        </w:rPr>
        <w:t>. The commitment was welcomed by the European Union.</w:t>
      </w:r>
    </w:p>
    <w:p w:rsidR="001B6C2F" w:rsidRDefault="00B955A0" w:rsidP="00003DC9">
      <w:pPr>
        <w:autoSpaceDE w:val="0"/>
        <w:autoSpaceDN w:val="0"/>
        <w:adjustRightInd w:val="0"/>
        <w:spacing w:before="0"/>
        <w:rPr>
          <w:szCs w:val="24"/>
        </w:rPr>
      </w:pPr>
      <w:r w:rsidRPr="00B955A0">
        <w:rPr>
          <w:rFonts w:eastAsia="Calibri"/>
          <w:szCs w:val="24"/>
        </w:rPr>
        <w:t xml:space="preserve">On 4 March 2016 the Commission adopted </w:t>
      </w:r>
      <w:r w:rsidR="001B6C2F">
        <w:rPr>
          <w:szCs w:val="24"/>
        </w:rPr>
        <w:t xml:space="preserve">its </w:t>
      </w:r>
      <w:r w:rsidR="001B6C2F">
        <w:rPr>
          <w:i/>
          <w:szCs w:val="24"/>
        </w:rPr>
        <w:t>Second</w:t>
      </w:r>
      <w:r w:rsidR="001B6C2F" w:rsidRPr="00B7620A">
        <w:rPr>
          <w:i/>
          <w:szCs w:val="24"/>
        </w:rPr>
        <w:t xml:space="preserve"> report on progress by Turkey in fulfilling the requirements of its visa liberalisation roadmap</w:t>
      </w:r>
      <w:r w:rsidR="001B6C2F">
        <w:rPr>
          <w:rStyle w:val="FootnoteReference"/>
          <w:szCs w:val="24"/>
        </w:rPr>
        <w:footnoteReference w:id="4"/>
      </w:r>
      <w:r w:rsidR="001B6C2F" w:rsidRPr="00B7620A">
        <w:rPr>
          <w:szCs w:val="24"/>
        </w:rPr>
        <w:t xml:space="preserve"> (</w:t>
      </w:r>
      <w:r w:rsidR="001B6C2F">
        <w:rPr>
          <w:szCs w:val="24"/>
        </w:rPr>
        <w:t>"</w:t>
      </w:r>
      <w:r w:rsidR="001B6C2F" w:rsidRPr="00B7620A">
        <w:rPr>
          <w:szCs w:val="24"/>
        </w:rPr>
        <w:t xml:space="preserve">the </w:t>
      </w:r>
      <w:r w:rsidR="001B6C2F">
        <w:rPr>
          <w:szCs w:val="24"/>
        </w:rPr>
        <w:t>Second</w:t>
      </w:r>
      <w:r w:rsidR="001B6C2F" w:rsidRPr="00B7620A">
        <w:rPr>
          <w:szCs w:val="24"/>
        </w:rPr>
        <w:t xml:space="preserve"> Report</w:t>
      </w:r>
      <w:r w:rsidR="001B6C2F">
        <w:rPr>
          <w:szCs w:val="24"/>
        </w:rPr>
        <w:t>"</w:t>
      </w:r>
      <w:r w:rsidR="001B6C2F" w:rsidRPr="00B7620A">
        <w:rPr>
          <w:szCs w:val="24"/>
        </w:rPr>
        <w:t>)</w:t>
      </w:r>
      <w:r w:rsidR="001B6C2F">
        <w:rPr>
          <w:szCs w:val="24"/>
        </w:rPr>
        <w:t xml:space="preserve"> </w:t>
      </w:r>
      <w:r w:rsidR="00B4679C">
        <w:rPr>
          <w:szCs w:val="24"/>
        </w:rPr>
        <w:t xml:space="preserve">assessing the progress in </w:t>
      </w:r>
      <w:r w:rsidR="001B6C2F">
        <w:rPr>
          <w:szCs w:val="24"/>
        </w:rPr>
        <w:t>the implementation of the requirements of the Roadmap by Turkey. It concluded that</w:t>
      </w:r>
      <w:r w:rsidR="00617EEA">
        <w:rPr>
          <w:szCs w:val="24"/>
        </w:rPr>
        <w:t>,</w:t>
      </w:r>
      <w:r w:rsidR="001B6C2F">
        <w:rPr>
          <w:szCs w:val="24"/>
        </w:rPr>
        <w:t xml:space="preserve"> since the EU-Turkey Summit of 29 November 2015</w:t>
      </w:r>
      <w:r w:rsidR="00617EEA">
        <w:rPr>
          <w:szCs w:val="24"/>
        </w:rPr>
        <w:t xml:space="preserve">, the Turkish authorities had intensified their efforts in implementing the Roadmap. It listed specific recommendations on the measures that Turkey should take to make further progress towards the complete fulfilment of all requirements, and encouraged the Turkish authorities to further accelerate the reform process, by addressing the outstanding issues identified in the report as a matter of urgency. </w:t>
      </w:r>
      <w:r w:rsidR="005871A6">
        <w:t xml:space="preserve">The report confirmed </w:t>
      </w:r>
      <w:r w:rsidR="00FA1C67">
        <w:t>areas where</w:t>
      </w:r>
      <w:r w:rsidR="005871A6">
        <w:t xml:space="preserve"> Turkey </w:t>
      </w:r>
      <w:r w:rsidR="00FA1C67">
        <w:t>fulfilled</w:t>
      </w:r>
      <w:r w:rsidR="005871A6">
        <w:t xml:space="preserve"> the benchmarks and identified actions </w:t>
      </w:r>
      <w:r w:rsidR="00FA1C67">
        <w:t>to be taken to</w:t>
      </w:r>
      <w:r w:rsidR="005871A6">
        <w:t xml:space="preserve"> ensure that Turkey </w:t>
      </w:r>
      <w:r w:rsidR="00565C85">
        <w:t>meets</w:t>
      </w:r>
      <w:r w:rsidR="005871A6">
        <w:t xml:space="preserve"> all benchmarks of the </w:t>
      </w:r>
      <w:r w:rsidR="00F148A2">
        <w:t>Roadmap</w:t>
      </w:r>
      <w:r w:rsidR="005871A6">
        <w:t>.</w:t>
      </w:r>
    </w:p>
    <w:p w:rsidR="00B955A0" w:rsidRPr="00B955A0" w:rsidRDefault="00B955A0" w:rsidP="00B955A0">
      <w:pPr>
        <w:autoSpaceDE w:val="0"/>
        <w:autoSpaceDN w:val="0"/>
        <w:adjustRightInd w:val="0"/>
        <w:spacing w:before="0"/>
        <w:rPr>
          <w:szCs w:val="24"/>
        </w:rPr>
      </w:pPr>
      <w:r w:rsidRPr="00B955A0">
        <w:rPr>
          <w:rFonts w:eastAsia="Calibri"/>
          <w:szCs w:val="24"/>
        </w:rPr>
        <w:t>On</w:t>
      </w:r>
      <w:r w:rsidR="00007AE2">
        <w:rPr>
          <w:rFonts w:eastAsia="Calibri"/>
          <w:szCs w:val="24"/>
        </w:rPr>
        <w:t xml:space="preserve"> 7 and</w:t>
      </w:r>
      <w:r w:rsidRPr="00B955A0">
        <w:rPr>
          <w:rFonts w:eastAsia="Calibri"/>
          <w:szCs w:val="24"/>
        </w:rPr>
        <w:t xml:space="preserve"> 18 March 2016</w:t>
      </w:r>
      <w:r w:rsidR="00007AE2">
        <w:rPr>
          <w:rFonts w:eastAsia="Calibri"/>
          <w:szCs w:val="24"/>
        </w:rPr>
        <w:t xml:space="preserve">, meetings of the Heads of State or Government of the EU and Turkey took place. The latter </w:t>
      </w:r>
      <w:r w:rsidR="00A915CB">
        <w:rPr>
          <w:rFonts w:eastAsia="Calibri"/>
          <w:szCs w:val="24"/>
        </w:rPr>
        <w:t>meeting</w:t>
      </w:r>
      <w:r w:rsidR="00007AE2">
        <w:rPr>
          <w:rFonts w:eastAsia="Calibri"/>
          <w:szCs w:val="24"/>
        </w:rPr>
        <w:t xml:space="preserve"> concluded with an</w:t>
      </w:r>
      <w:r w:rsidR="00565C85">
        <w:rPr>
          <w:rFonts w:eastAsia="Calibri"/>
          <w:szCs w:val="24"/>
        </w:rPr>
        <w:t xml:space="preserve"> </w:t>
      </w:r>
      <w:r w:rsidRPr="00B955A0">
        <w:rPr>
          <w:rFonts w:eastAsia="Calibri"/>
          <w:szCs w:val="24"/>
        </w:rPr>
        <w:t>EU-Turkey S</w:t>
      </w:r>
      <w:r w:rsidR="00007AE2">
        <w:rPr>
          <w:rFonts w:eastAsia="Calibri"/>
          <w:szCs w:val="24"/>
        </w:rPr>
        <w:t>tatement</w:t>
      </w:r>
      <w:r w:rsidR="00007AE2">
        <w:rPr>
          <w:rStyle w:val="FootnoteReference"/>
          <w:rFonts w:eastAsia="Calibri"/>
          <w:szCs w:val="24"/>
        </w:rPr>
        <w:footnoteReference w:id="5"/>
      </w:r>
      <w:r w:rsidR="00007AE2">
        <w:rPr>
          <w:rFonts w:eastAsia="Calibri"/>
          <w:szCs w:val="24"/>
        </w:rPr>
        <w:t xml:space="preserve"> which stipulates</w:t>
      </w:r>
      <w:r w:rsidRPr="00B955A0">
        <w:rPr>
          <w:rFonts w:eastAsia="Calibri"/>
          <w:szCs w:val="24"/>
        </w:rPr>
        <w:t xml:space="preserve"> that "</w:t>
      </w:r>
      <w:r w:rsidRPr="00B955A0">
        <w:rPr>
          <w:i/>
          <w:szCs w:val="24"/>
        </w:rPr>
        <w:t xml:space="preserve">the fulfilment of the visa liberalisation roadmap will be accelerated vis-à-vis all participating Member States with a view to lifting the visa requirements for Turkish citizens at the latest by the end of June 2016, provided that all benchmarks have been met. To this end Turkey will take the necessary steps to fulfil the remaining requirements to allow the Commission to make, following the required assessment of compliance with the benchmarks, </w:t>
      </w:r>
      <w:r w:rsidRPr="00B955A0">
        <w:rPr>
          <w:i/>
          <w:szCs w:val="24"/>
        </w:rPr>
        <w:lastRenderedPageBreak/>
        <w:t>an appropriate proposal by the end of April on the basis of which the European Parliament and the Council can make a final decision</w:t>
      </w:r>
      <w:r w:rsidRPr="00B955A0">
        <w:rPr>
          <w:szCs w:val="24"/>
        </w:rPr>
        <w:t>".</w:t>
      </w:r>
      <w:r w:rsidR="00C7740F">
        <w:rPr>
          <w:szCs w:val="24"/>
        </w:rPr>
        <w:t xml:space="preserve"> </w:t>
      </w:r>
    </w:p>
    <w:p w:rsidR="006505A9" w:rsidRDefault="00E6267A" w:rsidP="00AF6B54">
      <w:pPr>
        <w:autoSpaceDE w:val="0"/>
        <w:autoSpaceDN w:val="0"/>
        <w:adjustRightInd w:val="0"/>
        <w:rPr>
          <w:szCs w:val="24"/>
        </w:rPr>
      </w:pPr>
      <w:r>
        <w:rPr>
          <w:szCs w:val="24"/>
        </w:rPr>
        <w:t>In t</w:t>
      </w:r>
      <w:r w:rsidR="00C94A60" w:rsidRPr="00021BAA">
        <w:rPr>
          <w:szCs w:val="24"/>
        </w:rPr>
        <w:t xml:space="preserve">he </w:t>
      </w:r>
      <w:r w:rsidR="0060179E" w:rsidRPr="007637A4">
        <w:rPr>
          <w:i/>
          <w:szCs w:val="24"/>
        </w:rPr>
        <w:t>Third</w:t>
      </w:r>
      <w:r w:rsidR="00617EEA" w:rsidRPr="007637A4">
        <w:rPr>
          <w:i/>
          <w:szCs w:val="24"/>
        </w:rPr>
        <w:t xml:space="preserve"> </w:t>
      </w:r>
      <w:r w:rsidR="00990E5B" w:rsidRPr="007637A4">
        <w:rPr>
          <w:i/>
          <w:szCs w:val="24"/>
        </w:rPr>
        <w:t>r</w:t>
      </w:r>
      <w:r w:rsidR="00C94A60" w:rsidRPr="007637A4">
        <w:rPr>
          <w:i/>
          <w:szCs w:val="24"/>
        </w:rPr>
        <w:t>eport on progress by Turkey in fulfilling the requirements of its visa liberalisation roadmap</w:t>
      </w:r>
      <w:r w:rsidR="00C94A60" w:rsidRPr="00566BB1">
        <w:rPr>
          <w:rStyle w:val="FootnoteReference"/>
          <w:szCs w:val="24"/>
        </w:rPr>
        <w:footnoteReference w:id="6"/>
      </w:r>
      <w:r w:rsidR="00C94A60" w:rsidRPr="00021BAA">
        <w:rPr>
          <w:szCs w:val="24"/>
        </w:rPr>
        <w:t>, submitted in parallel with this proposal</w:t>
      </w:r>
      <w:r w:rsidR="00AF6B54" w:rsidRPr="00021BAA">
        <w:rPr>
          <w:szCs w:val="24"/>
        </w:rPr>
        <w:t xml:space="preserve">, </w:t>
      </w:r>
      <w:r w:rsidRPr="001F168B">
        <w:rPr>
          <w:szCs w:val="24"/>
        </w:rPr>
        <w:t xml:space="preserve">the </w:t>
      </w:r>
      <w:r w:rsidRPr="00D9437A">
        <w:rPr>
          <w:szCs w:val="24"/>
        </w:rPr>
        <w:t xml:space="preserve">Commission </w:t>
      </w:r>
      <w:r w:rsidR="00CE7883" w:rsidRPr="00D9437A">
        <w:rPr>
          <w:szCs w:val="24"/>
        </w:rPr>
        <w:t>notes</w:t>
      </w:r>
      <w:r w:rsidR="00007AE2" w:rsidRPr="00D9437A">
        <w:rPr>
          <w:szCs w:val="24"/>
        </w:rPr>
        <w:t xml:space="preserve"> that building on</w:t>
      </w:r>
      <w:r w:rsidR="00CE7883" w:rsidRPr="00D9437A">
        <w:rPr>
          <w:szCs w:val="24"/>
        </w:rPr>
        <w:t xml:space="preserve"> the </w:t>
      </w:r>
      <w:r w:rsidR="00007AE2" w:rsidRPr="00D9437A">
        <w:rPr>
          <w:szCs w:val="24"/>
        </w:rPr>
        <w:t>new level of</w:t>
      </w:r>
      <w:r w:rsidR="00CE7883" w:rsidRPr="00D9437A">
        <w:rPr>
          <w:szCs w:val="24"/>
        </w:rPr>
        <w:t xml:space="preserve"> engagement and determination demonstrated by Turkey since the EU-Turkey Summit of 29 November 2015</w:t>
      </w:r>
      <w:r w:rsidR="00007AE2" w:rsidRPr="00D9437A">
        <w:rPr>
          <w:szCs w:val="24"/>
        </w:rPr>
        <w:t>, in the last months the Turkish authorities have further intensified their efforts to</w:t>
      </w:r>
      <w:r w:rsidR="008B4177">
        <w:rPr>
          <w:szCs w:val="24"/>
        </w:rPr>
        <w:t xml:space="preserve"> fulfil that condition</w:t>
      </w:r>
      <w:r w:rsidR="00CE7883" w:rsidRPr="00D9437A">
        <w:rPr>
          <w:szCs w:val="24"/>
        </w:rPr>
        <w:t xml:space="preserve">. </w:t>
      </w:r>
      <w:r w:rsidR="008B4177" w:rsidRPr="006B0695">
        <w:rPr>
          <w:szCs w:val="24"/>
        </w:rPr>
        <w:t xml:space="preserve">The Commission </w:t>
      </w:r>
      <w:r w:rsidR="006505A9" w:rsidRPr="006B0695">
        <w:rPr>
          <w:szCs w:val="24"/>
        </w:rPr>
        <w:t xml:space="preserve">acknowledges the good progress </w:t>
      </w:r>
      <w:r w:rsidR="00A915CB" w:rsidRPr="006B0695">
        <w:rPr>
          <w:szCs w:val="24"/>
        </w:rPr>
        <w:t>made</w:t>
      </w:r>
      <w:r w:rsidR="006505A9" w:rsidRPr="006B0695">
        <w:rPr>
          <w:szCs w:val="24"/>
        </w:rPr>
        <w:t xml:space="preserve"> by the </w:t>
      </w:r>
      <w:r w:rsidR="00CE7883" w:rsidRPr="006B0695">
        <w:rPr>
          <w:szCs w:val="24"/>
        </w:rPr>
        <w:t xml:space="preserve">Turkish authorities </w:t>
      </w:r>
      <w:r w:rsidR="006505A9" w:rsidRPr="006B0695">
        <w:rPr>
          <w:szCs w:val="24"/>
        </w:rPr>
        <w:t xml:space="preserve">so far, and it encourages them </w:t>
      </w:r>
      <w:r w:rsidR="00E8672A" w:rsidRPr="002068DC">
        <w:rPr>
          <w:szCs w:val="24"/>
        </w:rPr>
        <w:t xml:space="preserve">to </w:t>
      </w:r>
      <w:r w:rsidR="00A915CB" w:rsidRPr="006B0695">
        <w:rPr>
          <w:szCs w:val="24"/>
        </w:rPr>
        <w:t xml:space="preserve">urgently </w:t>
      </w:r>
      <w:r w:rsidR="006505A9" w:rsidRPr="006B0695">
        <w:rPr>
          <w:szCs w:val="24"/>
        </w:rPr>
        <w:t xml:space="preserve">step up these efforts to meet all requirements </w:t>
      </w:r>
      <w:r w:rsidR="00A915CB" w:rsidRPr="006B0695">
        <w:rPr>
          <w:szCs w:val="24"/>
        </w:rPr>
        <w:t>in order to</w:t>
      </w:r>
      <w:r w:rsidR="006505A9" w:rsidRPr="006B0695">
        <w:rPr>
          <w:szCs w:val="24"/>
        </w:rPr>
        <w:t xml:space="preserve"> obtain visa liberalisation by the end of June.</w:t>
      </w:r>
    </w:p>
    <w:p w:rsidR="00E65298" w:rsidRPr="00E65298" w:rsidRDefault="006505A9" w:rsidP="00E65298">
      <w:pPr>
        <w:autoSpaceDE w:val="0"/>
        <w:autoSpaceDN w:val="0"/>
        <w:adjustRightInd w:val="0"/>
        <w:rPr>
          <w:szCs w:val="24"/>
        </w:rPr>
      </w:pPr>
      <w:r>
        <w:rPr>
          <w:szCs w:val="24"/>
        </w:rPr>
        <w:t>As indicated in the Report, however, the Turkish authorities have not yet managed to meet this ambitious objective</w:t>
      </w:r>
      <w:r w:rsidR="00CE7883" w:rsidRPr="00D9437A">
        <w:rPr>
          <w:szCs w:val="24"/>
        </w:rPr>
        <w:t xml:space="preserve"> </w:t>
      </w:r>
      <w:r>
        <w:rPr>
          <w:szCs w:val="24"/>
        </w:rPr>
        <w:t xml:space="preserve">as </w:t>
      </w:r>
      <w:r w:rsidR="00717271">
        <w:rPr>
          <w:szCs w:val="24"/>
        </w:rPr>
        <w:t xml:space="preserve">7 </w:t>
      </w:r>
      <w:r>
        <w:rPr>
          <w:szCs w:val="24"/>
        </w:rPr>
        <w:t xml:space="preserve">requirements out of </w:t>
      </w:r>
      <w:r w:rsidR="00A915CB">
        <w:rPr>
          <w:szCs w:val="24"/>
        </w:rPr>
        <w:t>72</w:t>
      </w:r>
      <w:r>
        <w:rPr>
          <w:szCs w:val="24"/>
        </w:rPr>
        <w:t xml:space="preserve"> have not yet been fulfilled</w:t>
      </w:r>
      <w:r w:rsidR="00806342" w:rsidRPr="00D9437A">
        <w:rPr>
          <w:szCs w:val="24"/>
        </w:rPr>
        <w:t xml:space="preserve">. </w:t>
      </w:r>
      <w:r w:rsidR="00E65298">
        <w:rPr>
          <w:rFonts w:eastAsia="Calibri"/>
          <w:szCs w:val="24"/>
        </w:rPr>
        <w:t xml:space="preserve">Some </w:t>
      </w:r>
      <w:r w:rsidR="00E93DAC">
        <w:rPr>
          <w:rFonts w:eastAsia="Calibri"/>
          <w:szCs w:val="24"/>
        </w:rPr>
        <w:t>of them</w:t>
      </w:r>
      <w:r w:rsidR="00E65298">
        <w:rPr>
          <w:rFonts w:eastAsia="Calibri"/>
          <w:szCs w:val="24"/>
        </w:rPr>
        <w:t xml:space="preserve"> are of particular importance. </w:t>
      </w:r>
    </w:p>
    <w:p w:rsidR="00E65298" w:rsidRDefault="00E65298" w:rsidP="00E65298">
      <w:pPr>
        <w:rPr>
          <w:szCs w:val="24"/>
        </w:rPr>
      </w:pPr>
      <w:r>
        <w:rPr>
          <w:rFonts w:eastAsia="Calibri"/>
          <w:szCs w:val="24"/>
        </w:rPr>
        <w:t xml:space="preserve">Two of these </w:t>
      </w:r>
      <w:r w:rsidR="00717271">
        <w:rPr>
          <w:szCs w:val="24"/>
        </w:rPr>
        <w:t>seven</w:t>
      </w:r>
      <w:r w:rsidR="00717271" w:rsidRPr="00E962F1">
        <w:rPr>
          <w:szCs w:val="24"/>
        </w:rPr>
        <w:t xml:space="preserve"> </w:t>
      </w:r>
      <w:r w:rsidRPr="00E962F1">
        <w:rPr>
          <w:szCs w:val="24"/>
        </w:rPr>
        <w:t>outstanding requirements need</w:t>
      </w:r>
      <w:r>
        <w:rPr>
          <w:szCs w:val="24"/>
        </w:rPr>
        <w:t xml:space="preserve"> for practical and procedural reasons</w:t>
      </w:r>
      <w:r w:rsidRPr="00E962F1">
        <w:rPr>
          <w:szCs w:val="24"/>
        </w:rPr>
        <w:t xml:space="preserve"> a longer timeline for implementation</w:t>
      </w:r>
      <w:r>
        <w:rPr>
          <w:szCs w:val="24"/>
        </w:rPr>
        <w:t>, and this has</w:t>
      </w:r>
      <w:r w:rsidRPr="00E962F1">
        <w:rPr>
          <w:szCs w:val="24"/>
        </w:rPr>
        <w:t xml:space="preserve"> </w:t>
      </w:r>
      <w:r>
        <w:rPr>
          <w:szCs w:val="24"/>
        </w:rPr>
        <w:t xml:space="preserve">made it impossible for them to be fulfilled in a complete manner </w:t>
      </w:r>
      <w:r w:rsidRPr="002068DC">
        <w:rPr>
          <w:szCs w:val="24"/>
        </w:rPr>
        <w:t>by the time o</w:t>
      </w:r>
      <w:r w:rsidR="00CD5910" w:rsidRPr="002068DC">
        <w:rPr>
          <w:szCs w:val="24"/>
        </w:rPr>
        <w:t>f the presentation of this proposal</w:t>
      </w:r>
      <w:r w:rsidRPr="002068DC">
        <w:rPr>
          <w:szCs w:val="24"/>
        </w:rPr>
        <w:t>.</w:t>
      </w:r>
      <w:r w:rsidR="00F4199F" w:rsidRPr="002068DC">
        <w:rPr>
          <w:szCs w:val="24"/>
        </w:rPr>
        <w:t xml:space="preserve"> This concerns the following two benchmark</w:t>
      </w:r>
      <w:r w:rsidR="002068DC">
        <w:rPr>
          <w:szCs w:val="24"/>
        </w:rPr>
        <w:t>s:</w:t>
      </w:r>
    </w:p>
    <w:p w:rsidR="00E65298" w:rsidRPr="00EB7C14" w:rsidRDefault="00E65298" w:rsidP="00ED728D">
      <w:pPr>
        <w:pStyle w:val="Tiret0"/>
        <w:numPr>
          <w:ilvl w:val="0"/>
          <w:numId w:val="10"/>
        </w:numPr>
      </w:pPr>
      <w:r w:rsidRPr="00EB7C14">
        <w:t xml:space="preserve">upgrading the existing biometric passports so as to include security features in line with the </w:t>
      </w:r>
      <w:r w:rsidR="00AF7127" w:rsidRPr="00EB7C14">
        <w:t xml:space="preserve">latest </w:t>
      </w:r>
      <w:r w:rsidRPr="00EB7C14">
        <w:t xml:space="preserve">EU standards; </w:t>
      </w:r>
    </w:p>
    <w:p w:rsidR="00E65298" w:rsidRPr="00EB7C14" w:rsidRDefault="00E65298" w:rsidP="00EB7C14">
      <w:pPr>
        <w:pStyle w:val="Tiret0"/>
      </w:pPr>
      <w:r w:rsidRPr="00EB7C14">
        <w:t>fully implementing the provisions of the EU-Turkey readmission agreement, including those related to the readmiss</w:t>
      </w:r>
      <w:r w:rsidR="00CD5910" w:rsidRPr="00EB7C14">
        <w:t>ion of third country nationals.</w:t>
      </w:r>
    </w:p>
    <w:p w:rsidR="00F4199F" w:rsidRPr="00011D95" w:rsidRDefault="00EB67DE" w:rsidP="00E65298">
      <w:pPr>
        <w:rPr>
          <w:szCs w:val="24"/>
        </w:rPr>
      </w:pPr>
      <w:r w:rsidRPr="004558B6">
        <w:rPr>
          <w:szCs w:val="24"/>
        </w:rPr>
        <w:t>As indicated in the Report,</w:t>
      </w:r>
      <w:r>
        <w:rPr>
          <w:szCs w:val="24"/>
        </w:rPr>
        <w:t xml:space="preserve"> t</w:t>
      </w:r>
      <w:r w:rsidR="00E65298">
        <w:rPr>
          <w:szCs w:val="24"/>
        </w:rPr>
        <w:t xml:space="preserve">he Commission and the Turkish authorities have agreed on practical </w:t>
      </w:r>
      <w:r w:rsidR="00E65298" w:rsidRPr="00011D95">
        <w:rPr>
          <w:szCs w:val="24"/>
        </w:rPr>
        <w:t>ways of implementing these benchmarks before their complete fulfilment.</w:t>
      </w:r>
    </w:p>
    <w:p w:rsidR="00E65298" w:rsidRPr="00011D95" w:rsidRDefault="00E65298" w:rsidP="00E65298">
      <w:pPr>
        <w:rPr>
          <w:szCs w:val="24"/>
        </w:rPr>
      </w:pPr>
      <w:r w:rsidRPr="00011D95">
        <w:rPr>
          <w:rFonts w:eastAsia="Calibri"/>
          <w:szCs w:val="24"/>
        </w:rPr>
        <w:t>The Commission invites the Turkish authorities to urgently undertake</w:t>
      </w:r>
      <w:r w:rsidR="00EB67DE" w:rsidRPr="00011D95">
        <w:rPr>
          <w:rFonts w:eastAsia="Calibri"/>
          <w:szCs w:val="24"/>
        </w:rPr>
        <w:t xml:space="preserve"> </w:t>
      </w:r>
      <w:r w:rsidRPr="00011D95">
        <w:rPr>
          <w:rFonts w:eastAsia="Calibri"/>
          <w:szCs w:val="24"/>
        </w:rPr>
        <w:t xml:space="preserve">the measures that are necessary to fulfil the other outstanding benchmarks of the Roadmap, namely: </w:t>
      </w:r>
    </w:p>
    <w:p w:rsidR="00E65298" w:rsidRPr="00011D95" w:rsidRDefault="00E65298" w:rsidP="00EB7C14">
      <w:pPr>
        <w:pStyle w:val="Tiret0"/>
      </w:pPr>
      <w:r w:rsidRPr="00011D95">
        <w:t>adopting the measure</w:t>
      </w:r>
      <w:r w:rsidR="00AF7127" w:rsidRPr="00011D95">
        <w:t>s</w:t>
      </w:r>
      <w:r w:rsidRPr="00011D95">
        <w:t xml:space="preserve"> to prevent corruption foreseen by the Roadmap</w:t>
      </w:r>
      <w:r w:rsidR="008C4061" w:rsidRPr="00011D95">
        <w:t>, i.e. ensuring an effective follow-up to the recommendations issued by the Council of Europe's Group of States against Corruption (GRECO)</w:t>
      </w:r>
      <w:r w:rsidRPr="00011D95">
        <w:t xml:space="preserve">; </w:t>
      </w:r>
    </w:p>
    <w:p w:rsidR="00E65298" w:rsidRPr="00011D95" w:rsidRDefault="00E65298" w:rsidP="008C4061">
      <w:pPr>
        <w:pStyle w:val="Tiret0"/>
      </w:pPr>
      <w:r w:rsidRPr="00011D95">
        <w:t xml:space="preserve">aligning the legislation on personal data protection </w:t>
      </w:r>
      <w:r w:rsidR="00A915CB" w:rsidRPr="00011D95">
        <w:t xml:space="preserve">to </w:t>
      </w:r>
      <w:r w:rsidRPr="00011D95">
        <w:t>EU standards</w:t>
      </w:r>
      <w:r w:rsidR="008C4061" w:rsidRPr="00011D95">
        <w:t>,</w:t>
      </w:r>
      <w:r w:rsidR="008C4061" w:rsidRPr="00D41ADE">
        <w:t xml:space="preserve"> </w:t>
      </w:r>
      <w:r w:rsidR="008C4061" w:rsidRPr="00D41ADE">
        <w:rPr>
          <w:rFonts w:eastAsia="Times New Roman"/>
          <w:color w:val="000000"/>
        </w:rPr>
        <w:t>notably to ensure that the data protection authority can act in an independent manner and that the activities of law enforcement agencies fall within the scope of the law</w:t>
      </w:r>
      <w:r w:rsidRPr="00011D95">
        <w:t xml:space="preserve">; </w:t>
      </w:r>
    </w:p>
    <w:p w:rsidR="00E65298" w:rsidRPr="00011D95" w:rsidRDefault="00E65298" w:rsidP="00EB7C14">
      <w:pPr>
        <w:pStyle w:val="Tiret0"/>
      </w:pPr>
      <w:r w:rsidRPr="00011D95">
        <w:t>negotiating an operational cooperation agreement with Europol</w:t>
      </w:r>
      <w:r w:rsidR="008C4061" w:rsidRPr="00011D95">
        <w:rPr>
          <w:szCs w:val="24"/>
        </w:rPr>
        <w:t>. This also depends upon the above changes to the data protection legislation</w:t>
      </w:r>
      <w:r w:rsidRPr="00011D95">
        <w:t xml:space="preserve">; </w:t>
      </w:r>
    </w:p>
    <w:p w:rsidR="00E65298" w:rsidRPr="00011D95" w:rsidRDefault="00E65298" w:rsidP="00EB7C14">
      <w:pPr>
        <w:pStyle w:val="Tiret0"/>
      </w:pPr>
      <w:r w:rsidRPr="00011D95">
        <w:t xml:space="preserve">offering effective judicial cooperation in criminal matters to all EU Member States; </w:t>
      </w:r>
    </w:p>
    <w:p w:rsidR="00E65298" w:rsidRPr="00011D95" w:rsidRDefault="00E65298" w:rsidP="00EB7C14">
      <w:pPr>
        <w:pStyle w:val="Tiret0"/>
      </w:pPr>
      <w:r w:rsidRPr="00011D95">
        <w:t>revising the legislation and practices on terrorism in line with European standards</w:t>
      </w:r>
      <w:r w:rsidR="008C4061" w:rsidRPr="00011D95">
        <w:t xml:space="preserve">, </w:t>
      </w:r>
      <w:r w:rsidR="008C4061" w:rsidRPr="00D41ADE">
        <w:rPr>
          <w:rFonts w:eastAsia="Times New Roman"/>
          <w:color w:val="000000"/>
        </w:rPr>
        <w:t xml:space="preserve">notably by </w:t>
      </w:r>
      <w:r w:rsidR="00011D95" w:rsidRPr="00D41ADE">
        <w:rPr>
          <w:rFonts w:eastAsia="Times New Roman"/>
          <w:color w:val="000000"/>
        </w:rPr>
        <w:t xml:space="preserve">better </w:t>
      </w:r>
      <w:r w:rsidR="008C4061" w:rsidRPr="00D41ADE">
        <w:rPr>
          <w:rFonts w:eastAsia="Times New Roman"/>
          <w:color w:val="000000"/>
        </w:rPr>
        <w:t>aligning the definition of terrorism with that set out in Framework Decision 2002/4</w:t>
      </w:r>
      <w:r w:rsidR="00011D95" w:rsidRPr="00D41ADE">
        <w:rPr>
          <w:rFonts w:eastAsia="Times New Roman"/>
          <w:color w:val="000000"/>
        </w:rPr>
        <w:t>7</w:t>
      </w:r>
      <w:r w:rsidR="008C4061" w:rsidRPr="00D41ADE">
        <w:rPr>
          <w:rFonts w:eastAsia="Times New Roman"/>
          <w:color w:val="000000"/>
        </w:rPr>
        <w:t>5/JHA as amended in order to narrow the scope of the definition and by introducing a criterion of proportionality</w:t>
      </w:r>
      <w:r w:rsidRPr="00011D95">
        <w:t xml:space="preserve">. </w:t>
      </w:r>
    </w:p>
    <w:p w:rsidR="00E65298" w:rsidRDefault="00AF7127" w:rsidP="00E65298">
      <w:pPr>
        <w:rPr>
          <w:rFonts w:eastAsia="Calibri"/>
          <w:szCs w:val="24"/>
        </w:rPr>
      </w:pPr>
      <w:r w:rsidRPr="00011D95">
        <w:rPr>
          <w:szCs w:val="24"/>
        </w:rPr>
        <w:t>O</w:t>
      </w:r>
      <w:r w:rsidR="00E65298" w:rsidRPr="00011D95">
        <w:rPr>
          <w:szCs w:val="24"/>
        </w:rPr>
        <w:t>n the understanding</w:t>
      </w:r>
      <w:r w:rsidR="00E65298" w:rsidRPr="00011D95">
        <w:rPr>
          <w:rFonts w:eastAsia="Calibri"/>
          <w:szCs w:val="24"/>
        </w:rPr>
        <w:t xml:space="preserve"> th</w:t>
      </w:r>
      <w:r w:rsidR="00011D95">
        <w:rPr>
          <w:rFonts w:eastAsia="Calibri"/>
          <w:szCs w:val="24"/>
        </w:rPr>
        <w:t>at the Turkish authorities will</w:t>
      </w:r>
      <w:r w:rsidR="00E65298" w:rsidRPr="00011D95">
        <w:rPr>
          <w:rFonts w:eastAsia="Calibri"/>
          <w:szCs w:val="24"/>
        </w:rPr>
        <w:t>fulfil</w:t>
      </w:r>
      <w:r w:rsidR="008C4061" w:rsidRPr="00011D95">
        <w:rPr>
          <w:rFonts w:eastAsia="Calibri"/>
          <w:szCs w:val="24"/>
        </w:rPr>
        <w:t>, as a matter of urgency and as they committed to do so on 18 March 2016,</w:t>
      </w:r>
      <w:r w:rsidR="00E65298" w:rsidRPr="00011D95">
        <w:rPr>
          <w:rFonts w:eastAsia="Calibri"/>
          <w:szCs w:val="24"/>
        </w:rPr>
        <w:t xml:space="preserve"> the outstanding benchmarks of the Roadmap, the Commission </w:t>
      </w:r>
      <w:r w:rsidR="00CD5910" w:rsidRPr="00011D95">
        <w:rPr>
          <w:rFonts w:eastAsia="Calibri"/>
          <w:szCs w:val="24"/>
        </w:rPr>
        <w:t>has decided to present</w:t>
      </w:r>
      <w:r w:rsidR="00E65298" w:rsidRPr="00011D95">
        <w:rPr>
          <w:rFonts w:eastAsia="Calibri"/>
          <w:szCs w:val="24"/>
        </w:rPr>
        <w:t xml:space="preserve"> the proposal to amend Regulation </w:t>
      </w:r>
      <w:r w:rsidR="00717271" w:rsidRPr="00011D95">
        <w:rPr>
          <w:rFonts w:eastAsia="Calibri"/>
          <w:szCs w:val="24"/>
        </w:rPr>
        <w:t xml:space="preserve">(EC) No </w:t>
      </w:r>
      <w:r w:rsidR="00E65298" w:rsidRPr="00011D95">
        <w:rPr>
          <w:rFonts w:eastAsia="Calibri"/>
          <w:szCs w:val="24"/>
        </w:rPr>
        <w:t>539/2001</w:t>
      </w:r>
      <w:r w:rsidR="00E93DAC" w:rsidRPr="00011D95">
        <w:rPr>
          <w:rFonts w:eastAsia="Calibri"/>
          <w:szCs w:val="24"/>
        </w:rPr>
        <w:t xml:space="preserve"> to lift the visa requirement </w:t>
      </w:r>
      <w:r w:rsidRPr="00011D95">
        <w:rPr>
          <w:rFonts w:eastAsia="Calibri"/>
          <w:szCs w:val="24"/>
        </w:rPr>
        <w:t>for</w:t>
      </w:r>
      <w:r w:rsidR="00E65298" w:rsidRPr="00011D95">
        <w:rPr>
          <w:rFonts w:eastAsia="Calibri"/>
          <w:szCs w:val="24"/>
        </w:rPr>
        <w:t xml:space="preserve"> Turkish citizens </w:t>
      </w:r>
      <w:r w:rsidR="00EB67DE" w:rsidRPr="00011D95">
        <w:rPr>
          <w:rFonts w:eastAsia="Calibri"/>
          <w:szCs w:val="24"/>
        </w:rPr>
        <w:t>who are holders of a biometric passport in line with EU standards</w:t>
      </w:r>
      <w:r w:rsidR="00E65298" w:rsidRPr="00230DA5">
        <w:rPr>
          <w:rFonts w:eastAsia="Calibri"/>
          <w:szCs w:val="24"/>
        </w:rPr>
        <w:t>.</w:t>
      </w:r>
      <w:r w:rsidR="00E65298">
        <w:rPr>
          <w:rFonts w:eastAsia="Calibri"/>
          <w:szCs w:val="24"/>
        </w:rPr>
        <w:t xml:space="preserve">  </w:t>
      </w:r>
    </w:p>
    <w:p w:rsidR="007E1FF9" w:rsidRDefault="00E65298" w:rsidP="005B0B39">
      <w:r>
        <w:rPr>
          <w:rFonts w:eastAsia="Calibri"/>
          <w:szCs w:val="24"/>
        </w:rPr>
        <w:lastRenderedPageBreak/>
        <w:t>In order to assist the co-legislators in their deliberations, the Commission will continue monitoring the steps which the Turkish authorities take to fulfil the outstanding requirements of the Roadmap.</w:t>
      </w:r>
    </w:p>
    <w:p w:rsidR="00CB3FD5" w:rsidRPr="00D9437A" w:rsidRDefault="005B0B39" w:rsidP="005B0B39">
      <w:pPr>
        <w:rPr>
          <w:szCs w:val="24"/>
        </w:rPr>
      </w:pPr>
      <w:r>
        <w:rPr>
          <w:szCs w:val="24"/>
        </w:rPr>
        <w:t xml:space="preserve">The presentation of this proposal at the </w:t>
      </w:r>
      <w:r w:rsidRPr="00C7740F">
        <w:rPr>
          <w:szCs w:val="24"/>
        </w:rPr>
        <w:t>beginning of May allow</w:t>
      </w:r>
      <w:r>
        <w:rPr>
          <w:szCs w:val="24"/>
        </w:rPr>
        <w:t>s</w:t>
      </w:r>
      <w:r w:rsidRPr="00C7740F">
        <w:rPr>
          <w:szCs w:val="24"/>
        </w:rPr>
        <w:t xml:space="preserve"> for an eight-week period to elapse between the draft being made available to national Parliaments and its adoption by the end of June, as mentioned in the EU-Turkey </w:t>
      </w:r>
      <w:r>
        <w:rPr>
          <w:szCs w:val="24"/>
        </w:rPr>
        <w:t>S</w:t>
      </w:r>
      <w:r w:rsidRPr="00C7740F">
        <w:rPr>
          <w:szCs w:val="24"/>
        </w:rPr>
        <w:t xml:space="preserve">tatement of 18 March 2016, and in accordance with </w:t>
      </w:r>
      <w:r w:rsidRPr="00D9437A">
        <w:rPr>
          <w:szCs w:val="24"/>
        </w:rPr>
        <w:t>Article 4 of Protocol No 1 to the Treaties on the role of national Parliaments in the European Union. As such the proposal ensures that a key element of the EU-Turkey statement, agreed on 18 March by Heads of State or Government</w:t>
      </w:r>
      <w:r w:rsidR="00717271">
        <w:rPr>
          <w:szCs w:val="24"/>
        </w:rPr>
        <w:t>,</w:t>
      </w:r>
      <w:r w:rsidRPr="00D9437A">
        <w:rPr>
          <w:szCs w:val="24"/>
        </w:rPr>
        <w:t xml:space="preserve"> can be delivered.</w:t>
      </w:r>
    </w:p>
    <w:p w:rsidR="003B5C42" w:rsidRPr="002D5EE2" w:rsidRDefault="003B5C42" w:rsidP="00DE46FA">
      <w:pPr>
        <w:pStyle w:val="ManualHeading2"/>
        <w:rPr>
          <w:rFonts w:eastAsia="Arial Unicode MS"/>
          <w:color w:val="000000"/>
          <w:u w:color="000000"/>
          <w:bdr w:val="nil"/>
          <w:lang w:val="en-US" w:eastAsia="en-GB"/>
        </w:rPr>
      </w:pPr>
      <w:r w:rsidRPr="0029266A">
        <w:rPr>
          <w:rFonts w:eastAsia="Arial Unicode MS"/>
          <w:color w:val="000000"/>
          <w:u w:color="000000"/>
          <w:bdr w:val="nil"/>
          <w:lang w:val="en-US" w:eastAsia="en-GB"/>
        </w:rPr>
        <w:t>•</w:t>
      </w:r>
      <w:r w:rsidRPr="0029266A">
        <w:rPr>
          <w:rFonts w:eastAsia="Arial Unicode MS"/>
          <w:color w:val="000000"/>
          <w:u w:color="000000"/>
          <w:bdr w:val="nil"/>
          <w:lang w:val="en-US" w:eastAsia="en-GB"/>
        </w:rPr>
        <w:tab/>
      </w:r>
      <w:r w:rsidRPr="00044058">
        <w:rPr>
          <w:rFonts w:eastAsia="Arial Unicode MS"/>
        </w:rPr>
        <w:t>Consistency with existing policy provisions in the</w:t>
      </w:r>
      <w:r>
        <w:rPr>
          <w:rFonts w:eastAsia="Arial Unicode MS"/>
        </w:rPr>
        <w:t xml:space="preserve"> </w:t>
      </w:r>
      <w:r w:rsidRPr="002D5EE2">
        <w:rPr>
          <w:rFonts w:eastAsia="Arial Unicode MS"/>
        </w:rPr>
        <w:t>policy area</w:t>
      </w:r>
    </w:p>
    <w:p w:rsidR="003B5C42" w:rsidRDefault="003B5C42" w:rsidP="003B5C42">
      <w:pPr>
        <w:widowControl w:val="0"/>
        <w:autoSpaceDE w:val="0"/>
        <w:autoSpaceDN w:val="0"/>
        <w:adjustRightInd w:val="0"/>
        <w:rPr>
          <w:rFonts w:eastAsia="Calibri"/>
          <w:lang w:eastAsia="en-GB"/>
        </w:rPr>
      </w:pPr>
      <w:r w:rsidRPr="00EB7D15">
        <w:rPr>
          <w:rFonts w:eastAsia="Calibri"/>
          <w:lang w:eastAsia="en-GB"/>
        </w:rPr>
        <w:t>Council Regulation (EC) No 539/2001 lists the third countries whose nationals must be in possession of a visa when crossing the external borders of the Member States and those whose nationals are exempt from that requirement. Regulation (EC) No 539/2001 is applied by all Member States</w:t>
      </w:r>
      <w:r>
        <w:rPr>
          <w:rFonts w:eastAsia="Calibri"/>
          <w:lang w:eastAsia="en-GB"/>
        </w:rPr>
        <w:t xml:space="preserve"> –</w:t>
      </w:r>
      <w:r w:rsidRPr="00EB7D15">
        <w:rPr>
          <w:rFonts w:eastAsia="Calibri"/>
          <w:lang w:eastAsia="en-GB"/>
        </w:rPr>
        <w:t xml:space="preserve"> with</w:t>
      </w:r>
      <w:r>
        <w:rPr>
          <w:rFonts w:eastAsia="Calibri"/>
          <w:lang w:eastAsia="en-GB"/>
        </w:rPr>
        <w:t xml:space="preserve"> </w:t>
      </w:r>
      <w:r w:rsidRPr="00EB7D15">
        <w:rPr>
          <w:rFonts w:eastAsia="Calibri"/>
          <w:lang w:eastAsia="en-GB"/>
        </w:rPr>
        <w:t>the exception of Ireland and the United Kingdom</w:t>
      </w:r>
      <w:r>
        <w:t xml:space="preserve"> – and also by Iceland, Liechtenstein, Norway and Switzerland</w:t>
      </w:r>
      <w:r w:rsidRPr="00EB7D15">
        <w:rPr>
          <w:rFonts w:eastAsia="Calibri"/>
          <w:lang w:eastAsia="en-GB"/>
        </w:rPr>
        <w:t xml:space="preserve">. </w:t>
      </w:r>
      <w:r>
        <w:rPr>
          <w:rFonts w:eastAsia="Calibri"/>
          <w:lang w:eastAsia="en-GB"/>
        </w:rPr>
        <w:t>The Regulation is part of the EU's common visa policy for short stays of 90 days in any 180-day period.</w:t>
      </w:r>
    </w:p>
    <w:p w:rsidR="003B5C42" w:rsidRDefault="00842C28" w:rsidP="003B5C42">
      <w:pPr>
        <w:widowControl w:val="0"/>
        <w:autoSpaceDE w:val="0"/>
        <w:autoSpaceDN w:val="0"/>
        <w:adjustRightInd w:val="0"/>
      </w:pPr>
      <w:r>
        <w:t>Turkey</w:t>
      </w:r>
      <w:r w:rsidR="003B5C42">
        <w:t xml:space="preserve"> is currently listed in Annex I of </w:t>
      </w:r>
      <w:r w:rsidR="003B5C42" w:rsidRPr="00EB7D15">
        <w:rPr>
          <w:rFonts w:eastAsia="Calibri"/>
          <w:lang w:eastAsia="en-GB"/>
        </w:rPr>
        <w:t>Regulation (EC) No 539/2001</w:t>
      </w:r>
      <w:r w:rsidR="003B5C42">
        <w:t xml:space="preserve">, i.e. among those countries whose nationals are required to hold a visa when travelling to the territory of EU Member States. </w:t>
      </w:r>
    </w:p>
    <w:p w:rsidR="003B5C42" w:rsidRDefault="003B5C42" w:rsidP="003B5C42">
      <w:pPr>
        <w:widowControl w:val="0"/>
        <w:autoSpaceDE w:val="0"/>
        <w:autoSpaceDN w:val="0"/>
        <w:adjustRightInd w:val="0"/>
      </w:pPr>
      <w:r>
        <w:t>Regulation (EC) No 539/2001 was last amended by Regulation (EU) No 259/2014</w:t>
      </w:r>
      <w:r>
        <w:rPr>
          <w:rStyle w:val="FootnoteReference"/>
        </w:rPr>
        <w:footnoteReference w:id="7"/>
      </w:r>
      <w:r>
        <w:t xml:space="preserve"> when Moldova was transferred to the visa-free list after successfully implementing its VLAP; and by Regulation (EU) No 509/2014</w:t>
      </w:r>
      <w:r>
        <w:rPr>
          <w:rStyle w:val="FootnoteReference"/>
        </w:rPr>
        <w:footnoteReference w:id="8"/>
      </w:r>
      <w:r>
        <w:t xml:space="preserve"> when five Caribbean</w:t>
      </w:r>
      <w:r>
        <w:rPr>
          <w:rStyle w:val="FootnoteReference"/>
        </w:rPr>
        <w:footnoteReference w:id="9"/>
      </w:r>
      <w:r>
        <w:t xml:space="preserve"> and eleven Pacific countries</w:t>
      </w:r>
      <w:r>
        <w:rPr>
          <w:rStyle w:val="FootnoteReference"/>
        </w:rPr>
        <w:footnoteReference w:id="10"/>
      </w:r>
      <w:r>
        <w:t>, as well as Colombia, Peru and the United Arab Emirates were exempted from the visa requirement – subject to the conclusion of visa waiver agreements between the EU and the respective third countries – following a periodical review of the visa lists.</w:t>
      </w:r>
      <w:r w:rsidR="00842C28">
        <w:t xml:space="preserve"> On 9 March 2016</w:t>
      </w:r>
      <w:r w:rsidR="0076695B">
        <w:t xml:space="preserve"> and 20 April 2016 the Commission made</w:t>
      </w:r>
      <w:r w:rsidR="00842C28">
        <w:t xml:space="preserve"> proposal</w:t>
      </w:r>
      <w:r w:rsidR="0076695B">
        <w:t>s</w:t>
      </w:r>
      <w:r w:rsidR="00842C28">
        <w:t xml:space="preserve"> to amend Regulation (EC) No 539/2001, transferring </w:t>
      </w:r>
      <w:r w:rsidR="0076695B">
        <w:t xml:space="preserve">– respectively </w:t>
      </w:r>
      <w:r w:rsidR="00717271">
        <w:t>–</w:t>
      </w:r>
      <w:r w:rsidR="0076695B">
        <w:t xml:space="preserve"> Georgia</w:t>
      </w:r>
      <w:r w:rsidR="00842C28">
        <w:rPr>
          <w:rStyle w:val="FootnoteReference"/>
        </w:rPr>
        <w:footnoteReference w:id="11"/>
      </w:r>
      <w:r w:rsidR="0076695B">
        <w:t xml:space="preserve"> and Ukraine</w:t>
      </w:r>
      <w:r w:rsidR="0050744F">
        <w:rPr>
          <w:rStyle w:val="FootnoteReference"/>
        </w:rPr>
        <w:footnoteReference w:id="12"/>
      </w:r>
      <w:r w:rsidR="0076695B">
        <w:t xml:space="preserve"> to the visa-free list</w:t>
      </w:r>
      <w:r w:rsidR="00717271" w:rsidRPr="00717271">
        <w:t xml:space="preserve"> </w:t>
      </w:r>
      <w:r w:rsidR="00717271">
        <w:t>after successful implementation of their VLAP roadmaps</w:t>
      </w:r>
      <w:r w:rsidR="0076695B">
        <w:t>.</w:t>
      </w:r>
    </w:p>
    <w:p w:rsidR="005871A6" w:rsidRDefault="003B5C42" w:rsidP="003B5C42">
      <w:pPr>
        <w:widowControl w:val="0"/>
        <w:autoSpaceDE w:val="0"/>
        <w:autoSpaceDN w:val="0"/>
        <w:adjustRightInd w:val="0"/>
        <w:rPr>
          <w:szCs w:val="24"/>
        </w:rPr>
      </w:pPr>
      <w:r>
        <w:t xml:space="preserve">The criteria which should be taken into account when determining – based on a case-by-case assessment – the third countries whose nationals are subject to, or exempt from, the visa requirement are laid down in Article </w:t>
      </w:r>
      <w:r w:rsidR="00565C85">
        <w:t>-</w:t>
      </w:r>
      <w:r>
        <w:t xml:space="preserve">1 of Regulation </w:t>
      </w:r>
      <w:r w:rsidRPr="00EB7D15">
        <w:rPr>
          <w:rFonts w:eastAsia="Calibri"/>
          <w:lang w:eastAsia="en-GB"/>
        </w:rPr>
        <w:t>(EC) No </w:t>
      </w:r>
      <w:r>
        <w:t xml:space="preserve"> 539/2001 (as introduced by Regulation (EU) No 509/2014). They include </w:t>
      </w:r>
      <w:r w:rsidRPr="00602BCF">
        <w:rPr>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w:t>
      </w:r>
      <w:r>
        <w:rPr>
          <w:szCs w:val="24"/>
        </w:rPr>
        <w:t>d</w:t>
      </w:r>
      <w:r w:rsidRPr="00602BCF">
        <w:rPr>
          <w:szCs w:val="24"/>
        </w:rPr>
        <w:t xml:space="preserve">oms, as well as the implications of regional coherence and </w:t>
      </w:r>
      <w:r w:rsidRPr="00602BCF">
        <w:rPr>
          <w:szCs w:val="24"/>
        </w:rPr>
        <w:lastRenderedPageBreak/>
        <w:t>reciprocity</w:t>
      </w:r>
      <w:r w:rsidR="00717271" w:rsidRPr="00602BCF">
        <w:rPr>
          <w:szCs w:val="24"/>
        </w:rPr>
        <w:t>.</w:t>
      </w:r>
      <w:r w:rsidRPr="00602BCF">
        <w:rPr>
          <w:szCs w:val="24"/>
        </w:rPr>
        <w:t>”</w:t>
      </w:r>
      <w:r>
        <w:rPr>
          <w:rStyle w:val="FootnoteReference"/>
          <w:szCs w:val="24"/>
        </w:rPr>
        <w:footnoteReference w:id="13"/>
      </w:r>
      <w:r>
        <w:rPr>
          <w:szCs w:val="24"/>
        </w:rPr>
        <w:t xml:space="preserve"> </w:t>
      </w:r>
      <w:r w:rsidRPr="005871A6">
        <w:rPr>
          <w:szCs w:val="24"/>
        </w:rPr>
        <w:t xml:space="preserve">Particular attention should be paid to the security of travel documents issued by </w:t>
      </w:r>
      <w:r w:rsidRPr="00D9437A">
        <w:rPr>
          <w:szCs w:val="24"/>
        </w:rPr>
        <w:t>the third countries concerned.</w:t>
      </w:r>
    </w:p>
    <w:p w:rsidR="00346462" w:rsidRDefault="00346462" w:rsidP="003B5C42">
      <w:pPr>
        <w:widowControl w:val="0"/>
        <w:autoSpaceDE w:val="0"/>
        <w:autoSpaceDN w:val="0"/>
        <w:adjustRightInd w:val="0"/>
        <w:rPr>
          <w:szCs w:val="24"/>
        </w:rPr>
      </w:pPr>
      <w:r>
        <w:rPr>
          <w:szCs w:val="24"/>
        </w:rPr>
        <w:t xml:space="preserve">As regards reciprocity, </w:t>
      </w:r>
      <w:r w:rsidRPr="00B7285A">
        <w:rPr>
          <w:szCs w:val="24"/>
        </w:rPr>
        <w:t>on 2 May 2016 the Turkish Government adopted a decree</w:t>
      </w:r>
      <w:r w:rsidRPr="005C015C">
        <w:rPr>
          <w:szCs w:val="24"/>
        </w:rPr>
        <w:t xml:space="preserve"> stating that </w:t>
      </w:r>
      <w:r w:rsidR="00927849" w:rsidRPr="005C015C">
        <w:rPr>
          <w:szCs w:val="24"/>
        </w:rPr>
        <w:t xml:space="preserve">the </w:t>
      </w:r>
      <w:r w:rsidRPr="005C015C">
        <w:rPr>
          <w:szCs w:val="24"/>
        </w:rPr>
        <w:t xml:space="preserve">citizens of </w:t>
      </w:r>
      <w:r w:rsidR="00927849" w:rsidRPr="005C015C">
        <w:rPr>
          <w:szCs w:val="24"/>
        </w:rPr>
        <w:t xml:space="preserve">all </w:t>
      </w:r>
      <w:r w:rsidRPr="005C015C">
        <w:rPr>
          <w:szCs w:val="24"/>
        </w:rPr>
        <w:t xml:space="preserve">Member States will be able to enter Turkey without a visa from the </w:t>
      </w:r>
      <w:r w:rsidR="00927849" w:rsidRPr="005C015C">
        <w:rPr>
          <w:szCs w:val="24"/>
        </w:rPr>
        <w:t xml:space="preserve">date of lifting </w:t>
      </w:r>
      <w:r w:rsidRPr="005C015C">
        <w:rPr>
          <w:szCs w:val="24"/>
        </w:rPr>
        <w:t>the visa requirement for Turkish citizens.</w:t>
      </w:r>
    </w:p>
    <w:p w:rsidR="003B5C42" w:rsidRPr="002D5EE2" w:rsidRDefault="003B5C42" w:rsidP="00DE46FA">
      <w:pPr>
        <w:pStyle w:val="ManualHeading2"/>
        <w:rPr>
          <w:rFonts w:eastAsia="Arial Unicode MS"/>
        </w:rPr>
      </w:pPr>
      <w:r w:rsidRPr="002D5EE2">
        <w:rPr>
          <w:rFonts w:eastAsia="Arial Unicode MS"/>
          <w:color w:val="000000"/>
          <w:u w:color="000000"/>
          <w:bdr w:val="nil"/>
          <w:lang w:val="en-US" w:eastAsia="en-GB"/>
        </w:rPr>
        <w:t>•</w:t>
      </w:r>
      <w:r w:rsidRPr="002D5EE2">
        <w:rPr>
          <w:rFonts w:eastAsia="Arial Unicode MS"/>
          <w:color w:val="000000"/>
          <w:u w:color="000000"/>
          <w:bdr w:val="nil"/>
          <w:lang w:val="en-US" w:eastAsia="en-GB"/>
        </w:rPr>
        <w:tab/>
      </w:r>
      <w:r w:rsidRPr="002D5EE2">
        <w:rPr>
          <w:rFonts w:eastAsia="Arial Unicode MS"/>
        </w:rPr>
        <w:t>Consistency with other Union policies</w:t>
      </w:r>
    </w:p>
    <w:p w:rsidR="005812D9" w:rsidRPr="005812D9" w:rsidRDefault="0060179E" w:rsidP="005812D9">
      <w:pPr>
        <w:pBdr>
          <w:top w:val="nil"/>
          <w:left w:val="nil"/>
          <w:bottom w:val="nil"/>
          <w:right w:val="nil"/>
          <w:between w:val="nil"/>
          <w:bar w:val="nil"/>
        </w:pBdr>
        <w:spacing w:before="0" w:after="240"/>
        <w:rPr>
          <w:rFonts w:eastAsia="Calibri"/>
          <w:highlight w:val="yellow"/>
          <w:lang w:eastAsia="en-GB"/>
        </w:rPr>
      </w:pPr>
      <w:r w:rsidRPr="00CB4893">
        <w:rPr>
          <w:rFonts w:eastAsia="Calibri"/>
          <w:lang w:eastAsia="en-GB"/>
        </w:rPr>
        <w:t xml:space="preserve">On </w:t>
      </w:r>
      <w:r w:rsidR="00CB4893" w:rsidRPr="00CB4893">
        <w:rPr>
          <w:rFonts w:eastAsia="Calibri"/>
          <w:lang w:eastAsia="en-GB"/>
        </w:rPr>
        <w:t>6 April</w:t>
      </w:r>
      <w:r w:rsidRPr="00CB4893">
        <w:rPr>
          <w:rFonts w:eastAsia="Calibri"/>
          <w:lang w:eastAsia="en-GB"/>
        </w:rPr>
        <w:t xml:space="preserve"> 2016 the</w:t>
      </w:r>
      <w:r w:rsidRPr="004C18C3">
        <w:rPr>
          <w:rFonts w:eastAsia="Calibri"/>
          <w:lang w:eastAsia="en-GB"/>
        </w:rPr>
        <w:t xml:space="preserve"> Commission proposed setting up an EU Entry/Exit System (EES) to strengthen the Schengen area's external borders</w:t>
      </w:r>
      <w:r w:rsidR="004C18C3" w:rsidRPr="004C18C3">
        <w:rPr>
          <w:rStyle w:val="FootnoteReference"/>
          <w:rFonts w:eastAsia="Calibri"/>
          <w:lang w:eastAsia="en-GB"/>
        </w:rPr>
        <w:footnoteReference w:id="14"/>
      </w:r>
      <w:r w:rsidRPr="004C18C3">
        <w:rPr>
          <w:rFonts w:eastAsia="Calibri"/>
          <w:lang w:eastAsia="en-GB"/>
        </w:rPr>
        <w:t xml:space="preserve">. The main objectives of this proposal are to </w:t>
      </w:r>
      <w:r w:rsidR="004C18C3" w:rsidRPr="004C18C3">
        <w:rPr>
          <w:rFonts w:eastAsia="Calibri"/>
          <w:lang w:eastAsia="en-GB"/>
        </w:rPr>
        <w:t>improve the quality of border checks for third-country nationals and to ensure a systematic</w:t>
      </w:r>
      <w:r w:rsidR="004C18C3">
        <w:rPr>
          <w:rFonts w:eastAsia="Calibri"/>
          <w:lang w:eastAsia="en-GB"/>
        </w:rPr>
        <w:t xml:space="preserve"> and reliable identification of overstayers. The future EES will thus be an important element to ensure lawful use of the visa-free stays in the Schengen area by third-country nationals and to </w:t>
      </w:r>
      <w:r w:rsidR="00C7740F">
        <w:rPr>
          <w:rFonts w:eastAsia="Calibri"/>
          <w:lang w:eastAsia="en-GB"/>
        </w:rPr>
        <w:t xml:space="preserve">contribute to </w:t>
      </w:r>
      <w:r w:rsidR="004C18C3">
        <w:rPr>
          <w:rFonts w:eastAsia="Calibri"/>
          <w:lang w:eastAsia="en-GB"/>
        </w:rPr>
        <w:t>prevent</w:t>
      </w:r>
      <w:r w:rsidR="00C7740F">
        <w:rPr>
          <w:rFonts w:eastAsia="Calibri"/>
          <w:lang w:eastAsia="en-GB"/>
        </w:rPr>
        <w:t>ing</w:t>
      </w:r>
      <w:r w:rsidR="004C18C3">
        <w:rPr>
          <w:rFonts w:eastAsia="Calibri"/>
          <w:lang w:eastAsia="en-GB"/>
        </w:rPr>
        <w:t xml:space="preserve"> irregular migration </w:t>
      </w:r>
      <w:r w:rsidR="00C7740F">
        <w:rPr>
          <w:rFonts w:eastAsia="Calibri"/>
          <w:lang w:eastAsia="en-GB"/>
        </w:rPr>
        <w:t>of nationals from</w:t>
      </w:r>
      <w:r w:rsidR="00E6267A">
        <w:rPr>
          <w:rFonts w:eastAsia="Calibri"/>
          <w:lang w:eastAsia="en-GB"/>
        </w:rPr>
        <w:t xml:space="preserve"> </w:t>
      </w:r>
      <w:r w:rsidR="004C18C3">
        <w:rPr>
          <w:rFonts w:eastAsia="Calibri"/>
          <w:lang w:eastAsia="en-GB"/>
        </w:rPr>
        <w:t>visa</w:t>
      </w:r>
      <w:r w:rsidR="00E6267A">
        <w:rPr>
          <w:rFonts w:eastAsia="Calibri"/>
          <w:lang w:eastAsia="en-GB"/>
        </w:rPr>
        <w:t xml:space="preserve">-free </w:t>
      </w:r>
      <w:r w:rsidR="00C7740F">
        <w:rPr>
          <w:rFonts w:eastAsia="Calibri"/>
          <w:lang w:eastAsia="en-GB"/>
        </w:rPr>
        <w:t>countries</w:t>
      </w:r>
      <w:r w:rsidR="004C18C3">
        <w:rPr>
          <w:rFonts w:eastAsia="Calibri"/>
          <w:lang w:eastAsia="en-GB"/>
        </w:rPr>
        <w:t xml:space="preserve">. </w:t>
      </w:r>
    </w:p>
    <w:p w:rsidR="00C8553E" w:rsidRDefault="004C18C3" w:rsidP="00407E9B">
      <w:pPr>
        <w:pStyle w:val="Text2"/>
        <w:shd w:val="clear" w:color="auto" w:fill="FFFFFF" w:themeFill="background1"/>
        <w:ind w:left="0"/>
        <w:rPr>
          <w:szCs w:val="24"/>
        </w:rPr>
      </w:pPr>
      <w:r>
        <w:rPr>
          <w:rFonts w:eastAsia="Calibri"/>
          <w:lang w:val="en-US" w:eastAsia="en-GB"/>
        </w:rPr>
        <w:t xml:space="preserve">Furthermore, in a </w:t>
      </w:r>
      <w:r w:rsidR="002A5764" w:rsidRPr="00407E9B">
        <w:rPr>
          <w:rFonts w:eastAsia="Calibri"/>
          <w:lang w:val="en-US" w:eastAsia="en-GB"/>
        </w:rPr>
        <w:t>Communication</w:t>
      </w:r>
      <w:r>
        <w:rPr>
          <w:rStyle w:val="FootnoteReference"/>
          <w:rFonts w:eastAsia="Calibri"/>
          <w:lang w:val="en-US" w:eastAsia="en-GB"/>
        </w:rPr>
        <w:footnoteReference w:id="15"/>
      </w:r>
      <w:r w:rsidR="002A5764" w:rsidRPr="00407E9B">
        <w:rPr>
          <w:rFonts w:eastAsia="Calibri"/>
          <w:lang w:val="en-US" w:eastAsia="en-GB"/>
        </w:rPr>
        <w:t xml:space="preserve"> </w:t>
      </w:r>
      <w:r w:rsidR="00C8553E">
        <w:rPr>
          <w:rFonts w:eastAsia="Calibri"/>
          <w:lang w:val="en-US" w:eastAsia="en-GB"/>
        </w:rPr>
        <w:t>, t</w:t>
      </w:r>
      <w:r w:rsidR="00C8553E">
        <w:rPr>
          <w:szCs w:val="24"/>
        </w:rPr>
        <w:t xml:space="preserve">he Commission </w:t>
      </w:r>
      <w:r>
        <w:rPr>
          <w:szCs w:val="24"/>
        </w:rPr>
        <w:t>announced that it will</w:t>
      </w:r>
      <w:r w:rsidR="00C8553E">
        <w:rPr>
          <w:szCs w:val="24"/>
        </w:rPr>
        <w:t xml:space="preserve"> </w:t>
      </w:r>
      <w:r w:rsidR="00CB4893">
        <w:rPr>
          <w:szCs w:val="24"/>
        </w:rPr>
        <w:t>assess the need,</w:t>
      </w:r>
      <w:r w:rsidR="00C8553E">
        <w:rPr>
          <w:szCs w:val="24"/>
        </w:rPr>
        <w:t xml:space="preserve"> feasibility </w:t>
      </w:r>
      <w:r w:rsidR="00CB4893">
        <w:rPr>
          <w:szCs w:val="24"/>
        </w:rPr>
        <w:t xml:space="preserve">and proportionality </w:t>
      </w:r>
      <w:r w:rsidR="00C8553E">
        <w:rPr>
          <w:szCs w:val="24"/>
        </w:rPr>
        <w:t xml:space="preserve">of the establishment of an EU </w:t>
      </w:r>
      <w:r w:rsidR="00CB4893">
        <w:rPr>
          <w:szCs w:val="24"/>
        </w:rPr>
        <w:t>T</w:t>
      </w:r>
      <w:r w:rsidR="00C8553E">
        <w:rPr>
          <w:szCs w:val="24"/>
        </w:rPr>
        <w:t xml:space="preserve">ravel </w:t>
      </w:r>
      <w:r w:rsidR="00CB4893">
        <w:rPr>
          <w:szCs w:val="24"/>
        </w:rPr>
        <w:t>I</w:t>
      </w:r>
      <w:r w:rsidR="00C8553E">
        <w:rPr>
          <w:szCs w:val="24"/>
        </w:rPr>
        <w:t xml:space="preserve">nformation and </w:t>
      </w:r>
      <w:r w:rsidR="00CB4893">
        <w:rPr>
          <w:szCs w:val="24"/>
        </w:rPr>
        <w:t>A</w:t>
      </w:r>
      <w:r w:rsidR="00C8553E">
        <w:rPr>
          <w:szCs w:val="24"/>
        </w:rPr>
        <w:t xml:space="preserve">uthorisation </w:t>
      </w:r>
      <w:r w:rsidR="00CB4893">
        <w:rPr>
          <w:szCs w:val="24"/>
        </w:rPr>
        <w:t>S</w:t>
      </w:r>
      <w:r w:rsidR="00C8553E">
        <w:rPr>
          <w:szCs w:val="24"/>
        </w:rPr>
        <w:t>ystem</w:t>
      </w:r>
      <w:r>
        <w:rPr>
          <w:szCs w:val="24"/>
        </w:rPr>
        <w:t xml:space="preserve"> (ETIAS)</w:t>
      </w:r>
      <w:r w:rsidR="00C8553E">
        <w:rPr>
          <w:szCs w:val="24"/>
        </w:rPr>
        <w:t xml:space="preserve">. </w:t>
      </w:r>
      <w:r w:rsidR="00C7296C">
        <w:rPr>
          <w:szCs w:val="24"/>
        </w:rPr>
        <w:t xml:space="preserve">The Commission has committed to explore still in 2016 whether such an </w:t>
      </w:r>
      <w:r w:rsidR="006901BC">
        <w:rPr>
          <w:szCs w:val="24"/>
        </w:rPr>
        <w:t xml:space="preserve">additional </w:t>
      </w:r>
      <w:r w:rsidR="00C7296C">
        <w:rPr>
          <w:szCs w:val="24"/>
        </w:rPr>
        <w:t xml:space="preserve">layer of control for visa-free </w:t>
      </w:r>
      <w:r w:rsidR="00C7740F">
        <w:rPr>
          <w:szCs w:val="24"/>
        </w:rPr>
        <w:t xml:space="preserve">country </w:t>
      </w:r>
      <w:r w:rsidR="00C7296C">
        <w:rPr>
          <w:szCs w:val="24"/>
        </w:rPr>
        <w:t>nationals is feasible and proportional, and will effectively contribute to maintaining and strengthening the security of the Schengen area.</w:t>
      </w:r>
    </w:p>
    <w:p w:rsidR="003B5C42" w:rsidRPr="002D5EE2" w:rsidRDefault="003B5C42" w:rsidP="00DE46FA">
      <w:pPr>
        <w:pStyle w:val="ManualHeading1"/>
      </w:pPr>
      <w:r w:rsidRPr="002D5EE2">
        <w:t>2.</w:t>
      </w:r>
      <w:r w:rsidRPr="002D5EE2">
        <w:tab/>
        <w:t>LEGAL BASIS, SUBSIDIARITY AND PROPORTIONALITY</w:t>
      </w:r>
    </w:p>
    <w:p w:rsidR="003B5C42" w:rsidRPr="002D5EE2" w:rsidRDefault="003B5C42" w:rsidP="00DE46FA">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Legal basis</w:t>
      </w:r>
    </w:p>
    <w:p w:rsidR="003B5C42" w:rsidRDefault="003B5C42" w:rsidP="003B5C42">
      <w:pPr>
        <w:pBdr>
          <w:top w:val="nil"/>
          <w:left w:val="nil"/>
          <w:bottom w:val="nil"/>
          <w:right w:val="nil"/>
          <w:between w:val="nil"/>
          <w:bar w:val="nil"/>
        </w:pBdr>
        <w:spacing w:before="0" w:after="240"/>
        <w:rPr>
          <w:rFonts w:eastAsia="Calibri"/>
          <w:lang w:eastAsia="en-GB"/>
        </w:rPr>
      </w:pPr>
      <w:r>
        <w:rPr>
          <w:rFonts w:eastAsia="Calibri"/>
          <w:lang w:val="en-US" w:eastAsia="en-GB"/>
        </w:rPr>
        <w:t>As the proposal will amend the EU's common visa policy, t</w:t>
      </w:r>
      <w:r w:rsidRPr="00EB7D15">
        <w:rPr>
          <w:rFonts w:eastAsia="Calibri"/>
          <w:lang w:eastAsia="en-GB"/>
        </w:rPr>
        <w:t xml:space="preserve">he legal basis for the </w:t>
      </w:r>
      <w:r>
        <w:rPr>
          <w:rFonts w:eastAsia="Calibri"/>
          <w:lang w:eastAsia="en-GB"/>
        </w:rPr>
        <w:t>proposal</w:t>
      </w:r>
      <w:r w:rsidRPr="00EB7D15">
        <w:rPr>
          <w:rFonts w:eastAsia="Calibri"/>
          <w:lang w:eastAsia="en-GB"/>
        </w:rPr>
        <w:t xml:space="preserve"> is point (a) of Article 77(2) of the Treaty on the Functioning of the European Union (TFEU)</w:t>
      </w:r>
      <w:r>
        <w:rPr>
          <w:rFonts w:eastAsia="Calibri"/>
          <w:lang w:eastAsia="en-GB"/>
        </w:rPr>
        <w:t xml:space="preserve">. The proposed regulation will constitute a development of the Schengen </w:t>
      </w:r>
      <w:r w:rsidRPr="00384F66">
        <w:rPr>
          <w:rFonts w:eastAsia="Calibri"/>
          <w:i/>
          <w:lang w:eastAsia="en-GB"/>
        </w:rPr>
        <w:t>acquis</w:t>
      </w:r>
      <w:r>
        <w:rPr>
          <w:rFonts w:eastAsia="Calibri"/>
          <w:lang w:eastAsia="en-GB"/>
        </w:rPr>
        <w:t>.</w:t>
      </w:r>
    </w:p>
    <w:p w:rsidR="003B5C42" w:rsidRPr="002D5EE2" w:rsidRDefault="003B5C42" w:rsidP="00DE46FA">
      <w:pPr>
        <w:pStyle w:val="ManualHeading2"/>
        <w:rPr>
          <w:rFonts w:eastAsia="Arial Unicode MS"/>
          <w:u w:color="000000"/>
          <w:bdr w:val="nil"/>
          <w:lang w:val="en-US" w:eastAsia="en-GB"/>
        </w:rPr>
      </w:pPr>
      <w:r w:rsidRPr="002D5EE2">
        <w:rPr>
          <w:rFonts w:eastAsia="Arial Unicode MS"/>
          <w:u w:color="000000"/>
          <w:bdr w:val="nil"/>
          <w:lang w:val="en-US" w:eastAsia="en-GB"/>
        </w:rPr>
        <w:t>•</w:t>
      </w:r>
      <w:r w:rsidRPr="002D5EE2">
        <w:rPr>
          <w:rFonts w:eastAsia="Arial Unicode MS"/>
          <w:u w:color="000000"/>
          <w:bdr w:val="nil"/>
          <w:lang w:val="en-US" w:eastAsia="en-GB"/>
        </w:rPr>
        <w:tab/>
        <w:t>Subsidiarity</w:t>
      </w:r>
      <w:r w:rsidR="00076AC1">
        <w:rPr>
          <w:rFonts w:eastAsia="Arial Unicode MS"/>
          <w:u w:color="000000"/>
          <w:bdr w:val="nil"/>
          <w:lang w:val="en-US" w:eastAsia="en-GB"/>
        </w:rPr>
        <w:t>, proportionality and choice of the instrument</w:t>
      </w:r>
    </w:p>
    <w:p w:rsidR="003B5C42" w:rsidRDefault="003B5C42" w:rsidP="003B5C42">
      <w:pPr>
        <w:pBdr>
          <w:top w:val="nil"/>
          <w:left w:val="nil"/>
          <w:bottom w:val="nil"/>
          <w:right w:val="nil"/>
          <w:between w:val="nil"/>
          <w:bar w:val="nil"/>
        </w:pBdr>
        <w:spacing w:before="0" w:after="240"/>
        <w:rPr>
          <w:rFonts w:eastAsia="Calibri"/>
          <w:lang w:val="en-US" w:eastAsia="en-GB"/>
        </w:rPr>
      </w:pPr>
      <w:r>
        <w:rPr>
          <w:rFonts w:eastAsia="Calibri"/>
          <w:lang w:val="en-US" w:eastAsia="en-GB"/>
        </w:rPr>
        <w:t xml:space="preserve">As Regulation </w:t>
      </w:r>
      <w:r w:rsidRPr="00EB7D15">
        <w:rPr>
          <w:rFonts w:eastAsia="Calibri"/>
          <w:lang w:eastAsia="en-GB"/>
        </w:rPr>
        <w:t>(EC) No 539/2001</w:t>
      </w:r>
      <w:r>
        <w:rPr>
          <w:rFonts w:eastAsia="Calibri"/>
          <w:lang w:eastAsia="en-GB"/>
        </w:rPr>
        <w:t xml:space="preserve"> is a legal act of the EU, it can only be amended by way of an equivalent legal act. Member States cannot act individually</w:t>
      </w:r>
      <w:r w:rsidR="00076AC1">
        <w:rPr>
          <w:rFonts w:eastAsia="Calibri"/>
          <w:lang w:eastAsia="en-GB"/>
        </w:rPr>
        <w:t xml:space="preserve"> to achieve the policy objective</w:t>
      </w:r>
      <w:r>
        <w:rPr>
          <w:rFonts w:eastAsia="Calibri"/>
          <w:lang w:eastAsia="en-GB"/>
        </w:rPr>
        <w:t>.</w:t>
      </w:r>
      <w:r w:rsidR="00076AC1">
        <w:rPr>
          <w:rFonts w:eastAsia="Calibri"/>
          <w:lang w:eastAsia="en-GB"/>
        </w:rPr>
        <w:t xml:space="preserve"> </w:t>
      </w:r>
      <w:r w:rsidR="00076AC1">
        <w:t>N</w:t>
      </w:r>
      <w:r w:rsidR="00076AC1" w:rsidRPr="0036228D">
        <w:t xml:space="preserve">o other </w:t>
      </w:r>
      <w:r w:rsidR="00076AC1">
        <w:t xml:space="preserve">(non-legislative) </w:t>
      </w:r>
      <w:r w:rsidR="00076AC1" w:rsidRPr="0036228D">
        <w:t>options to achieve the policy objective are available.</w:t>
      </w:r>
    </w:p>
    <w:p w:rsidR="003B5C42" w:rsidRPr="00550536" w:rsidRDefault="003B5C42" w:rsidP="00DE46FA">
      <w:pPr>
        <w:pStyle w:val="ManualHeading1"/>
      </w:pPr>
      <w:r w:rsidRPr="00550536">
        <w:t>3.</w:t>
      </w:r>
      <w:r w:rsidRPr="00550536">
        <w:tab/>
        <w:t>RESULTS OF EX-POST EVALUATIONS, STAKEHOLDER CONSULTATIONS AND IMPACT ASSESSMENTS</w:t>
      </w:r>
    </w:p>
    <w:p w:rsidR="003B5C42" w:rsidRDefault="003B5C42" w:rsidP="00DE46FA">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Stakeholder consultations</w:t>
      </w:r>
    </w:p>
    <w:p w:rsidR="003B5C42" w:rsidRPr="00B54809" w:rsidRDefault="003B5C42" w:rsidP="003B5C42">
      <w:pPr>
        <w:pBdr>
          <w:top w:val="nil"/>
          <w:left w:val="nil"/>
          <w:bottom w:val="nil"/>
          <w:right w:val="nil"/>
          <w:between w:val="nil"/>
          <w:bar w:val="nil"/>
        </w:pBdr>
        <w:spacing w:before="0" w:after="240"/>
        <w:rPr>
          <w:rFonts w:eastAsia="Arial Unicode MS"/>
          <w:i/>
        </w:rPr>
      </w:pPr>
      <w:r>
        <w:t>R</w:t>
      </w:r>
      <w:r w:rsidRPr="0036228D">
        <w:t>egular discussions with Member States</w:t>
      </w:r>
      <w:r w:rsidR="00B54809">
        <w:t xml:space="preserve"> </w:t>
      </w:r>
      <w:r w:rsidR="00C944CC">
        <w:t>at the Justice and Home Affair</w:t>
      </w:r>
      <w:r w:rsidR="000C26D6">
        <w:t>s</w:t>
      </w:r>
      <w:r w:rsidR="00C944CC">
        <w:t xml:space="preserve"> Councils, </w:t>
      </w:r>
      <w:r w:rsidR="00796ED5">
        <w:t xml:space="preserve">COREPER, </w:t>
      </w:r>
      <w:r w:rsidR="00B54809">
        <w:t>Council Working Party on Enla</w:t>
      </w:r>
      <w:r w:rsidR="0060179E">
        <w:t>r</w:t>
      </w:r>
      <w:r w:rsidR="00B54809">
        <w:t>gement (COELA)</w:t>
      </w:r>
      <w:r w:rsidR="00C944CC">
        <w:t>, meeting</w:t>
      </w:r>
      <w:r w:rsidR="000C26D6">
        <w:t>s</w:t>
      </w:r>
      <w:r w:rsidR="00C944CC">
        <w:t xml:space="preserve"> </w:t>
      </w:r>
      <w:r w:rsidR="000C26D6">
        <w:t>with</w:t>
      </w:r>
      <w:r w:rsidR="00C944CC">
        <w:t xml:space="preserve"> Justice and Home Affairs Counsellors of the Member States</w:t>
      </w:r>
      <w:r w:rsidR="000C26D6">
        <w:t xml:space="preserve"> </w:t>
      </w:r>
      <w:r w:rsidRPr="0036228D">
        <w:t xml:space="preserve">and </w:t>
      </w:r>
      <w:r>
        <w:t xml:space="preserve">several </w:t>
      </w:r>
      <w:r w:rsidRPr="0036228D">
        <w:t xml:space="preserve">presentations of the </w:t>
      </w:r>
      <w:r w:rsidR="00C944CC">
        <w:t xml:space="preserve">state of play </w:t>
      </w:r>
      <w:r w:rsidR="00C944CC">
        <w:lastRenderedPageBreak/>
        <w:t>of the visa liberalisation dialogue</w:t>
      </w:r>
      <w:r w:rsidR="00C944CC" w:rsidRPr="0036228D">
        <w:t xml:space="preserve"> </w:t>
      </w:r>
      <w:r w:rsidRPr="0036228D">
        <w:t>to the European Parliament</w:t>
      </w:r>
      <w:r>
        <w:t xml:space="preserve"> </w:t>
      </w:r>
      <w:r w:rsidR="00545A99">
        <w:t>– in</w:t>
      </w:r>
      <w:r w:rsidR="00C944CC">
        <w:t xml:space="preserve"> plenary and </w:t>
      </w:r>
      <w:r w:rsidR="00545A99">
        <w:t xml:space="preserve">in </w:t>
      </w:r>
      <w:r w:rsidR="00C944CC">
        <w:t xml:space="preserve">the </w:t>
      </w:r>
      <w:r w:rsidR="000C26D6">
        <w:t>Committee on Civil Liberties, Justice and Home Affairs (</w:t>
      </w:r>
      <w:r w:rsidR="00C944CC">
        <w:t>LIBE)</w:t>
      </w:r>
      <w:r w:rsidR="00545A99">
        <w:t xml:space="preserve"> –</w:t>
      </w:r>
      <w:r w:rsidR="00021BAA">
        <w:t xml:space="preserve"> </w:t>
      </w:r>
      <w:r>
        <w:t>have taken place</w:t>
      </w:r>
      <w:r w:rsidRPr="0036228D">
        <w:t>.</w:t>
      </w:r>
      <w:r w:rsidR="003A37BF">
        <w:t xml:space="preserve"> </w:t>
      </w:r>
      <w:r w:rsidR="00B54809">
        <w:t xml:space="preserve"> </w:t>
      </w:r>
    </w:p>
    <w:p w:rsidR="003B5C42" w:rsidRDefault="003B5C42" w:rsidP="00DE46FA">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r>
      <w:r>
        <w:rPr>
          <w:rFonts w:eastAsia="Arial Unicode MS"/>
          <w:u w:color="000000"/>
          <w:bdr w:val="nil"/>
          <w:lang w:val="en-US" w:eastAsia="en-GB"/>
        </w:rPr>
        <w:t>Collection and use of expertise</w:t>
      </w:r>
    </w:p>
    <w:p w:rsidR="003B5C42" w:rsidRPr="007619CA" w:rsidRDefault="003B5C42" w:rsidP="003B5C42">
      <w:pPr>
        <w:rPr>
          <w:rFonts w:eastAsia="Arial Unicode MS"/>
        </w:rPr>
      </w:pPr>
      <w:r w:rsidRPr="0036228D">
        <w:t xml:space="preserve">The Commission </w:t>
      </w:r>
      <w:r w:rsidR="00842C28">
        <w:t xml:space="preserve">has </w:t>
      </w:r>
      <w:r w:rsidRPr="0036228D">
        <w:t xml:space="preserve">collected comprehensive data on </w:t>
      </w:r>
      <w:r w:rsidR="00842C28">
        <w:t>Turkey</w:t>
      </w:r>
      <w:r>
        <w:t>'s</w:t>
      </w:r>
      <w:r w:rsidRPr="0036228D">
        <w:t xml:space="preserve"> implementation of all </w:t>
      </w:r>
      <w:r w:rsidR="00842C28">
        <w:t xml:space="preserve">requirements under the </w:t>
      </w:r>
      <w:r w:rsidR="00C40B6F">
        <w:t>Roadmap</w:t>
      </w:r>
      <w:r w:rsidRPr="0036228D">
        <w:t xml:space="preserve">. </w:t>
      </w:r>
      <w:r w:rsidR="00C944CC">
        <w:t xml:space="preserve">During the visa liberalisation dialogue with Turkey, and notably in view of the preparation of its reports, </w:t>
      </w:r>
      <w:r w:rsidR="008C11F8">
        <w:t xml:space="preserve">experts from the </w:t>
      </w:r>
      <w:r w:rsidR="00C944CC">
        <w:t xml:space="preserve">Commission </w:t>
      </w:r>
      <w:r w:rsidR="008C11F8">
        <w:t xml:space="preserve">services, the </w:t>
      </w:r>
      <w:r w:rsidR="00316B52">
        <w:t xml:space="preserve">European External Action Service (EEAS), </w:t>
      </w:r>
      <w:r w:rsidR="00C944CC">
        <w:t xml:space="preserve">EU Member States </w:t>
      </w:r>
      <w:r w:rsidR="00316B52">
        <w:t xml:space="preserve">and </w:t>
      </w:r>
      <w:r w:rsidR="00C944CC">
        <w:t>relevant EU agencies (</w:t>
      </w:r>
      <w:r w:rsidR="00796ED5">
        <w:t>Frontex</w:t>
      </w:r>
      <w:r w:rsidR="00C944CC">
        <w:t>, EASO, Europol</w:t>
      </w:r>
      <w:r w:rsidR="00796ED5">
        <w:t>, Eurojust</w:t>
      </w:r>
      <w:r w:rsidR="00C944CC">
        <w:t>)</w:t>
      </w:r>
      <w:r w:rsidR="00316B52">
        <w:t xml:space="preserve"> </w:t>
      </w:r>
      <w:r w:rsidR="008C11F8">
        <w:t xml:space="preserve">have </w:t>
      </w:r>
      <w:r w:rsidR="00021BAA">
        <w:t>analysed</w:t>
      </w:r>
      <w:r w:rsidR="00316B52">
        <w:t xml:space="preserve"> </w:t>
      </w:r>
      <w:r w:rsidR="00021BAA">
        <w:t xml:space="preserve">Turkish </w:t>
      </w:r>
      <w:r w:rsidR="00316B52">
        <w:t xml:space="preserve">legislation </w:t>
      </w:r>
      <w:r w:rsidR="00021BAA">
        <w:t xml:space="preserve">in the areas covered by the VLD </w:t>
      </w:r>
      <w:r w:rsidR="00316B52">
        <w:t xml:space="preserve">as well as its practical implementation. Several technical talks and visits on the ground were carried out, and large documentation was collected with the assistance of Turkish authorities and experts.  </w:t>
      </w:r>
      <w:r w:rsidR="00C944CC">
        <w:t xml:space="preserve"> </w:t>
      </w:r>
      <w:r w:rsidR="00C944CC">
        <w:rPr>
          <w:szCs w:val="24"/>
        </w:rPr>
        <w:t xml:space="preserve"> </w:t>
      </w:r>
    </w:p>
    <w:p w:rsidR="003B5C42" w:rsidRDefault="003B5C42" w:rsidP="00DE46FA">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Impact assessment</w:t>
      </w:r>
    </w:p>
    <w:p w:rsidR="003A37BF" w:rsidRDefault="00316B52" w:rsidP="00316B52">
      <w:pPr>
        <w:autoSpaceDE w:val="0"/>
        <w:autoSpaceDN w:val="0"/>
        <w:adjustRightInd w:val="0"/>
        <w:rPr>
          <w:szCs w:val="24"/>
        </w:rPr>
      </w:pPr>
      <w:r w:rsidRPr="00AF6B54">
        <w:rPr>
          <w:szCs w:val="24"/>
        </w:rPr>
        <w:t xml:space="preserve">The </w:t>
      </w:r>
      <w:r>
        <w:rPr>
          <w:szCs w:val="24"/>
        </w:rPr>
        <w:t>Second Report of the Commission issued on 4 March 2016 was accompanied by a</w:t>
      </w:r>
      <w:r w:rsidRPr="00316B52">
        <w:rPr>
          <w:rFonts w:eastAsia="Calibri"/>
          <w:szCs w:val="24"/>
          <w:lang w:eastAsia="en-GB"/>
        </w:rPr>
        <w:t xml:space="preserve"> </w:t>
      </w:r>
      <w:r>
        <w:rPr>
          <w:rFonts w:eastAsia="Calibri"/>
          <w:szCs w:val="24"/>
          <w:lang w:eastAsia="en-GB"/>
        </w:rPr>
        <w:t>Commission Staff Working Document</w:t>
      </w:r>
      <w:r w:rsidR="00545A99">
        <w:rPr>
          <w:rStyle w:val="FootnoteReference"/>
          <w:rFonts w:eastAsia="Calibri"/>
          <w:szCs w:val="24"/>
          <w:lang w:eastAsia="en-GB"/>
        </w:rPr>
        <w:footnoteReference w:id="16"/>
      </w:r>
      <w:r>
        <w:rPr>
          <w:rFonts w:eastAsia="Calibri"/>
          <w:szCs w:val="24"/>
          <w:lang w:eastAsia="en-GB"/>
        </w:rPr>
        <w:t>, assessing –</w:t>
      </w:r>
      <w:r w:rsidR="00545A99">
        <w:rPr>
          <w:rFonts w:eastAsia="Calibri"/>
          <w:szCs w:val="24"/>
          <w:lang w:eastAsia="en-GB"/>
        </w:rPr>
        <w:t xml:space="preserve"> </w:t>
      </w:r>
      <w:r>
        <w:rPr>
          <w:rFonts w:eastAsia="Calibri"/>
          <w:szCs w:val="24"/>
          <w:lang w:eastAsia="en-GB"/>
        </w:rPr>
        <w:t>on the basis of EUROSTAT statistical information, inputs from the relevant EU Agencies, and observed trends</w:t>
      </w:r>
      <w:r w:rsidR="00545A99">
        <w:rPr>
          <w:rFonts w:eastAsia="Calibri"/>
          <w:szCs w:val="24"/>
          <w:lang w:eastAsia="en-GB"/>
        </w:rPr>
        <w:t xml:space="preserve"> –</w:t>
      </w:r>
      <w:r>
        <w:rPr>
          <w:rFonts w:eastAsia="Calibri"/>
          <w:szCs w:val="24"/>
          <w:lang w:eastAsia="en-GB"/>
        </w:rPr>
        <w:t xml:space="preserve"> </w:t>
      </w:r>
      <w:r w:rsidRPr="00AF6B54">
        <w:rPr>
          <w:rFonts w:eastAsia="Calibri"/>
          <w:szCs w:val="24"/>
          <w:lang w:eastAsia="en-GB"/>
        </w:rPr>
        <w:t xml:space="preserve">the possible impact of visa liberalisation for Turkey on the </w:t>
      </w:r>
      <w:r>
        <w:rPr>
          <w:rFonts w:eastAsia="Calibri"/>
          <w:szCs w:val="24"/>
          <w:lang w:eastAsia="en-GB"/>
        </w:rPr>
        <w:t>migratory</w:t>
      </w:r>
      <w:r w:rsidRPr="00AF6B54">
        <w:rPr>
          <w:rFonts w:eastAsia="Calibri"/>
          <w:szCs w:val="24"/>
          <w:lang w:eastAsia="en-GB"/>
        </w:rPr>
        <w:t xml:space="preserve"> situation of the European Union</w:t>
      </w:r>
      <w:r w:rsidR="00796ED5">
        <w:rPr>
          <w:rFonts w:eastAsia="Calibri"/>
          <w:szCs w:val="24"/>
          <w:lang w:eastAsia="en-GB"/>
        </w:rPr>
        <w:t>.</w:t>
      </w:r>
      <w:r>
        <w:rPr>
          <w:szCs w:val="24"/>
        </w:rPr>
        <w:t xml:space="preserve"> </w:t>
      </w:r>
    </w:p>
    <w:p w:rsidR="00316B52" w:rsidRPr="00B955A0" w:rsidRDefault="00316B52" w:rsidP="00316B52">
      <w:pPr>
        <w:autoSpaceDE w:val="0"/>
        <w:autoSpaceDN w:val="0"/>
        <w:adjustRightInd w:val="0"/>
        <w:rPr>
          <w:szCs w:val="24"/>
        </w:rPr>
      </w:pPr>
      <w:r>
        <w:rPr>
          <w:szCs w:val="24"/>
        </w:rPr>
        <w:t xml:space="preserve">The </w:t>
      </w:r>
      <w:r w:rsidRPr="00AF6B54">
        <w:rPr>
          <w:szCs w:val="24"/>
        </w:rPr>
        <w:t>Third Report</w:t>
      </w:r>
      <w:r>
        <w:rPr>
          <w:szCs w:val="24"/>
        </w:rPr>
        <w:t>,</w:t>
      </w:r>
      <w:r w:rsidRPr="00AF6B54">
        <w:rPr>
          <w:szCs w:val="24"/>
        </w:rPr>
        <w:t xml:space="preserve"> </w:t>
      </w:r>
      <w:r w:rsidR="00545A99">
        <w:rPr>
          <w:szCs w:val="24"/>
        </w:rPr>
        <w:t xml:space="preserve">issued </w:t>
      </w:r>
      <w:r>
        <w:rPr>
          <w:szCs w:val="24"/>
        </w:rPr>
        <w:t xml:space="preserve">in parallel with this proposal, </w:t>
      </w:r>
      <w:r w:rsidRPr="00AF6B54">
        <w:rPr>
          <w:szCs w:val="24"/>
        </w:rPr>
        <w:t>is accompanied by a Commission Staff Working Document</w:t>
      </w:r>
      <w:r w:rsidR="00545A99">
        <w:rPr>
          <w:rStyle w:val="FootnoteReference"/>
          <w:szCs w:val="24"/>
        </w:rPr>
        <w:footnoteReference w:id="17"/>
      </w:r>
      <w:r w:rsidRPr="00AF6B54">
        <w:rPr>
          <w:szCs w:val="24"/>
        </w:rPr>
        <w:t xml:space="preserve"> </w:t>
      </w:r>
      <w:r w:rsidR="00545A99">
        <w:rPr>
          <w:szCs w:val="24"/>
        </w:rPr>
        <w:t>provid</w:t>
      </w:r>
      <w:r w:rsidR="00545A99" w:rsidRPr="00AF6B54">
        <w:rPr>
          <w:szCs w:val="24"/>
        </w:rPr>
        <w:t>ing</w:t>
      </w:r>
      <w:r>
        <w:rPr>
          <w:szCs w:val="24"/>
        </w:rPr>
        <w:t>, for each requirement,</w:t>
      </w:r>
      <w:r w:rsidRPr="00AF6B54">
        <w:rPr>
          <w:szCs w:val="24"/>
        </w:rPr>
        <w:t xml:space="preserve"> factual information on the stat</w:t>
      </w:r>
      <w:r>
        <w:rPr>
          <w:szCs w:val="24"/>
        </w:rPr>
        <w:t>e of play of its fulfilment. This</w:t>
      </w:r>
      <w:r w:rsidRPr="00AF6B54">
        <w:rPr>
          <w:szCs w:val="24"/>
        </w:rPr>
        <w:t xml:space="preserve"> </w:t>
      </w:r>
      <w:r w:rsidR="00545A99">
        <w:rPr>
          <w:szCs w:val="24"/>
        </w:rPr>
        <w:t>document</w:t>
      </w:r>
      <w:r w:rsidR="00545A99" w:rsidRPr="00AF6B54">
        <w:rPr>
          <w:szCs w:val="24"/>
        </w:rPr>
        <w:t xml:space="preserve"> </w:t>
      </w:r>
      <w:r w:rsidRPr="00AF6B54">
        <w:rPr>
          <w:szCs w:val="24"/>
        </w:rPr>
        <w:t xml:space="preserve">also </w:t>
      </w:r>
      <w:r w:rsidRPr="00AF6B54">
        <w:rPr>
          <w:rFonts w:eastAsia="Calibri"/>
          <w:szCs w:val="24"/>
          <w:lang w:eastAsia="en-GB"/>
        </w:rPr>
        <w:t xml:space="preserve">includes </w:t>
      </w:r>
      <w:r w:rsidR="00545A99">
        <w:rPr>
          <w:rFonts w:eastAsia="Calibri"/>
          <w:szCs w:val="24"/>
          <w:lang w:eastAsia="en-GB"/>
        </w:rPr>
        <w:t>an</w:t>
      </w:r>
      <w:r w:rsidRPr="00AF6B54">
        <w:rPr>
          <w:rFonts w:eastAsia="Calibri"/>
          <w:szCs w:val="24"/>
          <w:lang w:eastAsia="en-GB"/>
        </w:rPr>
        <w:t xml:space="preserve"> assessment of the possible impact of visa liberalisation for Turkey on the security situation of the European Union. </w:t>
      </w:r>
      <w:r>
        <w:rPr>
          <w:rFonts w:eastAsia="Calibri"/>
          <w:szCs w:val="24"/>
          <w:lang w:eastAsia="en-GB"/>
        </w:rPr>
        <w:t xml:space="preserve"> </w:t>
      </w:r>
    </w:p>
    <w:p w:rsidR="003B5C42" w:rsidRPr="007619CA" w:rsidRDefault="003B5C42" w:rsidP="003B5C42">
      <w:pPr>
        <w:pBdr>
          <w:top w:val="nil"/>
          <w:left w:val="nil"/>
          <w:bottom w:val="nil"/>
          <w:right w:val="nil"/>
          <w:between w:val="nil"/>
          <w:bar w:val="nil"/>
        </w:pBdr>
        <w:spacing w:before="0" w:after="240"/>
        <w:rPr>
          <w:rFonts w:eastAsia="Arial Unicode MS"/>
        </w:rPr>
      </w:pPr>
      <w:r w:rsidRPr="0036228D">
        <w:t>No further impact assessment is necessary.</w:t>
      </w:r>
    </w:p>
    <w:p w:rsidR="003B5C42" w:rsidRDefault="003B5C42" w:rsidP="00DE46FA">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Fundamental rights</w:t>
      </w:r>
    </w:p>
    <w:p w:rsidR="003B5C42" w:rsidRPr="008975EC" w:rsidRDefault="003B5C42" w:rsidP="003B5C42">
      <w:pPr>
        <w:pBdr>
          <w:top w:val="nil"/>
          <w:left w:val="nil"/>
          <w:bottom w:val="nil"/>
          <w:right w:val="nil"/>
          <w:between w:val="nil"/>
          <w:bar w:val="nil"/>
        </w:pBdr>
        <w:spacing w:before="0" w:after="240"/>
      </w:pPr>
      <w:r w:rsidRPr="008975EC">
        <w:t>T</w:t>
      </w:r>
      <w:r w:rsidR="00842C28">
        <w:t>his</w:t>
      </w:r>
      <w:r w:rsidRPr="008975EC">
        <w:t xml:space="preserve"> proposal has no negative consequences for the protection of fundamental rights</w:t>
      </w:r>
      <w:r w:rsidR="00F66305">
        <w:t xml:space="preserve"> in the European Union</w:t>
      </w:r>
      <w:r w:rsidRPr="008975EC">
        <w:t>.</w:t>
      </w:r>
      <w:r w:rsidR="00F66305">
        <w:t xml:space="preserve"> The fulfilment of the benchmarks of the </w:t>
      </w:r>
      <w:r w:rsidR="00717271">
        <w:t>R</w:t>
      </w:r>
      <w:r w:rsidR="00F66305">
        <w:t xml:space="preserve">oadmap will improve the protection of </w:t>
      </w:r>
      <w:r w:rsidR="006B0695">
        <w:t>human</w:t>
      </w:r>
      <w:r w:rsidR="00F66305">
        <w:t xml:space="preserve"> rights in Turkey.</w:t>
      </w:r>
    </w:p>
    <w:p w:rsidR="003B5C42" w:rsidRDefault="003B5C42" w:rsidP="00DE46FA">
      <w:pPr>
        <w:pStyle w:val="ManualHeading1"/>
      </w:pPr>
      <w:r w:rsidRPr="00550536">
        <w:t>4.</w:t>
      </w:r>
      <w:r w:rsidRPr="00550536">
        <w:tab/>
        <w:t>BUDGETARY IMPLICATIONS</w:t>
      </w:r>
    </w:p>
    <w:p w:rsidR="003B5C42" w:rsidRPr="00E84B4E" w:rsidRDefault="003B5C42" w:rsidP="003B5C42">
      <w:pPr>
        <w:pBdr>
          <w:top w:val="nil"/>
          <w:left w:val="nil"/>
          <w:bottom w:val="nil"/>
          <w:right w:val="nil"/>
          <w:between w:val="nil"/>
          <w:bar w:val="nil"/>
        </w:pBdr>
        <w:spacing w:before="0" w:after="240"/>
        <w:rPr>
          <w:rFonts w:eastAsia="Arial Unicode MS"/>
        </w:rPr>
      </w:pPr>
      <w:r w:rsidRPr="002529CD">
        <w:t>n/a</w:t>
      </w:r>
    </w:p>
    <w:p w:rsidR="003B5C42" w:rsidRPr="00550536" w:rsidRDefault="003B5C42" w:rsidP="00DE46FA">
      <w:pPr>
        <w:pStyle w:val="ManualHeading1"/>
      </w:pPr>
      <w:r w:rsidRPr="00550536">
        <w:t>5.</w:t>
      </w:r>
      <w:r w:rsidRPr="00550536">
        <w:tab/>
        <w:t>OTHER ELEMENTS</w:t>
      </w:r>
    </w:p>
    <w:p w:rsidR="003B5C42" w:rsidRDefault="003B5C42" w:rsidP="00DE46FA">
      <w:pPr>
        <w:pStyle w:val="ManualHeading2"/>
        <w:rPr>
          <w:rFonts w:eastAsia="Arial Unicode MS"/>
          <w:u w:color="000000"/>
          <w:bdr w:val="nil"/>
          <w:lang w:val="en-US" w:eastAsia="en-GB"/>
        </w:rPr>
      </w:pPr>
      <w:r>
        <w:rPr>
          <w:rFonts w:eastAsia="Arial Unicode MS"/>
          <w:u w:color="000000"/>
          <w:bdr w:val="nil"/>
          <w:lang w:val="en-US" w:eastAsia="en-GB"/>
        </w:rPr>
        <w:t>•</w:t>
      </w:r>
      <w:r>
        <w:rPr>
          <w:rFonts w:eastAsia="Arial Unicode MS"/>
          <w:u w:color="000000"/>
          <w:bdr w:val="nil"/>
          <w:lang w:val="en-US" w:eastAsia="en-GB"/>
        </w:rPr>
        <w:tab/>
        <w:t xml:space="preserve">Implementation plans and </w:t>
      </w:r>
      <w:r w:rsidRPr="007718A8">
        <w:rPr>
          <w:rFonts w:eastAsia="Arial Unicode MS"/>
          <w:u w:color="000000"/>
          <w:bdr w:val="nil"/>
          <w:lang w:val="en-US" w:eastAsia="en-GB"/>
        </w:rPr>
        <w:t>monitoring, evaluation and reporting arrangements</w:t>
      </w:r>
    </w:p>
    <w:p w:rsidR="003B5C42" w:rsidRDefault="003B5C42" w:rsidP="0080492A">
      <w:pPr>
        <w:pBdr>
          <w:top w:val="nil"/>
          <w:left w:val="nil"/>
          <w:bottom w:val="nil"/>
          <w:right w:val="nil"/>
          <w:between w:val="nil"/>
          <w:bar w:val="nil"/>
        </w:pBdr>
        <w:spacing w:before="0" w:after="240"/>
      </w:pPr>
      <w:r w:rsidRPr="0036228D">
        <w:t>The amend</w:t>
      </w:r>
      <w:r>
        <w:t>ed</w:t>
      </w:r>
      <w:r w:rsidRPr="0036228D">
        <w:t xml:space="preserve"> Regulation will be directly applicable from </w:t>
      </w:r>
      <w:r w:rsidR="002B6ABD">
        <w:t xml:space="preserve">the date of </w:t>
      </w:r>
      <w:r w:rsidRPr="0036228D">
        <w:t>its entry into force</w:t>
      </w:r>
      <w:r w:rsidR="002C1F35" w:rsidRPr="002C1F35">
        <w:t xml:space="preserve"> </w:t>
      </w:r>
      <w:r w:rsidR="002C1F35" w:rsidRPr="0036228D">
        <w:t>and will be implemented immediately by Member States</w:t>
      </w:r>
      <w:r w:rsidRPr="0036228D">
        <w:t>. No implementation plan is necessary.</w:t>
      </w:r>
      <w:r w:rsidR="002B6ABD">
        <w:t xml:space="preserve"> </w:t>
      </w:r>
    </w:p>
    <w:p w:rsidR="003A37BF" w:rsidRDefault="002B6ABD" w:rsidP="003A37BF">
      <w:pPr>
        <w:spacing w:before="0"/>
      </w:pPr>
      <w:r w:rsidRPr="00F148A2">
        <w:t xml:space="preserve">The Commission will continue to actively monitor Turkey's continuous implementation of all benchmarks under the five blocks of the Roadmap through the existing association structures and dialogue and, if necessary, through </w:t>
      </w:r>
      <w:r w:rsidRPr="00F148A2">
        <w:rPr>
          <w:i/>
        </w:rPr>
        <w:t>ad hoc</w:t>
      </w:r>
      <w:r w:rsidRPr="00F148A2">
        <w:t xml:space="preserve"> follow-up mechanisms.</w:t>
      </w:r>
      <w:r>
        <w:t xml:space="preserve"> </w:t>
      </w:r>
    </w:p>
    <w:p w:rsidR="003B5C42" w:rsidRDefault="003A37BF" w:rsidP="0080492A">
      <w:pPr>
        <w:pBdr>
          <w:top w:val="nil"/>
          <w:left w:val="nil"/>
          <w:bottom w:val="nil"/>
          <w:right w:val="nil"/>
          <w:between w:val="nil"/>
          <w:bar w:val="nil"/>
        </w:pBdr>
        <w:spacing w:before="0" w:after="240"/>
        <w:rPr>
          <w:rFonts w:eastAsia="Arial Unicode MS"/>
        </w:rPr>
      </w:pPr>
      <w:r>
        <w:t>In particular, even after the granting of the visa-free regime to Turkey, the Commi</w:t>
      </w:r>
      <w:r w:rsidR="0019626C">
        <w:t>s</w:t>
      </w:r>
      <w:r>
        <w:t xml:space="preserve">sion, through the regular organisation of the meetings of the EU-Turkey Joint Readmission Committee, </w:t>
      </w:r>
      <w:r>
        <w:rPr>
          <w:rFonts w:eastAsia="Calibri"/>
          <w:szCs w:val="24"/>
        </w:rPr>
        <w:t xml:space="preserve">will continue </w:t>
      </w:r>
      <w:r w:rsidR="007B3865">
        <w:rPr>
          <w:rFonts w:eastAsia="Calibri"/>
          <w:szCs w:val="24"/>
        </w:rPr>
        <w:t xml:space="preserve">to </w:t>
      </w:r>
      <w:r>
        <w:rPr>
          <w:rFonts w:eastAsia="Calibri"/>
          <w:szCs w:val="24"/>
        </w:rPr>
        <w:t xml:space="preserve">monitor the implementation by Turkey of the provisions of the </w:t>
      </w:r>
      <w:r>
        <w:rPr>
          <w:rFonts w:eastAsia="Calibri"/>
          <w:szCs w:val="24"/>
        </w:rPr>
        <w:lastRenderedPageBreak/>
        <w:t xml:space="preserve">EU-Turkey Readmission Agreement. The respect of these provisions towards all EU Member States represents </w:t>
      </w:r>
      <w:r w:rsidR="00C7740F">
        <w:rPr>
          <w:rFonts w:eastAsia="Calibri"/>
          <w:szCs w:val="24"/>
        </w:rPr>
        <w:t xml:space="preserve">one of the fundamental </w:t>
      </w:r>
      <w:r>
        <w:rPr>
          <w:rFonts w:eastAsia="Calibri"/>
          <w:szCs w:val="24"/>
        </w:rPr>
        <w:t>requirement</w:t>
      </w:r>
      <w:r w:rsidR="00C7740F">
        <w:rPr>
          <w:rFonts w:eastAsia="Calibri"/>
          <w:szCs w:val="24"/>
        </w:rPr>
        <w:t>s</w:t>
      </w:r>
      <w:r>
        <w:rPr>
          <w:rFonts w:eastAsia="Calibri"/>
          <w:szCs w:val="24"/>
        </w:rPr>
        <w:t xml:space="preserve"> </w:t>
      </w:r>
      <w:r w:rsidR="00C7740F">
        <w:rPr>
          <w:rFonts w:eastAsia="Calibri"/>
          <w:szCs w:val="24"/>
        </w:rPr>
        <w:t>for the visa-free regime</w:t>
      </w:r>
      <w:r>
        <w:rPr>
          <w:rFonts w:eastAsia="Calibri"/>
          <w:szCs w:val="24"/>
        </w:rPr>
        <w:t>.</w:t>
      </w:r>
    </w:p>
    <w:p w:rsidR="003B5C42" w:rsidRDefault="003B5C42" w:rsidP="00DE46FA">
      <w:pPr>
        <w:pStyle w:val="ManualHeading2"/>
        <w:rPr>
          <w:rFonts w:eastAsia="Arial Unicode MS"/>
          <w:u w:color="000000"/>
          <w:bdr w:val="nil"/>
          <w:lang w:val="en-US" w:eastAsia="en-GB"/>
        </w:rPr>
      </w:pPr>
      <w:r w:rsidRPr="007718A8">
        <w:rPr>
          <w:rFonts w:eastAsia="Arial Unicode MS"/>
          <w:u w:color="000000"/>
          <w:bdr w:val="nil"/>
          <w:lang w:val="en-US" w:eastAsia="en-GB"/>
        </w:rPr>
        <w:t>•</w:t>
      </w:r>
      <w:r w:rsidRPr="007718A8">
        <w:rPr>
          <w:rFonts w:eastAsia="Arial Unicode MS"/>
          <w:u w:color="000000"/>
          <w:bdr w:val="nil"/>
          <w:lang w:val="en-US" w:eastAsia="en-GB"/>
        </w:rPr>
        <w:tab/>
        <w:t xml:space="preserve">Detailed explanation of </w:t>
      </w:r>
      <w:r>
        <w:rPr>
          <w:rFonts w:eastAsia="Arial Unicode MS"/>
          <w:u w:color="000000"/>
          <w:bdr w:val="nil"/>
          <w:lang w:val="en-US" w:eastAsia="en-GB"/>
        </w:rPr>
        <w:t xml:space="preserve">the </w:t>
      </w:r>
      <w:r w:rsidRPr="007718A8">
        <w:rPr>
          <w:rFonts w:eastAsia="Arial Unicode MS"/>
          <w:u w:color="000000"/>
          <w:bdr w:val="nil"/>
          <w:lang w:val="en-US" w:eastAsia="en-GB"/>
        </w:rPr>
        <w:t>specific provisions of the proposal</w:t>
      </w:r>
    </w:p>
    <w:p w:rsidR="003F300D" w:rsidRDefault="003B5C42" w:rsidP="00BB3AB5">
      <w:r w:rsidRPr="0036228D">
        <w:t xml:space="preserve">Regulation (EC) No 539/2001 will be amended, transferring </w:t>
      </w:r>
      <w:r w:rsidR="00842C28">
        <w:t>Turkey</w:t>
      </w:r>
      <w:r w:rsidRPr="0036228D">
        <w:t xml:space="preserve"> from Annex I (list of visa-required </w:t>
      </w:r>
      <w:r w:rsidRPr="00AD6AD0">
        <w:t xml:space="preserve">countries) to Annex II (list of visa-free countries). </w:t>
      </w:r>
      <w:r w:rsidR="00C7740F">
        <w:t>In line with the Roadmap, a</w:t>
      </w:r>
      <w:r w:rsidRPr="00AD6AD0">
        <w:t xml:space="preserve"> footnote will be added specifying that the visa </w:t>
      </w:r>
      <w:r w:rsidR="002B6ABD" w:rsidRPr="00AD6AD0">
        <w:t xml:space="preserve">exemption </w:t>
      </w:r>
      <w:r w:rsidR="00C7740F">
        <w:t>appl</w:t>
      </w:r>
      <w:r w:rsidR="003A5FED">
        <w:t>ies</w:t>
      </w:r>
      <w:r w:rsidRPr="00AD6AD0">
        <w:t xml:space="preserve"> to holders of biometric passports issued in line with </w:t>
      </w:r>
      <w:r w:rsidR="00842C28" w:rsidRPr="00AD6AD0">
        <w:t>the standards of Council Regulation (EC) No 2252/2004</w:t>
      </w:r>
      <w:r w:rsidR="00762C79">
        <w:t xml:space="preserve">, in particular with encryption of fingerprints by </w:t>
      </w:r>
      <w:r w:rsidR="00762C79" w:rsidRPr="00AD6AD0">
        <w:t>Supplementary Access Control (SAC)</w:t>
      </w:r>
      <w:r w:rsidRPr="00AD6AD0">
        <w:t>.</w:t>
      </w:r>
      <w:r w:rsidR="002B6ABD" w:rsidRPr="00AD6AD0">
        <w:t xml:space="preserve"> </w:t>
      </w:r>
    </w:p>
    <w:p w:rsidR="002B6ABD" w:rsidRPr="00AD6AD0" w:rsidRDefault="00EA280C" w:rsidP="0070548A">
      <w:r w:rsidRPr="00AD6AD0">
        <w:t xml:space="preserve">Turkey has informed the Commission that it will </w:t>
      </w:r>
      <w:r w:rsidR="00762C79">
        <w:t>complete all necessary reforms</w:t>
      </w:r>
      <w:r w:rsidRPr="00AD6AD0">
        <w:t xml:space="preserve"> to issue fully EU-compliant biometric passports </w:t>
      </w:r>
      <w:r w:rsidR="00762C79">
        <w:t>by the end of</w:t>
      </w:r>
      <w:r w:rsidRPr="00AD6AD0">
        <w:t xml:space="preserve"> 2016. </w:t>
      </w:r>
      <w:r w:rsidR="00762C79">
        <w:t>In parallel Turkey will already ensure by early June that all</w:t>
      </w:r>
      <w:r w:rsidR="00FA19DE" w:rsidRPr="00AD6AD0">
        <w:t xml:space="preserve"> passports </w:t>
      </w:r>
      <w:r w:rsidR="00FA1C67" w:rsidRPr="00AD6AD0">
        <w:t xml:space="preserve">to be </w:t>
      </w:r>
      <w:r w:rsidR="00FA19DE" w:rsidRPr="00AD6AD0">
        <w:t xml:space="preserve">issued </w:t>
      </w:r>
      <w:r w:rsidR="00FA1C67" w:rsidRPr="00AD6AD0">
        <w:t xml:space="preserve">will </w:t>
      </w:r>
      <w:r w:rsidR="00FA19DE" w:rsidRPr="00AD6AD0">
        <w:t xml:space="preserve">include a photograph and </w:t>
      </w:r>
      <w:r w:rsidR="006E5B8F" w:rsidRPr="00AD6AD0">
        <w:t xml:space="preserve">the </w:t>
      </w:r>
      <w:r w:rsidR="00FA19DE" w:rsidRPr="00AD6AD0">
        <w:t>fingerprints of the holder in the chip and will be fully in line with standards of the International Civil Aviation Organisation (ICAO)</w:t>
      </w:r>
      <w:r w:rsidR="00FA1C67" w:rsidRPr="00AD6AD0">
        <w:t xml:space="preserve">. </w:t>
      </w:r>
      <w:r w:rsidR="00762C79">
        <w:t>In those passports</w:t>
      </w:r>
      <w:r w:rsidRPr="00AD6AD0">
        <w:t>, the</w:t>
      </w:r>
      <w:r w:rsidR="00FA1C67" w:rsidRPr="00AD6AD0">
        <w:t xml:space="preserve"> </w:t>
      </w:r>
      <w:r w:rsidRPr="00AD6AD0">
        <w:t xml:space="preserve">fingerprints will be protected by </w:t>
      </w:r>
      <w:r w:rsidR="00FA19DE" w:rsidRPr="00AD6AD0">
        <w:t>Extended Access Control (EAC) encryption.</w:t>
      </w:r>
      <w:r w:rsidRPr="00AD6AD0">
        <w:t xml:space="preserve"> Therefore the visa </w:t>
      </w:r>
      <w:r w:rsidR="00FA19DE" w:rsidRPr="00AD6AD0">
        <w:t>exemption</w:t>
      </w:r>
      <w:r w:rsidRPr="00AD6AD0">
        <w:t xml:space="preserve"> will </w:t>
      </w:r>
      <w:r w:rsidR="00DB7347" w:rsidRPr="00AD6AD0">
        <w:t xml:space="preserve">exceptionally </w:t>
      </w:r>
      <w:r w:rsidRPr="00AD6AD0">
        <w:t xml:space="preserve">also apply to holders of </w:t>
      </w:r>
      <w:r w:rsidR="00FA19DE" w:rsidRPr="00AD6AD0">
        <w:t>those latter passports</w:t>
      </w:r>
      <w:r w:rsidR="001F168B" w:rsidRPr="00AD6AD0">
        <w:t xml:space="preserve">, provided </w:t>
      </w:r>
      <w:r w:rsidR="00BB253C" w:rsidRPr="00AD6AD0">
        <w:t xml:space="preserve">that </w:t>
      </w:r>
      <w:r w:rsidR="001F168B" w:rsidRPr="00AD6AD0">
        <w:t xml:space="preserve">they were issued </w:t>
      </w:r>
      <w:r w:rsidR="00050281">
        <w:t>between 1 June 2016 and</w:t>
      </w:r>
      <w:r w:rsidR="00050281" w:rsidRPr="00AD6AD0">
        <w:t xml:space="preserve"> </w:t>
      </w:r>
      <w:r w:rsidR="00DB7347" w:rsidRPr="00AD6AD0">
        <w:t>31 December</w:t>
      </w:r>
      <w:r w:rsidR="001F168B" w:rsidRPr="00AD6AD0">
        <w:t xml:space="preserve"> 2016</w:t>
      </w:r>
      <w:r w:rsidR="00B33507">
        <w:t>.</w:t>
      </w:r>
      <w:r w:rsidR="0070548A">
        <w:t xml:space="preserve"> </w:t>
      </w:r>
      <w:r w:rsidR="0070548A" w:rsidRPr="00D9437A">
        <w:rPr>
          <w:noProof/>
        </w:rPr>
        <w:t>This ex</w:t>
      </w:r>
      <w:r w:rsidR="00717271">
        <w:rPr>
          <w:noProof/>
        </w:rPr>
        <w:t>c</w:t>
      </w:r>
      <w:r w:rsidR="0070548A" w:rsidRPr="00D9437A">
        <w:rPr>
          <w:noProof/>
        </w:rPr>
        <w:t>eption will expire on 31 December 2017.</w:t>
      </w:r>
      <w:r w:rsidR="00B33507">
        <w:t xml:space="preserve"> </w:t>
      </w:r>
      <w:r w:rsidR="00FC5DBE" w:rsidRPr="00D9437A">
        <w:t xml:space="preserve">Before the visa-free regime starts, </w:t>
      </w:r>
      <w:r w:rsidR="00BB253C" w:rsidRPr="00D9437A">
        <w:t xml:space="preserve">Turkey </w:t>
      </w:r>
      <w:r w:rsidR="00405D4A" w:rsidRPr="00D9437A">
        <w:t>should</w:t>
      </w:r>
      <w:r w:rsidR="00762C79" w:rsidRPr="00D9437A">
        <w:t xml:space="preserve"> provid</w:t>
      </w:r>
      <w:r w:rsidR="00FC5DBE" w:rsidRPr="00D9437A">
        <w:t>e</w:t>
      </w:r>
      <w:r w:rsidR="00762C79" w:rsidRPr="00D9437A">
        <w:t xml:space="preserve"> to</w:t>
      </w:r>
      <w:r w:rsidR="00BB253C" w:rsidRPr="00D9437A">
        <w:t xml:space="preserve"> </w:t>
      </w:r>
      <w:r w:rsidR="002068DC">
        <w:t>all</w:t>
      </w:r>
      <w:r w:rsidR="00BB253C" w:rsidRPr="00D9437A">
        <w:t xml:space="preserve"> Member States the certificates allowing to</w:t>
      </w:r>
      <w:r w:rsidR="002E4854" w:rsidRPr="00D9437A">
        <w:t xml:space="preserve"> </w:t>
      </w:r>
      <w:r w:rsidR="00405D4A" w:rsidRPr="00D9437A">
        <w:t xml:space="preserve">authenticate and </w:t>
      </w:r>
      <w:r w:rsidR="00BB253C" w:rsidRPr="00D9437A">
        <w:t xml:space="preserve">read the </w:t>
      </w:r>
      <w:r w:rsidR="00405D4A" w:rsidRPr="00D9437A">
        <w:t xml:space="preserve">information stored in the </w:t>
      </w:r>
      <w:r w:rsidR="00BB253C" w:rsidRPr="00D9437A">
        <w:t xml:space="preserve">chips of the </w:t>
      </w:r>
      <w:r w:rsidR="00405D4A" w:rsidRPr="00D9437A">
        <w:t xml:space="preserve">Turkish </w:t>
      </w:r>
      <w:r w:rsidR="00BB253C" w:rsidRPr="00D9437A">
        <w:t>passports.</w:t>
      </w:r>
    </w:p>
    <w:p w:rsidR="002B6ABD" w:rsidRPr="00F96E01" w:rsidRDefault="002B6ABD" w:rsidP="002B6ABD">
      <w:pPr>
        <w:pBdr>
          <w:top w:val="nil"/>
          <w:left w:val="nil"/>
          <w:bottom w:val="nil"/>
          <w:right w:val="nil"/>
          <w:between w:val="nil"/>
          <w:bar w:val="nil"/>
        </w:pBdr>
        <w:spacing w:before="0" w:after="240"/>
        <w:sectPr w:rsidR="002B6ABD" w:rsidRPr="00F96E01" w:rsidSect="00221B07">
          <w:footerReference w:type="default" r:id="rId11"/>
          <w:footerReference w:type="first" r:id="rId12"/>
          <w:pgSz w:w="11907" w:h="16839"/>
          <w:pgMar w:top="1134" w:right="1417" w:bottom="1134" w:left="1417" w:header="709" w:footer="709" w:gutter="0"/>
          <w:pgNumType w:start="2"/>
          <w:cols w:space="708"/>
          <w:docGrid w:linePitch="360"/>
        </w:sectPr>
      </w:pPr>
    </w:p>
    <w:p w:rsidR="00221B07" w:rsidRDefault="00221B07" w:rsidP="00221B07">
      <w:pPr>
        <w:pStyle w:val="Rfrenceinterinstitutionnelle"/>
      </w:pPr>
      <w:r w:rsidRPr="00221B07">
        <w:lastRenderedPageBreak/>
        <w:t>2016/141 (COD)</w:t>
      </w:r>
    </w:p>
    <w:p w:rsidR="003B5C42" w:rsidRPr="00F96E01" w:rsidRDefault="00221B07" w:rsidP="00221B07">
      <w:pPr>
        <w:pStyle w:val="Statut"/>
      </w:pPr>
      <w:r w:rsidRPr="00221B07">
        <w:t>Proposal for a</w:t>
      </w:r>
    </w:p>
    <w:p w:rsidR="003B5C42" w:rsidRPr="00F96E01" w:rsidRDefault="00221B07" w:rsidP="00221B07">
      <w:pPr>
        <w:pStyle w:val="Typedudocument"/>
      </w:pPr>
      <w:r w:rsidRPr="00221B07">
        <w:t>REGULATION OF THE EUROPEAN PARLIAMENT AND OF THE COUNCIL</w:t>
      </w:r>
    </w:p>
    <w:p w:rsidR="003B5C42" w:rsidRPr="00F96E01" w:rsidRDefault="00221B07" w:rsidP="00221B07">
      <w:pPr>
        <w:pStyle w:val="Titreobjet"/>
      </w:pPr>
      <w:r w:rsidRPr="00221B07">
        <w:t>amending Regulation (EC) No 539/2001 listing the third countries whose nationals must be in possession of visas when crossing the external borders and those whose nationals are exempt from that requirement</w:t>
      </w:r>
    </w:p>
    <w:p w:rsidR="003B5C42" w:rsidRPr="003B5C42" w:rsidRDefault="00221B07" w:rsidP="00221B07">
      <w:pPr>
        <w:pStyle w:val="Sous-titreobjet"/>
      </w:pPr>
      <w:r w:rsidRPr="00221B07">
        <w:t>(Turkey)</w:t>
      </w:r>
    </w:p>
    <w:p w:rsidR="003B5C42" w:rsidRPr="00F96E01" w:rsidRDefault="003B5C42" w:rsidP="00DE46FA">
      <w:pPr>
        <w:pStyle w:val="Institutionquiagit"/>
      </w:pPr>
      <w:r w:rsidRPr="00F96E01">
        <w:t>THE EUROPEAN PARLIAMENT AND THE COUNCIL OF THE EUROPEAN UNION,</w:t>
      </w:r>
    </w:p>
    <w:p w:rsidR="003B5C42" w:rsidRPr="00F96E01" w:rsidRDefault="003B5C42" w:rsidP="00DE46FA">
      <w:r w:rsidRPr="00F96E01">
        <w:t xml:space="preserve">Having regard to the Treaty on the Functioning of the European Union, and in particular </w:t>
      </w:r>
      <w:r w:rsidRPr="00E87312">
        <w:rPr>
          <w:noProof/>
        </w:rPr>
        <w:t>point (a) of Article 77(2)</w:t>
      </w:r>
      <w:r w:rsidRPr="00F96E01">
        <w:t xml:space="preserve"> thereof,</w:t>
      </w:r>
    </w:p>
    <w:p w:rsidR="003B5C42" w:rsidRPr="00F96E01" w:rsidRDefault="003B5C42" w:rsidP="00DE46FA">
      <w:r w:rsidRPr="00F96E01">
        <w:t>Having regard to the proposal from the European Commission,</w:t>
      </w:r>
    </w:p>
    <w:p w:rsidR="003B5C42" w:rsidRPr="00F96E01" w:rsidRDefault="003B5C42" w:rsidP="00DE46FA">
      <w:r w:rsidRPr="00F96E01">
        <w:t xml:space="preserve">After transmission of the draft legislative act to the national </w:t>
      </w:r>
      <w:r>
        <w:t>p</w:t>
      </w:r>
      <w:r w:rsidRPr="00F96E01">
        <w:t>arliaments,</w:t>
      </w:r>
    </w:p>
    <w:p w:rsidR="003B5C42" w:rsidRPr="00F96E01" w:rsidRDefault="003B5C42" w:rsidP="00DE46FA">
      <w:r w:rsidRPr="00F96E01">
        <w:t>Acting in accordance with the ordinary legislative procedure,</w:t>
      </w:r>
    </w:p>
    <w:p w:rsidR="003B5C42" w:rsidRPr="00F96E01" w:rsidRDefault="003B5C42" w:rsidP="00DE46FA">
      <w:r w:rsidRPr="00F96E01">
        <w:t>Whereas:</w:t>
      </w:r>
    </w:p>
    <w:p w:rsidR="003B5C42" w:rsidRDefault="003B5C42" w:rsidP="0096368C">
      <w:pPr>
        <w:pStyle w:val="Considrant"/>
        <w:numPr>
          <w:ilvl w:val="0"/>
          <w:numId w:val="1"/>
        </w:numPr>
      </w:pPr>
      <w:r w:rsidRPr="00EB7D15">
        <w:rPr>
          <w:rFonts w:eastAsia="Calibri"/>
          <w:lang w:eastAsia="en-GB"/>
        </w:rPr>
        <w:t>Council Regulation (EC) No 539/2001</w:t>
      </w:r>
      <w:r w:rsidRPr="00A6533E">
        <w:rPr>
          <w:rStyle w:val="FootnoteReference"/>
        </w:rPr>
        <w:footnoteReference w:id="18"/>
      </w:r>
      <w:r w:rsidRPr="00EB7D15">
        <w:rPr>
          <w:rFonts w:eastAsia="Calibri"/>
          <w:lang w:eastAsia="en-GB"/>
        </w:rPr>
        <w:t xml:space="preserve"> lists the third countries whose nationals must be in possession of a visa when crossing the external borders of the Member States and those whose nationals are exempt from that requirement.</w:t>
      </w:r>
      <w:r>
        <w:rPr>
          <w:rFonts w:eastAsia="Calibri"/>
          <w:lang w:eastAsia="en-GB"/>
        </w:rPr>
        <w:t xml:space="preserve"> The composition of the lists of third countries in Annexes I and II should be, and should remain, consistent with the criteria set out therein</w:t>
      </w:r>
      <w:r w:rsidRPr="00F96E01">
        <w:t>.</w:t>
      </w:r>
      <w:r>
        <w:t xml:space="preserve"> References to third countries in respect of which the situation has changed as regards those criteria should be transferred from one annex to the other, as appropriate.</w:t>
      </w:r>
    </w:p>
    <w:p w:rsidR="00BB193F" w:rsidRPr="00D9437A" w:rsidRDefault="00BB193F" w:rsidP="0096368C">
      <w:pPr>
        <w:pStyle w:val="Considrant"/>
        <w:numPr>
          <w:ilvl w:val="0"/>
          <w:numId w:val="1"/>
        </w:numPr>
      </w:pPr>
      <w:r w:rsidRPr="00C83DFB">
        <w:t xml:space="preserve">The criteria which should be taken into account when determining – based on a case-by-case assessment – the third countries whose nationals are subject to, or exempt from, the visa requirement are laid down in Article -1 of Regulation </w:t>
      </w:r>
      <w:r w:rsidRPr="00C83DFB">
        <w:rPr>
          <w:rFonts w:eastAsia="Calibri"/>
          <w:lang w:eastAsia="en-GB"/>
        </w:rPr>
        <w:t>(EC) No </w:t>
      </w:r>
      <w:r w:rsidRPr="00C83DFB">
        <w:t xml:space="preserve"> 539/2001. They include </w:t>
      </w:r>
      <w:r w:rsidRPr="00C83DFB">
        <w:rPr>
          <w:szCs w:val="24"/>
        </w:rPr>
        <w:t xml:space="preserve">“illegal immigration, public policy and security, economic </w:t>
      </w:r>
      <w:r w:rsidRPr="00D9437A">
        <w:rPr>
          <w:szCs w:val="24"/>
        </w:rPr>
        <w:t>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p>
    <w:p w:rsidR="000C2C20" w:rsidRDefault="00E54625" w:rsidP="00E54625">
      <w:pPr>
        <w:pStyle w:val="Considrant"/>
      </w:pPr>
      <w:r w:rsidRPr="00D9437A">
        <w:t xml:space="preserve">Following the EU-Turkey Summits on 29 November 2015 and on 18 March 2016 it was agreed that the fulfilment of the visa liberalisation roadmap </w:t>
      </w:r>
      <w:bookmarkStart w:id="0" w:name="_GoBack"/>
      <w:r w:rsidRPr="00D9437A">
        <w:t xml:space="preserve">presented </w:t>
      </w:r>
      <w:bookmarkEnd w:id="0"/>
      <w:r w:rsidRPr="00D9437A">
        <w:t xml:space="preserve">by the Commission to the Turkish Government </w:t>
      </w:r>
      <w:r w:rsidR="00C313F6" w:rsidRPr="00D9437A">
        <w:t>on 16 December</w:t>
      </w:r>
      <w:r w:rsidRPr="00D9437A">
        <w:t xml:space="preserve"> 2013 will be accelerated </w:t>
      </w:r>
      <w:r w:rsidRPr="00D9437A">
        <w:rPr>
          <w:i/>
        </w:rPr>
        <w:t>vis-à-vis</w:t>
      </w:r>
      <w:r w:rsidRPr="00D9437A">
        <w:t xml:space="preserve"> all participating Member States with a view to lifting the visa requirements for Turkish </w:t>
      </w:r>
      <w:r w:rsidR="00384CD1" w:rsidRPr="00D9437A">
        <w:t>nationals</w:t>
      </w:r>
      <w:r w:rsidRPr="00D9437A">
        <w:t xml:space="preserve"> at the latest by the end of June 2016. </w:t>
      </w:r>
    </w:p>
    <w:p w:rsidR="00D742BA" w:rsidRPr="00D9437A" w:rsidRDefault="00D742BA" w:rsidP="00D742BA">
      <w:pPr>
        <w:pStyle w:val="Considrant"/>
      </w:pPr>
      <w:r w:rsidRPr="00D9437A">
        <w:t>Visa liberalisation for Turkey is a key component of the EU-Turkey S</w:t>
      </w:r>
      <w:r w:rsidR="006E705A">
        <w:t>tatement of 18 March 2016. The S</w:t>
      </w:r>
      <w:r w:rsidRPr="00D9437A">
        <w:t>tatement</w:t>
      </w:r>
      <w:r w:rsidR="006E705A">
        <w:t xml:space="preserve"> </w:t>
      </w:r>
      <w:r w:rsidRPr="00D9437A">
        <w:t xml:space="preserve">stipulates that </w:t>
      </w:r>
      <w:r w:rsidR="00717271">
        <w:t xml:space="preserve">the </w:t>
      </w:r>
      <w:r w:rsidRPr="00D9437A">
        <w:t xml:space="preserve">visa requirement for Turkish citizens </w:t>
      </w:r>
      <w:r w:rsidRPr="00D9437A">
        <w:lastRenderedPageBreak/>
        <w:t>should be lifted at the latest by the end of June 2016. Presenting the proposal for visa liberalisation at the beginning of May enables the eight-week period provided to national Parliaments by Article 4 of Protocol No 1 to the Treaties on the role of national Parliaments in the European Union to elapse before its adoption at the end of June.</w:t>
      </w:r>
    </w:p>
    <w:p w:rsidR="007043CE" w:rsidRPr="00D9437A" w:rsidRDefault="007F3236" w:rsidP="00D742BA">
      <w:pPr>
        <w:pStyle w:val="Considrant"/>
      </w:pPr>
      <w:r>
        <w:t>[</w:t>
      </w:r>
      <w:r w:rsidR="00D742BA">
        <w:t xml:space="preserve">Turkey </w:t>
      </w:r>
      <w:r w:rsidR="00771504">
        <w:t xml:space="preserve">has met the requirements of its visa liberalisation </w:t>
      </w:r>
      <w:r w:rsidR="00D742BA">
        <w:t>roadmap</w:t>
      </w:r>
      <w:r w:rsidR="003D04B2" w:rsidRPr="00D742BA">
        <w:rPr>
          <w:szCs w:val="24"/>
        </w:rPr>
        <w:t>.</w:t>
      </w:r>
      <w:r w:rsidR="00BB193F" w:rsidRPr="00D742BA">
        <w:rPr>
          <w:szCs w:val="24"/>
        </w:rPr>
        <w:t xml:space="preserve"> On the basis of this assessment and taking account of </w:t>
      </w:r>
      <w:r w:rsidR="00390DD2">
        <w:rPr>
          <w:szCs w:val="24"/>
        </w:rPr>
        <w:t xml:space="preserve">all </w:t>
      </w:r>
      <w:r w:rsidR="00BB193F" w:rsidRPr="00D742BA">
        <w:rPr>
          <w:szCs w:val="24"/>
        </w:rPr>
        <w:t>the criteria listed in Article -1 of Regulation (EC) No 539/2001</w:t>
      </w:r>
      <w:r w:rsidR="00796ED5" w:rsidRPr="00D9437A">
        <w:t xml:space="preserve">, </w:t>
      </w:r>
      <w:r w:rsidR="00BB193F" w:rsidRPr="00D9437A">
        <w:t xml:space="preserve">it is appropriate to exempt </w:t>
      </w:r>
      <w:r w:rsidR="00B33507" w:rsidRPr="00D9437A">
        <w:t>Turkish</w:t>
      </w:r>
      <w:r w:rsidR="00BB193F" w:rsidRPr="00D9437A">
        <w:t xml:space="preserve"> </w:t>
      </w:r>
      <w:r w:rsidR="00384CD1" w:rsidRPr="00D9437A">
        <w:t>nationals</w:t>
      </w:r>
      <w:r w:rsidR="00796ED5" w:rsidRPr="00D9437A">
        <w:t xml:space="preserve"> from the visa requirement when travelling to the territory of the Member States.</w:t>
      </w:r>
      <w:r>
        <w:t>]</w:t>
      </w:r>
    </w:p>
    <w:p w:rsidR="00BD5A33" w:rsidRPr="002068DC" w:rsidRDefault="007D7BC2" w:rsidP="003B5C42">
      <w:pPr>
        <w:pStyle w:val="Considrant"/>
      </w:pPr>
      <w:r>
        <w:t>Turkey</w:t>
      </w:r>
      <w:r w:rsidR="003B5C42">
        <w:t xml:space="preserve"> should thus be transferred from Annex I to </w:t>
      </w:r>
      <w:r w:rsidR="003B5C42" w:rsidRPr="00EB7D15">
        <w:rPr>
          <w:rFonts w:eastAsia="Calibri"/>
          <w:lang w:eastAsia="en-GB"/>
        </w:rPr>
        <w:t>Regulation (EC) No 539/2001</w:t>
      </w:r>
      <w:r w:rsidR="003B5C42">
        <w:rPr>
          <w:rFonts w:eastAsia="Calibri"/>
          <w:lang w:eastAsia="en-GB"/>
        </w:rPr>
        <w:t xml:space="preserve"> </w:t>
      </w:r>
      <w:r w:rsidR="003B5C42">
        <w:t>to Annex II thereof</w:t>
      </w:r>
      <w:r w:rsidR="003B5C42">
        <w:rPr>
          <w:rFonts w:eastAsia="Calibri"/>
          <w:lang w:eastAsia="en-GB"/>
        </w:rPr>
        <w:t xml:space="preserve">. </w:t>
      </w:r>
    </w:p>
    <w:p w:rsidR="0005129E" w:rsidRPr="007637A4" w:rsidRDefault="0005129E" w:rsidP="003B5C42">
      <w:pPr>
        <w:pStyle w:val="Considrant"/>
      </w:pPr>
      <w:r w:rsidRPr="00743CB6">
        <w:t xml:space="preserve">The visa exemption is dependent upon the continued implementation of the requirements of the visa liberalisation roadmap and of the European Union-Turkey Statement of 18 March 2016. The Commission will actively monitor the implementation of the </w:t>
      </w:r>
      <w:r w:rsidR="007D72A4" w:rsidRPr="00743CB6">
        <w:t>requirements</w:t>
      </w:r>
      <w:r w:rsidRPr="00743CB6">
        <w:t xml:space="preserve"> and </w:t>
      </w:r>
      <w:r w:rsidR="00D73F26" w:rsidRPr="00743CB6">
        <w:t xml:space="preserve">of </w:t>
      </w:r>
      <w:r w:rsidRPr="00743CB6">
        <w:t xml:space="preserve">the Statement. The visa </w:t>
      </w:r>
      <w:r w:rsidR="000E13C6" w:rsidRPr="00743CB6">
        <w:t>exemption may</w:t>
      </w:r>
      <w:r w:rsidRPr="00743CB6">
        <w:t xml:space="preserve"> be suspended by the EU in line with the suspension mechanism established by Article 1a of Regulation (EC) No 539/2001</w:t>
      </w:r>
      <w:r w:rsidR="00743CB6">
        <w:t xml:space="preserve">, as amended by Regulation </w:t>
      </w:r>
      <w:r w:rsidR="00743CB6" w:rsidRPr="00D41ADE">
        <w:rPr>
          <w:highlight w:val="yellow"/>
        </w:rPr>
        <w:t>xxx</w:t>
      </w:r>
      <w:r w:rsidR="00743CB6">
        <w:t>,</w:t>
      </w:r>
      <w:r w:rsidRPr="00743CB6">
        <w:t xml:space="preserve"> should the condition</w:t>
      </w:r>
      <w:r w:rsidR="00D73F26" w:rsidRPr="00743CB6">
        <w:t>s set out therein be met</w:t>
      </w:r>
      <w:r w:rsidRPr="00743CB6">
        <w:t>.</w:t>
      </w:r>
      <w:r>
        <w:t xml:space="preserve"> </w:t>
      </w:r>
    </w:p>
    <w:p w:rsidR="003B5C42" w:rsidRPr="002C1976" w:rsidRDefault="003B5C42" w:rsidP="003B5C42">
      <w:pPr>
        <w:pStyle w:val="Considrant"/>
      </w:pPr>
      <w:r w:rsidRPr="002C1976">
        <w:rPr>
          <w:rFonts w:eastAsia="Calibri"/>
          <w:lang w:eastAsia="en-GB"/>
        </w:rPr>
        <w:t xml:space="preserve">This visa </w:t>
      </w:r>
      <w:r w:rsidR="00E54625" w:rsidRPr="002C1976">
        <w:rPr>
          <w:rFonts w:eastAsia="Calibri"/>
          <w:lang w:eastAsia="en-GB"/>
        </w:rPr>
        <w:t xml:space="preserve">exemption </w:t>
      </w:r>
      <w:r w:rsidRPr="002C1976">
        <w:rPr>
          <w:rFonts w:eastAsia="Calibri"/>
          <w:lang w:eastAsia="en-GB"/>
        </w:rPr>
        <w:t xml:space="preserve">should apply only </w:t>
      </w:r>
      <w:r w:rsidRPr="002C1976">
        <w:t xml:space="preserve">to holders of biometric passports issued in line </w:t>
      </w:r>
      <w:r w:rsidR="007D7BC2" w:rsidRPr="002C1976">
        <w:t>with the standards of Council Regulation (EC) No 2252/2004</w:t>
      </w:r>
      <w:r w:rsidR="007D7BC2" w:rsidRPr="002C1976">
        <w:rPr>
          <w:rStyle w:val="FootnoteReference"/>
        </w:rPr>
        <w:footnoteReference w:id="19"/>
      </w:r>
      <w:r w:rsidR="00BB193F" w:rsidRPr="002C1976">
        <w:t xml:space="preserve"> </w:t>
      </w:r>
      <w:r w:rsidR="00E54625" w:rsidRPr="002C1976">
        <w:t>Exceptionally</w:t>
      </w:r>
      <w:r w:rsidR="000A042D" w:rsidRPr="002C1976">
        <w:t xml:space="preserve"> </w:t>
      </w:r>
      <w:r w:rsidR="00BB193F" w:rsidRPr="002C1976">
        <w:rPr>
          <w:noProof/>
        </w:rPr>
        <w:t>the exemption</w:t>
      </w:r>
      <w:r w:rsidR="000A042D" w:rsidRPr="002C1976">
        <w:rPr>
          <w:noProof/>
        </w:rPr>
        <w:t xml:space="preserve"> should </w:t>
      </w:r>
      <w:r w:rsidR="00BB193F" w:rsidRPr="002C1976">
        <w:rPr>
          <w:noProof/>
        </w:rPr>
        <w:t xml:space="preserve">also apply to holders of biometric passports that include the passport holders' fingerprints, issued in line with standards of the International Civil Aviation Organisation (ICAO), and provided that such passports were issued </w:t>
      </w:r>
      <w:r w:rsidR="00050281" w:rsidRPr="002C1976">
        <w:rPr>
          <w:noProof/>
        </w:rPr>
        <w:t>between 1 June 2016 and</w:t>
      </w:r>
      <w:r w:rsidR="00BB193F" w:rsidRPr="002C1976">
        <w:rPr>
          <w:noProof/>
        </w:rPr>
        <w:t xml:space="preserve"> 31 December 2016</w:t>
      </w:r>
      <w:r w:rsidRPr="002C1976">
        <w:t>.</w:t>
      </w:r>
      <w:r w:rsidR="009560CD">
        <w:t xml:space="preserve"> This ex</w:t>
      </w:r>
      <w:r w:rsidR="00717271">
        <w:t>c</w:t>
      </w:r>
      <w:r w:rsidR="009560CD">
        <w:t>e</w:t>
      </w:r>
      <w:r w:rsidR="004558B6">
        <w:t>ption will expire on 31 December 2017.</w:t>
      </w:r>
    </w:p>
    <w:p w:rsidR="003B5C42" w:rsidRDefault="003B5C42" w:rsidP="003B5C42">
      <w:pPr>
        <w:pStyle w:val="Considrant"/>
        <w:rPr>
          <w:noProof/>
        </w:rPr>
      </w:pPr>
      <w:r>
        <w:rPr>
          <w:noProof/>
        </w:rPr>
        <w:t xml:space="preserve">This </w:t>
      </w:r>
      <w:r w:rsidRPr="00EB7D15">
        <w:rPr>
          <w:rFonts w:eastAsia="Calibri"/>
          <w:lang w:eastAsia="en-GB"/>
        </w:rPr>
        <w:t>Regulation</w:t>
      </w:r>
      <w:r>
        <w:rPr>
          <w:noProof/>
        </w:rPr>
        <w:t xml:space="preserve"> constitutes a development of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20"/>
      </w:r>
      <w:r>
        <w:rPr>
          <w:noProof/>
        </w:rPr>
        <w:t xml:space="preserve">. The United Kingdom is therefore not taking part in the adoption of this </w:t>
      </w:r>
      <w:r w:rsidRPr="00EB7D15">
        <w:rPr>
          <w:rFonts w:eastAsia="Calibri"/>
          <w:lang w:eastAsia="en-GB"/>
        </w:rPr>
        <w:t>Regulation</w:t>
      </w:r>
      <w:r>
        <w:rPr>
          <w:noProof/>
        </w:rPr>
        <w:t xml:space="preserve"> and is not bound by it or subject to its application. </w:t>
      </w:r>
    </w:p>
    <w:p w:rsidR="003B5C42" w:rsidRDefault="003B5C42" w:rsidP="003B5C42">
      <w:pPr>
        <w:pStyle w:val="Considrant"/>
        <w:rPr>
          <w:noProof/>
        </w:rPr>
      </w:pPr>
      <w:r>
        <w:rPr>
          <w:noProof/>
        </w:rPr>
        <w:t xml:space="preserve">This </w:t>
      </w:r>
      <w:r w:rsidRPr="00EB7D15">
        <w:rPr>
          <w:rFonts w:eastAsia="Calibri"/>
          <w:lang w:eastAsia="en-GB"/>
        </w:rPr>
        <w:t>Regulation</w:t>
      </w:r>
      <w:r>
        <w:rPr>
          <w:noProof/>
        </w:rPr>
        <w:t xml:space="preserve"> constitutes a development of provisions of the Schengen </w:t>
      </w:r>
      <w:r>
        <w:rPr>
          <w:i/>
          <w:noProof/>
        </w:rPr>
        <w:t>acquis</w:t>
      </w:r>
      <w:r>
        <w:rPr>
          <w:noProof/>
        </w:rPr>
        <w:t xml:space="preserve"> in which Ireland does not take part, in accordance with Council Decision 2002/192/EC</w:t>
      </w:r>
      <w:r>
        <w:rPr>
          <w:rStyle w:val="FootnoteReference"/>
          <w:noProof/>
        </w:rPr>
        <w:footnoteReference w:id="21"/>
      </w:r>
      <w:r>
        <w:rPr>
          <w:noProof/>
        </w:rPr>
        <w:t xml:space="preserve">. Ireland is therefore not taking part in the adoption of this </w:t>
      </w:r>
      <w:r w:rsidRPr="00EB7D15">
        <w:rPr>
          <w:rFonts w:eastAsia="Calibri"/>
          <w:lang w:eastAsia="en-GB"/>
        </w:rPr>
        <w:t>Regulation</w:t>
      </w:r>
      <w:r>
        <w:rPr>
          <w:noProof/>
        </w:rPr>
        <w:t xml:space="preserve"> and is not bound by it or subject to its application. </w:t>
      </w:r>
    </w:p>
    <w:p w:rsidR="003B5C42" w:rsidRDefault="003B5C42" w:rsidP="003B5C42">
      <w:pPr>
        <w:pStyle w:val="Considrant"/>
        <w:rPr>
          <w:noProof/>
        </w:rPr>
      </w:pPr>
      <w:r>
        <w:rPr>
          <w:noProof/>
        </w:rPr>
        <w:t xml:space="preserve">As regards Iceland and Norway, this </w:t>
      </w:r>
      <w:r w:rsidRPr="00EB7D15">
        <w:rPr>
          <w:rFonts w:eastAsia="Calibri"/>
          <w:lang w:eastAsia="en-GB"/>
        </w:rPr>
        <w:t>Regulation</w:t>
      </w:r>
      <w:r>
        <w:rPr>
          <w:noProof/>
        </w:rPr>
        <w:t xml:space="preserve"> constitutes a development of provisions of the Schengen </w:t>
      </w:r>
      <w:r>
        <w:rPr>
          <w:i/>
          <w:noProof/>
        </w:rPr>
        <w:t>acquis</w:t>
      </w:r>
      <w:r>
        <w:rPr>
          <w:noProof/>
        </w:rPr>
        <w:t xml:space="preserve"> within the meaning of the Agreement concluded by the Council of the European Union and the Republic of Iceland and the Kingdom of Norway concerning the association of those two States with the implementation, application and development of the Schengen </w:t>
      </w:r>
      <w:r>
        <w:rPr>
          <w:i/>
          <w:noProof/>
        </w:rPr>
        <w:t>acquis</w:t>
      </w:r>
      <w:r>
        <w:rPr>
          <w:noProof/>
        </w:rPr>
        <w:t>, which fall within the area referred to in point B of Article 1, of Council Decision 1999/437/EC</w:t>
      </w:r>
      <w:r>
        <w:rPr>
          <w:rStyle w:val="FootnoteReference"/>
          <w:noProof/>
        </w:rPr>
        <w:footnoteReference w:id="22"/>
      </w:r>
      <w:r>
        <w:rPr>
          <w:noProof/>
        </w:rPr>
        <w:t>.</w:t>
      </w:r>
    </w:p>
    <w:p w:rsidR="003B5C42" w:rsidRDefault="003B5C42" w:rsidP="003B5C42">
      <w:pPr>
        <w:pStyle w:val="Considrant"/>
        <w:rPr>
          <w:noProof/>
        </w:rPr>
      </w:pPr>
      <w:r>
        <w:rPr>
          <w:noProof/>
        </w:rPr>
        <w:lastRenderedPageBreak/>
        <w:t xml:space="preserve">As regards Switzerland, this </w:t>
      </w:r>
      <w:r w:rsidRPr="00EB7D15">
        <w:rPr>
          <w:rFonts w:eastAsia="Calibri"/>
          <w:lang w:eastAsia="en-GB"/>
        </w:rPr>
        <w:t>Regulation</w:t>
      </w:r>
      <w:r>
        <w:rPr>
          <w:noProof/>
        </w:rPr>
        <w:t xml:space="preserve">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noProof/>
        </w:rPr>
        <w:t>, which fall within the area referred to in point B of Article 1, of Decision 1999/437/EC, read in conjunction with Article 3 of Council Decision 2008/146/EC</w:t>
      </w:r>
      <w:r>
        <w:rPr>
          <w:rStyle w:val="FootnoteReference"/>
          <w:noProof/>
        </w:rPr>
        <w:footnoteReference w:id="23"/>
      </w:r>
      <w:r>
        <w:rPr>
          <w:noProof/>
        </w:rPr>
        <w:t>.</w:t>
      </w:r>
    </w:p>
    <w:p w:rsidR="003B5C42" w:rsidRDefault="003B5C42" w:rsidP="003B5C42">
      <w:pPr>
        <w:pStyle w:val="Considrant"/>
        <w:rPr>
          <w:noProof/>
        </w:rPr>
      </w:pPr>
      <w:r>
        <w:rPr>
          <w:noProof/>
        </w:rPr>
        <w:t xml:space="preserve">As regards Liechtenstein, this </w:t>
      </w:r>
      <w:r w:rsidRPr="00EB7D15">
        <w:rPr>
          <w:rFonts w:eastAsia="Calibri"/>
          <w:lang w:eastAsia="en-GB"/>
        </w:rPr>
        <w:t>Regulation</w:t>
      </w:r>
      <w:r>
        <w:rPr>
          <w:noProof/>
        </w:rPr>
        <w:t xml:space="preserve"> constitutes a development of the provisions of the Schengen </w:t>
      </w:r>
      <w:r>
        <w:rPr>
          <w:i/>
          <w:noProof/>
        </w:rPr>
        <w:t>acquis</w:t>
      </w:r>
      <w:r>
        <w:rPr>
          <w:noProof/>
        </w:rPr>
        <w:t xml:space="preserve"> within the meaning of the Protocol signed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noProof/>
        </w:rPr>
        <w:t>, which fall within the area referred to in point B of Article 1, of Decision 1999/437/EC read in conjunction with Article 3 of Council Decision 2011/350/EU</w:t>
      </w:r>
      <w:r>
        <w:rPr>
          <w:rStyle w:val="FootnoteReference"/>
          <w:noProof/>
        </w:rPr>
        <w:footnoteReference w:id="24"/>
      </w:r>
      <w:r>
        <w:rPr>
          <w:noProof/>
        </w:rPr>
        <w:t>,</w:t>
      </w:r>
    </w:p>
    <w:p w:rsidR="003B5C42" w:rsidRPr="00F96E01" w:rsidRDefault="003B5C42" w:rsidP="00DE46FA">
      <w:pPr>
        <w:pStyle w:val="Formuledadoption"/>
      </w:pPr>
      <w:r w:rsidRPr="00F96E01">
        <w:t>HAVE ADOPTED THIS REGULATION:</w:t>
      </w:r>
    </w:p>
    <w:p w:rsidR="003B5C42" w:rsidRPr="00F96E01" w:rsidRDefault="003B5C42" w:rsidP="00DE46FA">
      <w:pPr>
        <w:pStyle w:val="Titrearticle"/>
      </w:pPr>
      <w:r w:rsidRPr="00F96E01">
        <w:t>Article 1</w:t>
      </w:r>
    </w:p>
    <w:p w:rsidR="003B5C42" w:rsidRPr="00973B33" w:rsidRDefault="003B5C42" w:rsidP="003B5C42">
      <w:pPr>
        <w:spacing w:before="0" w:after="0"/>
        <w:rPr>
          <w:noProof/>
        </w:rPr>
      </w:pPr>
      <w:r w:rsidRPr="00973B33">
        <w:rPr>
          <w:noProof/>
        </w:rPr>
        <w:t>Regulation (EC) No 539/2001 is amended as follows:</w:t>
      </w:r>
    </w:p>
    <w:p w:rsidR="003B5C42" w:rsidRPr="00973B33" w:rsidRDefault="003B5C42" w:rsidP="003B5C42">
      <w:pPr>
        <w:pStyle w:val="ManualNumPar1"/>
        <w:rPr>
          <w:noProof/>
        </w:rPr>
      </w:pPr>
      <w:bookmarkStart w:id="1" w:name="DQPStarAt1DQPStarAt79EC7D75A4DA4C888ED46"/>
      <w:bookmarkEnd w:id="1"/>
      <w:r>
        <w:rPr>
          <w:noProof/>
        </w:rPr>
        <w:tab/>
        <w:t>(a)</w:t>
      </w:r>
      <w:r w:rsidRPr="00B23FC7">
        <w:rPr>
          <w:noProof/>
        </w:rPr>
        <w:tab/>
      </w:r>
      <w:r w:rsidRPr="00973B33">
        <w:rPr>
          <w:noProof/>
        </w:rPr>
        <w:t>in Annex I</w:t>
      </w:r>
      <w:r>
        <w:rPr>
          <w:noProof/>
        </w:rPr>
        <w:t>,</w:t>
      </w:r>
      <w:r w:rsidRPr="00973B33">
        <w:rPr>
          <w:noProof/>
        </w:rPr>
        <w:t xml:space="preserve"> Part 1</w:t>
      </w:r>
      <w:r>
        <w:rPr>
          <w:noProof/>
        </w:rPr>
        <w:t xml:space="preserve"> ("STATES"), </w:t>
      </w:r>
      <w:r w:rsidRPr="00973B33">
        <w:rPr>
          <w:noProof/>
        </w:rPr>
        <w:t xml:space="preserve">the reference to </w:t>
      </w:r>
      <w:r w:rsidR="007D7BC2">
        <w:rPr>
          <w:noProof/>
        </w:rPr>
        <w:t>Turkey</w:t>
      </w:r>
      <w:r w:rsidRPr="00973B33">
        <w:rPr>
          <w:noProof/>
        </w:rPr>
        <w:t xml:space="preserve"> </w:t>
      </w:r>
      <w:r>
        <w:rPr>
          <w:noProof/>
        </w:rPr>
        <w:t>is</w:t>
      </w:r>
      <w:r w:rsidRPr="00973B33">
        <w:rPr>
          <w:noProof/>
        </w:rPr>
        <w:t xml:space="preserve"> deleted</w:t>
      </w:r>
      <w:r>
        <w:rPr>
          <w:noProof/>
        </w:rPr>
        <w:t>.</w:t>
      </w:r>
      <w:r w:rsidRPr="00973B33">
        <w:rPr>
          <w:noProof/>
        </w:rPr>
        <w:t xml:space="preserve"> </w:t>
      </w:r>
    </w:p>
    <w:p w:rsidR="003B5C42" w:rsidRPr="00973B33" w:rsidRDefault="003B5C42" w:rsidP="003B5C42">
      <w:pPr>
        <w:pStyle w:val="ManualNumPar1"/>
        <w:rPr>
          <w:noProof/>
        </w:rPr>
      </w:pPr>
      <w:r>
        <w:rPr>
          <w:noProof/>
        </w:rPr>
        <w:tab/>
        <w:t>(b)</w:t>
      </w:r>
      <w:r w:rsidRPr="00B23FC7">
        <w:rPr>
          <w:noProof/>
        </w:rPr>
        <w:tab/>
      </w:r>
      <w:r>
        <w:rPr>
          <w:noProof/>
        </w:rPr>
        <w:t>i</w:t>
      </w:r>
      <w:r w:rsidRPr="00973B33">
        <w:rPr>
          <w:noProof/>
        </w:rPr>
        <w:t>n Annex II, Part 1</w:t>
      </w:r>
      <w:r>
        <w:rPr>
          <w:noProof/>
        </w:rPr>
        <w:t xml:space="preserve"> ("STATES")</w:t>
      </w:r>
      <w:r w:rsidRPr="00973B33">
        <w:rPr>
          <w:noProof/>
        </w:rPr>
        <w:t xml:space="preserve">, the following </w:t>
      </w:r>
      <w:r>
        <w:rPr>
          <w:noProof/>
        </w:rPr>
        <w:t xml:space="preserve">reference is </w:t>
      </w:r>
      <w:r w:rsidRPr="00973B33">
        <w:rPr>
          <w:noProof/>
        </w:rPr>
        <w:t>inserted:</w:t>
      </w:r>
    </w:p>
    <w:p w:rsidR="003B5C42" w:rsidRDefault="003B5C42" w:rsidP="003B5C42">
      <w:pPr>
        <w:pStyle w:val="Text1"/>
        <w:rPr>
          <w:noProof/>
        </w:rPr>
      </w:pPr>
      <w:r w:rsidRPr="00973B33">
        <w:rPr>
          <w:noProof/>
        </w:rPr>
        <w:t>"</w:t>
      </w:r>
      <w:r w:rsidR="007D7BC2">
        <w:rPr>
          <w:noProof/>
        </w:rPr>
        <w:t>Turkey</w:t>
      </w:r>
      <w:r>
        <w:rPr>
          <w:noProof/>
        </w:rPr>
        <w:t>"</w:t>
      </w:r>
      <w:r w:rsidRPr="00973B33">
        <w:rPr>
          <w:noProof/>
        </w:rPr>
        <w:t>*</w:t>
      </w:r>
    </w:p>
    <w:p w:rsidR="003B5C42" w:rsidRDefault="003B5C42" w:rsidP="003B5C42">
      <w:pPr>
        <w:pStyle w:val="Text1"/>
        <w:rPr>
          <w:noProof/>
        </w:rPr>
      </w:pPr>
      <w:r>
        <w:rPr>
          <w:noProof/>
        </w:rPr>
        <w:t>______________</w:t>
      </w:r>
    </w:p>
    <w:p w:rsidR="003B5C42" w:rsidRDefault="003B5C42" w:rsidP="007637A4">
      <w:r>
        <w:rPr>
          <w:noProof/>
        </w:rPr>
        <w:t>*</w:t>
      </w:r>
      <w:r>
        <w:rPr>
          <w:noProof/>
        </w:rPr>
        <w:tab/>
      </w:r>
      <w:r w:rsidRPr="00AE2BDC">
        <w:rPr>
          <w:noProof/>
        </w:rPr>
        <w:t xml:space="preserve">The </w:t>
      </w:r>
      <w:r w:rsidR="00C61B34">
        <w:rPr>
          <w:noProof/>
        </w:rPr>
        <w:t>exemption</w:t>
      </w:r>
      <w:r w:rsidRPr="00AE2BDC">
        <w:rPr>
          <w:noProof/>
        </w:rPr>
        <w:t xml:space="preserve"> </w:t>
      </w:r>
      <w:r w:rsidR="00C61B34">
        <w:rPr>
          <w:noProof/>
        </w:rPr>
        <w:t xml:space="preserve">from the visa requirement </w:t>
      </w:r>
      <w:r w:rsidR="00E10FA7">
        <w:rPr>
          <w:noProof/>
        </w:rPr>
        <w:t>applies only</w:t>
      </w:r>
      <w:r w:rsidRPr="00AE2BDC">
        <w:rPr>
          <w:noProof/>
        </w:rPr>
        <w:t xml:space="preserve"> to holders of biometric passports</w:t>
      </w:r>
      <w:r w:rsidR="006C4FF6">
        <w:rPr>
          <w:noProof/>
          <w:color w:val="FF0000"/>
        </w:rPr>
        <w:t xml:space="preserve"> </w:t>
      </w:r>
      <w:r w:rsidRPr="00AE2BDC">
        <w:rPr>
          <w:noProof/>
        </w:rPr>
        <w:t xml:space="preserve">issued in line with </w:t>
      </w:r>
      <w:r w:rsidR="007D7BC2">
        <w:t>Council Regulation (EC) No 2252/2004 of 13 December 2004 on standards for security features and biometrics in passports and travel documents issued by Member States, OJ L 385, 29.12.2004, p. 1</w:t>
      </w:r>
      <w:r w:rsidRPr="008F6EA2">
        <w:rPr>
          <w:noProof/>
        </w:rPr>
        <w:t>.</w:t>
      </w:r>
      <w:r w:rsidR="00987967">
        <w:rPr>
          <w:noProof/>
        </w:rPr>
        <w:t xml:space="preserve"> </w:t>
      </w:r>
      <w:r w:rsidR="00987967" w:rsidRPr="001F168B">
        <w:rPr>
          <w:noProof/>
        </w:rPr>
        <w:t>Exceptionally</w:t>
      </w:r>
      <w:r w:rsidR="00987967" w:rsidRPr="00E10FA7">
        <w:rPr>
          <w:noProof/>
        </w:rPr>
        <w:t xml:space="preserve"> </w:t>
      </w:r>
      <w:r w:rsidR="00DB7347">
        <w:rPr>
          <w:noProof/>
        </w:rPr>
        <w:t>the exemption</w:t>
      </w:r>
      <w:r w:rsidR="00987967" w:rsidRPr="00E10FA7">
        <w:rPr>
          <w:noProof/>
        </w:rPr>
        <w:t xml:space="preserve"> shall also apply </w:t>
      </w:r>
      <w:r w:rsidR="00987967" w:rsidRPr="00647B02">
        <w:rPr>
          <w:noProof/>
        </w:rPr>
        <w:t xml:space="preserve">to </w:t>
      </w:r>
      <w:r w:rsidR="00987967" w:rsidRPr="007637A4">
        <w:rPr>
          <w:noProof/>
        </w:rPr>
        <w:t>holders of biometric passports</w:t>
      </w:r>
      <w:r w:rsidR="007637A4">
        <w:rPr>
          <w:noProof/>
        </w:rPr>
        <w:t xml:space="preserve"> </w:t>
      </w:r>
      <w:r w:rsidR="00697049">
        <w:rPr>
          <w:noProof/>
        </w:rPr>
        <w:t>that include</w:t>
      </w:r>
      <w:r w:rsidR="00DB7347" w:rsidRPr="00DB7347">
        <w:rPr>
          <w:noProof/>
        </w:rPr>
        <w:t xml:space="preserve"> the</w:t>
      </w:r>
      <w:r w:rsidR="00697049">
        <w:rPr>
          <w:noProof/>
        </w:rPr>
        <w:t xml:space="preserve"> passport</w:t>
      </w:r>
      <w:r w:rsidR="00DB7347" w:rsidRPr="00DB7347">
        <w:rPr>
          <w:noProof/>
        </w:rPr>
        <w:t xml:space="preserve"> holders' fingerprints,</w:t>
      </w:r>
      <w:r w:rsidR="00DB7347">
        <w:rPr>
          <w:noProof/>
        </w:rPr>
        <w:t xml:space="preserve"> </w:t>
      </w:r>
      <w:r w:rsidR="00987967" w:rsidRPr="00E10FA7">
        <w:rPr>
          <w:noProof/>
        </w:rPr>
        <w:t>issued in line with standards of the International Civil Aviation Organisation (ICAO)</w:t>
      </w:r>
      <w:r w:rsidR="007637A4">
        <w:rPr>
          <w:noProof/>
        </w:rPr>
        <w:t>,</w:t>
      </w:r>
      <w:r w:rsidR="00697049">
        <w:rPr>
          <w:noProof/>
        </w:rPr>
        <w:t xml:space="preserve"> and</w:t>
      </w:r>
      <w:r w:rsidR="007637A4">
        <w:rPr>
          <w:noProof/>
        </w:rPr>
        <w:t xml:space="preserve"> </w:t>
      </w:r>
      <w:r w:rsidR="00987967" w:rsidRPr="00E10FA7">
        <w:rPr>
          <w:noProof/>
        </w:rPr>
        <w:t xml:space="preserve">provided that </w:t>
      </w:r>
      <w:r w:rsidR="00697049">
        <w:rPr>
          <w:noProof/>
        </w:rPr>
        <w:t xml:space="preserve">such passports </w:t>
      </w:r>
      <w:r w:rsidR="00987967" w:rsidRPr="00E10FA7">
        <w:rPr>
          <w:noProof/>
        </w:rPr>
        <w:t xml:space="preserve">were </w:t>
      </w:r>
      <w:r w:rsidR="00987967" w:rsidRPr="00D9437A">
        <w:rPr>
          <w:noProof/>
        </w:rPr>
        <w:t xml:space="preserve">issued </w:t>
      </w:r>
      <w:r w:rsidR="00050281" w:rsidRPr="00D9437A">
        <w:rPr>
          <w:noProof/>
        </w:rPr>
        <w:t xml:space="preserve">between 1 June 2016 and </w:t>
      </w:r>
      <w:r w:rsidR="00987967" w:rsidRPr="00D9437A">
        <w:rPr>
          <w:noProof/>
        </w:rPr>
        <w:t>31 December 2016.</w:t>
      </w:r>
      <w:r w:rsidR="0084489D" w:rsidRPr="00D9437A">
        <w:rPr>
          <w:noProof/>
        </w:rPr>
        <w:t xml:space="preserve"> This ex</w:t>
      </w:r>
      <w:r w:rsidR="00717271">
        <w:rPr>
          <w:noProof/>
        </w:rPr>
        <w:t>c</w:t>
      </w:r>
      <w:r w:rsidR="0084489D" w:rsidRPr="00D9437A">
        <w:rPr>
          <w:noProof/>
        </w:rPr>
        <w:t xml:space="preserve">eption </w:t>
      </w:r>
      <w:r w:rsidR="00717271">
        <w:rPr>
          <w:noProof/>
        </w:rPr>
        <w:t>sha</w:t>
      </w:r>
      <w:r w:rsidR="00717271" w:rsidRPr="00D9437A">
        <w:rPr>
          <w:noProof/>
        </w:rPr>
        <w:t xml:space="preserve">ll </w:t>
      </w:r>
      <w:r w:rsidR="0084489D" w:rsidRPr="00D9437A">
        <w:rPr>
          <w:noProof/>
        </w:rPr>
        <w:t>expire on 31 December 2017.</w:t>
      </w:r>
    </w:p>
    <w:p w:rsidR="003B5C42" w:rsidRPr="00F96E01" w:rsidRDefault="003B5C42" w:rsidP="00DE46FA">
      <w:pPr>
        <w:pStyle w:val="Titrearticle"/>
      </w:pPr>
      <w:r w:rsidRPr="00F96E01">
        <w:lastRenderedPageBreak/>
        <w:t>Article</w:t>
      </w:r>
      <w:r>
        <w:t xml:space="preserve"> 2</w:t>
      </w:r>
    </w:p>
    <w:p w:rsidR="003B5C42" w:rsidRPr="00F96E01" w:rsidRDefault="003B5C42" w:rsidP="00DE46FA">
      <w:r w:rsidRPr="00F96E01">
        <w:t>This Regulatio</w:t>
      </w:r>
      <w:r w:rsidR="002C1F35">
        <w:t xml:space="preserve">n shall enter into force on the </w:t>
      </w:r>
      <w:r w:rsidRPr="00F96E01">
        <w:t xml:space="preserve">day following that of its publication in the </w:t>
      </w:r>
      <w:r w:rsidRPr="00F96E01">
        <w:rPr>
          <w:i/>
        </w:rPr>
        <w:t>Official Journal of the European Union</w:t>
      </w:r>
      <w:r w:rsidRPr="00F96E01">
        <w:t>.</w:t>
      </w:r>
    </w:p>
    <w:p w:rsidR="003B5C42" w:rsidRDefault="003B5C42" w:rsidP="00DE46FA">
      <w:pPr>
        <w:pStyle w:val="Applicationdirecte"/>
      </w:pPr>
      <w:r w:rsidRPr="00F96E01">
        <w:t>This Regulation shall be binding in its entirety and directly applicable in the Member States in accordance with the Treaties.</w:t>
      </w:r>
    </w:p>
    <w:p w:rsidR="003B5C42" w:rsidRDefault="00221B07" w:rsidP="00221B07">
      <w:pPr>
        <w:pStyle w:val="Fait"/>
      </w:pPr>
      <w:r w:rsidRPr="00221B07">
        <w:t>Done at Brussels,</w:t>
      </w:r>
    </w:p>
    <w:p w:rsidR="003B5C42" w:rsidRDefault="003B5C42" w:rsidP="003B5C42">
      <w:pPr>
        <w:pStyle w:val="Institutionquisigne"/>
      </w:pPr>
      <w:r w:rsidRPr="003B5C42">
        <w:t>For the European Parliament</w:t>
      </w:r>
      <w:r w:rsidRPr="003B5C42">
        <w:tab/>
        <w:t>For the Council</w:t>
      </w:r>
    </w:p>
    <w:p w:rsidR="003B5C42" w:rsidRPr="003B5C42" w:rsidRDefault="003B5C42" w:rsidP="003B5C42">
      <w:pPr>
        <w:pStyle w:val="Personnequisigne"/>
      </w:pPr>
      <w:r w:rsidRPr="003B5C42">
        <w:t>The President</w:t>
      </w:r>
      <w:r w:rsidRPr="003B5C42">
        <w:tab/>
        <w:t>The President</w:t>
      </w:r>
    </w:p>
    <w:sectPr w:rsidR="003B5C42" w:rsidRPr="003B5C42" w:rsidSect="00221B0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EC" w:rsidRDefault="008F7FEC" w:rsidP="003B5C42">
      <w:pPr>
        <w:spacing w:before="0" w:after="0"/>
      </w:pPr>
      <w:r>
        <w:separator/>
      </w:r>
    </w:p>
  </w:endnote>
  <w:endnote w:type="continuationSeparator" w:id="0">
    <w:p w:rsidR="008F7FEC" w:rsidRDefault="008F7FEC" w:rsidP="003B5C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3A" w:rsidRPr="00221B07" w:rsidRDefault="00221B07" w:rsidP="00221B07">
    <w:pPr>
      <w:pStyle w:val="Footer"/>
      <w:rPr>
        <w:rFonts w:ascii="Arial" w:hAnsi="Arial" w:cs="Arial"/>
        <w:b/>
        <w:sz w:val="48"/>
      </w:rPr>
    </w:pPr>
    <w:r w:rsidRPr="00221B07">
      <w:rPr>
        <w:rFonts w:ascii="Arial" w:hAnsi="Arial" w:cs="Arial"/>
        <w:b/>
        <w:sz w:val="48"/>
      </w:rPr>
      <w:t>EN</w:t>
    </w:r>
    <w:r w:rsidRPr="00221B07">
      <w:rPr>
        <w:rFonts w:ascii="Arial" w:hAnsi="Arial" w:cs="Arial"/>
        <w:b/>
        <w:sz w:val="48"/>
      </w:rPr>
      <w:tab/>
    </w:r>
    <w:r w:rsidRPr="00221B07">
      <w:rPr>
        <w:rFonts w:ascii="Arial" w:hAnsi="Arial" w:cs="Arial"/>
        <w:b/>
        <w:sz w:val="48"/>
      </w:rPr>
      <w:tab/>
    </w:r>
    <w:fldSimple w:instr=" DOCVARIABLE &quot;LW_Confidence&quot; \* MERGEFORMAT ">
      <w:r>
        <w:t xml:space="preserve"> </w:t>
      </w:r>
    </w:fldSimple>
    <w:r w:rsidRPr="00221B07">
      <w:tab/>
    </w:r>
    <w:r w:rsidRPr="00221B07">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07" w:rsidRPr="00221B07" w:rsidRDefault="00221B07" w:rsidP="00221B07">
    <w:pPr>
      <w:pStyle w:val="Footer"/>
      <w:rPr>
        <w:rFonts w:ascii="Arial" w:hAnsi="Arial" w:cs="Arial"/>
        <w:b/>
        <w:sz w:val="48"/>
      </w:rPr>
    </w:pPr>
    <w:r w:rsidRPr="00221B07">
      <w:rPr>
        <w:rFonts w:ascii="Arial" w:hAnsi="Arial" w:cs="Arial"/>
        <w:b/>
        <w:sz w:val="48"/>
      </w:rPr>
      <w:t>EN</w:t>
    </w:r>
    <w:r w:rsidRPr="00221B07">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221B07">
      <w:tab/>
    </w:r>
    <w:r w:rsidRPr="00221B0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B07" w:rsidRPr="00221B07" w:rsidRDefault="00221B07" w:rsidP="00221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EC" w:rsidRDefault="008F7FEC" w:rsidP="003B5C42">
      <w:pPr>
        <w:spacing w:before="0" w:after="0"/>
      </w:pPr>
      <w:r>
        <w:separator/>
      </w:r>
    </w:p>
  </w:footnote>
  <w:footnote w:type="continuationSeparator" w:id="0">
    <w:p w:rsidR="008F7FEC" w:rsidRDefault="008F7FEC" w:rsidP="003B5C42">
      <w:pPr>
        <w:spacing w:before="0" w:after="0"/>
      </w:pPr>
      <w:r>
        <w:continuationSeparator/>
      </w:r>
    </w:p>
  </w:footnote>
  <w:footnote w:id="1">
    <w:p w:rsidR="004558B6" w:rsidRPr="00195956" w:rsidRDefault="004558B6" w:rsidP="00B7620A">
      <w:pPr>
        <w:pStyle w:val="FootnoteText"/>
      </w:pPr>
      <w:r w:rsidRPr="00195956">
        <w:rPr>
          <w:rStyle w:val="FootnoteReference"/>
        </w:rPr>
        <w:footnoteRef/>
      </w:r>
      <w:r w:rsidRPr="00195956">
        <w:tab/>
        <w:t>Council Regulation (EC) No 539/2001 of 15 March 2001 listing the third countries whose nationals must be in possession of visas when crossing the external borders and those whose nationals are exempt from that requirement, OJ L 81, 21.03.2001, p. 1</w:t>
      </w:r>
      <w:r w:rsidR="002068DC">
        <w:t>.</w:t>
      </w:r>
    </w:p>
  </w:footnote>
  <w:footnote w:id="2">
    <w:p w:rsidR="004558B6" w:rsidRPr="00E067CD" w:rsidRDefault="004558B6" w:rsidP="001B6C2F">
      <w:pPr>
        <w:pStyle w:val="FootnoteText"/>
      </w:pPr>
      <w:r>
        <w:rPr>
          <w:rStyle w:val="FootnoteReference"/>
        </w:rPr>
        <w:footnoteRef/>
      </w:r>
      <w:r w:rsidRPr="00E067CD">
        <w:tab/>
        <w:t>COM(2014) 646 final.</w:t>
      </w:r>
    </w:p>
  </w:footnote>
  <w:footnote w:id="3">
    <w:p w:rsidR="004558B6" w:rsidRPr="0004124F" w:rsidRDefault="004558B6" w:rsidP="00B955A0">
      <w:pPr>
        <w:pStyle w:val="FootnoteText"/>
      </w:pPr>
      <w:r w:rsidRPr="00A10D7A">
        <w:rPr>
          <w:rStyle w:val="FootnoteReference"/>
        </w:rPr>
        <w:footnoteRef/>
      </w:r>
      <w:r>
        <w:tab/>
        <w:t>S</w:t>
      </w:r>
      <w:r w:rsidRPr="0067575F">
        <w:t xml:space="preserve">tatement adopted at the </w:t>
      </w:r>
      <w:r w:rsidRPr="0067575F">
        <w:rPr>
          <w:lang w:val="en"/>
        </w:rPr>
        <w:t>Meeting of EU heads of state or government with Turkey</w:t>
      </w:r>
      <w:r>
        <w:rPr>
          <w:lang w:val="en"/>
        </w:rPr>
        <w:t>:</w:t>
      </w:r>
      <w:r w:rsidRPr="0067575F">
        <w:t xml:space="preserve">  http://www.consilium.europa.eu/en/press/press-releases/2015/11/29-eu-turkey-meeting-statement/</w:t>
      </w:r>
    </w:p>
  </w:footnote>
  <w:footnote w:id="4">
    <w:p w:rsidR="004558B6" w:rsidRPr="00E067CD" w:rsidRDefault="004558B6" w:rsidP="001B6C2F">
      <w:pPr>
        <w:pStyle w:val="FootnoteText"/>
      </w:pPr>
      <w:r>
        <w:rPr>
          <w:rStyle w:val="FootnoteReference"/>
        </w:rPr>
        <w:footnoteRef/>
      </w:r>
      <w:r w:rsidRPr="00E067CD">
        <w:tab/>
        <w:t>COM(2016) 140 final.</w:t>
      </w:r>
    </w:p>
  </w:footnote>
  <w:footnote w:id="5">
    <w:p w:rsidR="004558B6" w:rsidRPr="00007AE2" w:rsidRDefault="004558B6">
      <w:pPr>
        <w:pStyle w:val="FootnoteText"/>
      </w:pPr>
      <w:r w:rsidRPr="00EB7C14">
        <w:rPr>
          <w:rStyle w:val="FootnoteReference"/>
        </w:rPr>
        <w:footnoteRef/>
      </w:r>
      <w:r w:rsidR="00EB7C14">
        <w:tab/>
      </w:r>
      <w:r w:rsidR="00717271">
        <w:t>S</w:t>
      </w:r>
      <w:r w:rsidRPr="0067575F">
        <w:t xml:space="preserve">tatement adopted at the </w:t>
      </w:r>
      <w:r w:rsidRPr="0067575F">
        <w:rPr>
          <w:lang w:val="en"/>
        </w:rPr>
        <w:t>Meeting of EU heads of state or government with Turkey</w:t>
      </w:r>
      <w:r w:rsidR="00717271">
        <w:t>:</w:t>
      </w:r>
      <w:r w:rsidR="00717271" w:rsidRPr="0067575F">
        <w:t xml:space="preserve"> </w:t>
      </w:r>
      <w:r w:rsidRPr="006764A0">
        <w:t>http://www.consilium.europa.eu/en/press/press-releases/2016/03/18-eu-turkey-statement/</w:t>
      </w:r>
      <w:r>
        <w:t>.</w:t>
      </w:r>
    </w:p>
  </w:footnote>
  <w:footnote w:id="6">
    <w:p w:rsidR="004558B6" w:rsidRPr="00E067CD" w:rsidRDefault="004558B6" w:rsidP="00C94A60">
      <w:pPr>
        <w:pStyle w:val="FootnoteText"/>
      </w:pPr>
      <w:r w:rsidRPr="00A10D7A">
        <w:rPr>
          <w:rStyle w:val="FootnoteReference"/>
        </w:rPr>
        <w:footnoteRef/>
      </w:r>
      <w:r>
        <w:tab/>
      </w:r>
      <w:r w:rsidRPr="00BD133A">
        <w:t>COM(2016)</w:t>
      </w:r>
      <w:r w:rsidR="00BD133A" w:rsidRPr="00E04D79">
        <w:t xml:space="preserve"> 278.</w:t>
      </w:r>
    </w:p>
  </w:footnote>
  <w:footnote w:id="7">
    <w:p w:rsidR="004558B6" w:rsidRPr="005C6BB8" w:rsidRDefault="004558B6" w:rsidP="003B5C42">
      <w:pPr>
        <w:pStyle w:val="FootnoteText"/>
      </w:pPr>
      <w:r>
        <w:rPr>
          <w:rStyle w:val="FootnoteReference"/>
        </w:rPr>
        <w:footnoteRef/>
      </w:r>
      <w:r w:rsidRPr="005C6BB8">
        <w:tab/>
      </w:r>
      <w:r>
        <w:t>Regulation (EU) No 259/2014 of the European Parliament and of the Council of 3 April 2014 amending Council Regulation (EC) No 539/2001 listing the third countries whose nationals must be in possession of visas when crossing the external borders and those whose nationals are exempt from that requirement, OJ L 105, 8.4.2014, p. 9</w:t>
      </w:r>
      <w:r w:rsidR="002068DC">
        <w:t>.</w:t>
      </w:r>
    </w:p>
  </w:footnote>
  <w:footnote w:id="8">
    <w:p w:rsidR="004558B6" w:rsidRPr="005C6BB8" w:rsidRDefault="004558B6" w:rsidP="003B5C42">
      <w:pPr>
        <w:pStyle w:val="FootnoteText"/>
      </w:pPr>
      <w:r>
        <w:rPr>
          <w:rStyle w:val="FootnoteReference"/>
        </w:rPr>
        <w:footnoteRef/>
      </w:r>
      <w:r w:rsidRPr="005C6BB8">
        <w:tab/>
      </w:r>
      <w:r>
        <w:t>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 OJ L 149, 20.5.2014, p. 67</w:t>
      </w:r>
      <w:r w:rsidR="002068DC">
        <w:t>.</w:t>
      </w:r>
    </w:p>
  </w:footnote>
  <w:footnote w:id="9">
    <w:p w:rsidR="004558B6" w:rsidRPr="00C75D8C" w:rsidRDefault="004558B6" w:rsidP="003B5C42">
      <w:pPr>
        <w:pStyle w:val="FootnoteText"/>
      </w:pPr>
      <w:r>
        <w:rPr>
          <w:rStyle w:val="FootnoteReference"/>
        </w:rPr>
        <w:footnoteRef/>
      </w:r>
      <w:r w:rsidRPr="00C75D8C">
        <w:tab/>
        <w:t>Dominica, Grenada, Saint Lucia, Saint Vincent and the Grenad</w:t>
      </w:r>
      <w:r>
        <w:t>ines, Trinidad and Tobago.</w:t>
      </w:r>
    </w:p>
  </w:footnote>
  <w:footnote w:id="10">
    <w:p w:rsidR="004558B6" w:rsidRPr="00C75D8C" w:rsidRDefault="004558B6" w:rsidP="003B5C42">
      <w:pPr>
        <w:pStyle w:val="FootnoteText"/>
      </w:pPr>
      <w:r>
        <w:rPr>
          <w:rStyle w:val="FootnoteReference"/>
        </w:rPr>
        <w:footnoteRef/>
      </w:r>
      <w:r w:rsidRPr="00C75D8C">
        <w:tab/>
        <w:t>Kiribati, Marshall Islands, Micronesia, Nauru, Palau, Samoa, Solomon Islands, Timor-Leste, Tonga, Tuvalu, Vanuatu.</w:t>
      </w:r>
    </w:p>
  </w:footnote>
  <w:footnote w:id="11">
    <w:p w:rsidR="004558B6" w:rsidRPr="00B54809" w:rsidRDefault="004558B6">
      <w:pPr>
        <w:pStyle w:val="FootnoteText"/>
      </w:pPr>
      <w:r>
        <w:rPr>
          <w:rStyle w:val="FootnoteReference"/>
        </w:rPr>
        <w:footnoteRef/>
      </w:r>
      <w:r w:rsidRPr="00B54809">
        <w:tab/>
        <w:t>COM(2016) 142 final</w:t>
      </w:r>
      <w:r w:rsidR="002068DC">
        <w:t>.</w:t>
      </w:r>
    </w:p>
  </w:footnote>
  <w:footnote w:id="12">
    <w:p w:rsidR="004558B6" w:rsidRDefault="004558B6" w:rsidP="0050744F">
      <w:pPr>
        <w:pStyle w:val="FootnoteText"/>
      </w:pPr>
      <w:r w:rsidRPr="00A10D7A">
        <w:rPr>
          <w:rStyle w:val="FootnoteReference"/>
        </w:rPr>
        <w:footnoteRef/>
      </w:r>
      <w:r>
        <w:tab/>
        <w:t>COM(2016) 236 final</w:t>
      </w:r>
      <w:r w:rsidR="002068DC">
        <w:t>.</w:t>
      </w:r>
    </w:p>
  </w:footnote>
  <w:footnote w:id="13">
    <w:p w:rsidR="004558B6" w:rsidRDefault="004558B6" w:rsidP="003B5C42">
      <w:pPr>
        <w:pStyle w:val="FootnoteText"/>
      </w:pPr>
      <w:r w:rsidRPr="00F067CB">
        <w:rPr>
          <w:rStyle w:val="FootnoteReference"/>
        </w:rPr>
        <w:footnoteRef/>
      </w:r>
      <w:r>
        <w:tab/>
      </w:r>
      <w:r w:rsidRPr="00195956">
        <w:t>Council Regulation (EC) No 539/2001 of 15 March 2001 listing the third countries whose nationals must be in possession of visas when crossing the external borders and those whose nationals are exempt from that requirement</w:t>
      </w:r>
      <w:r w:rsidR="002068DC">
        <w:t>.</w:t>
      </w:r>
    </w:p>
  </w:footnote>
  <w:footnote w:id="14">
    <w:p w:rsidR="004558B6" w:rsidRPr="004C18C3" w:rsidRDefault="004558B6">
      <w:pPr>
        <w:pStyle w:val="FootnoteText"/>
      </w:pPr>
      <w:r>
        <w:rPr>
          <w:rStyle w:val="FootnoteReference"/>
        </w:rPr>
        <w:footnoteRef/>
      </w:r>
      <w:r w:rsidRPr="004C18C3">
        <w:tab/>
        <w:t xml:space="preserve">Proposal for a Regulation of the </w:t>
      </w:r>
      <w:r>
        <w:t xml:space="preserve">European Parliament and of the Council </w:t>
      </w:r>
      <w:r w:rsidRPr="004C18C3">
        <w:t>establishing an Entry/Exit System (EES) to register entry and exit data and refusal of entry data of third country nationals crossing the external borders of the Member States of the European Union</w:t>
      </w:r>
      <w:r>
        <w:t xml:space="preserve"> and determining the conditions for access to the EES for law enforcement purposes,</w:t>
      </w:r>
      <w:r w:rsidRPr="004C18C3">
        <w:t xml:space="preserve"> COM(2016) </w:t>
      </w:r>
      <w:r>
        <w:t>194 final</w:t>
      </w:r>
      <w:r w:rsidR="002068DC">
        <w:t>.</w:t>
      </w:r>
    </w:p>
  </w:footnote>
  <w:footnote w:id="15">
    <w:p w:rsidR="004558B6" w:rsidRPr="004C18C3" w:rsidRDefault="004558B6">
      <w:pPr>
        <w:pStyle w:val="FootnoteText"/>
      </w:pPr>
      <w:r>
        <w:rPr>
          <w:rStyle w:val="FootnoteReference"/>
        </w:rPr>
        <w:footnoteRef/>
      </w:r>
      <w:r w:rsidRPr="004C18C3">
        <w:tab/>
        <w:t>Communication</w:t>
      </w:r>
      <w:r>
        <w:t xml:space="preserve"> from the Commission to the European Parliament and Council, "</w:t>
      </w:r>
      <w:r w:rsidRPr="004C18C3">
        <w:t>Stronger and Smarter Information S</w:t>
      </w:r>
      <w:r>
        <w:t xml:space="preserve">ystems for Borders and Security", </w:t>
      </w:r>
      <w:r w:rsidRPr="004C18C3">
        <w:t xml:space="preserve">COM(2016) </w:t>
      </w:r>
      <w:r>
        <w:t>205 final</w:t>
      </w:r>
      <w:r w:rsidR="002068DC">
        <w:t>.</w:t>
      </w:r>
    </w:p>
  </w:footnote>
  <w:footnote w:id="16">
    <w:p w:rsidR="004558B6" w:rsidRPr="005379C3" w:rsidRDefault="004558B6">
      <w:pPr>
        <w:pStyle w:val="FootnoteText"/>
      </w:pPr>
      <w:r>
        <w:rPr>
          <w:rStyle w:val="FootnoteReference"/>
        </w:rPr>
        <w:footnoteRef/>
      </w:r>
      <w:r w:rsidRPr="005379C3">
        <w:tab/>
      </w:r>
      <w:r w:rsidRPr="001F031B">
        <w:t>SWD (2016) 97</w:t>
      </w:r>
      <w:r w:rsidR="002068DC">
        <w:t>.</w:t>
      </w:r>
    </w:p>
  </w:footnote>
  <w:footnote w:id="17">
    <w:p w:rsidR="004558B6" w:rsidRPr="005379C3" w:rsidRDefault="004558B6">
      <w:pPr>
        <w:pStyle w:val="FootnoteText"/>
      </w:pPr>
      <w:r>
        <w:rPr>
          <w:rStyle w:val="FootnoteReference"/>
        </w:rPr>
        <w:footnoteRef/>
      </w:r>
      <w:r w:rsidRPr="005379C3">
        <w:tab/>
      </w:r>
      <w:r w:rsidRPr="00BD133A">
        <w:t xml:space="preserve">SWD (2016) </w:t>
      </w:r>
      <w:r w:rsidR="00BD133A" w:rsidRPr="00BD133A">
        <w:t>161</w:t>
      </w:r>
      <w:r w:rsidR="00BD133A">
        <w:t>.</w:t>
      </w:r>
    </w:p>
  </w:footnote>
  <w:footnote w:id="18">
    <w:p w:rsidR="004558B6" w:rsidRPr="00195956" w:rsidRDefault="004558B6" w:rsidP="003B5C42">
      <w:pPr>
        <w:pStyle w:val="FootnoteText"/>
      </w:pPr>
      <w:r w:rsidRPr="00195956">
        <w:rPr>
          <w:rStyle w:val="FootnoteReference"/>
        </w:rPr>
        <w:footnoteRef/>
      </w:r>
      <w:r w:rsidRPr="00195956">
        <w:tab/>
        <w:t>Council Regulation (EC) No 539/2001 of 15 March 2001 listing the third countries whose nationals must be in possession of visas when crossing the external borders and those whose nationals are exempt from that requirement, OJ L 81, 21.03.2001, p. 1</w:t>
      </w:r>
      <w:r w:rsidR="002068DC">
        <w:t>.</w:t>
      </w:r>
    </w:p>
  </w:footnote>
  <w:footnote w:id="19">
    <w:p w:rsidR="004558B6" w:rsidRPr="00842C28" w:rsidRDefault="004558B6" w:rsidP="007D7BC2">
      <w:pPr>
        <w:pStyle w:val="FootnoteText"/>
      </w:pPr>
      <w:r>
        <w:rPr>
          <w:rStyle w:val="FootnoteReference"/>
        </w:rPr>
        <w:footnoteRef/>
      </w:r>
      <w:r w:rsidRPr="00842C28">
        <w:tab/>
      </w:r>
      <w:r>
        <w:t>Council Regulation (EC) No 2252/2004 of 13 December 2004 on standards for security features and biometrics in passports and travel documents issued by Member States, OJ L 385, 29.12.2004, p. 1.</w:t>
      </w:r>
    </w:p>
  </w:footnote>
  <w:footnote w:id="20">
    <w:p w:rsidR="004558B6" w:rsidRDefault="004558B6" w:rsidP="003B5C42">
      <w:pPr>
        <w:pStyle w:val="FootnoteText"/>
      </w:pPr>
      <w:r>
        <w:rPr>
          <w:rStyle w:val="FootnoteReference"/>
        </w:rPr>
        <w:footnoteRef/>
      </w:r>
      <w:r>
        <w:tab/>
      </w:r>
      <w:r>
        <w:rPr>
          <w:lang w:val="sk-SK"/>
        </w:rPr>
        <w:t>Council Decision 2000/365/EC of 29 May 2000 concerning the request of the United Kingdom of Great Britain and Northern Ireland to take part in some of the provisions of the Schengen acquis, OJ L 131, 1.6.2000, p. 43</w:t>
      </w:r>
      <w:r w:rsidR="002068DC">
        <w:rPr>
          <w:lang w:val="sk-SK"/>
        </w:rPr>
        <w:t>.</w:t>
      </w:r>
    </w:p>
  </w:footnote>
  <w:footnote w:id="21">
    <w:p w:rsidR="004558B6" w:rsidRDefault="004558B6" w:rsidP="003B5C42">
      <w:pPr>
        <w:pStyle w:val="FootnoteText"/>
      </w:pPr>
      <w:r>
        <w:rPr>
          <w:rStyle w:val="FootnoteReference"/>
        </w:rPr>
        <w:footnoteRef/>
      </w:r>
      <w:r>
        <w:tab/>
        <w:t>Council Decision 2002/192/EC of 28 February 2002 concerning Ireland’s request to take part in some of the provisions of the Schengen acquis, OJ L 64, 7.3.2002, p. 20</w:t>
      </w:r>
      <w:r w:rsidR="002068DC">
        <w:t>.</w:t>
      </w:r>
    </w:p>
  </w:footnote>
  <w:footnote w:id="22">
    <w:p w:rsidR="004558B6" w:rsidRDefault="004558B6" w:rsidP="003B5C42">
      <w:pPr>
        <w:pStyle w:val="FootnoteText"/>
        <w:rPr>
          <w:lang w:val="sk-SK"/>
        </w:rPr>
      </w:pPr>
      <w:r>
        <w:rPr>
          <w:rStyle w:val="FootnoteReference"/>
        </w:rPr>
        <w:footnoteRef/>
      </w:r>
      <w:r>
        <w:tab/>
      </w:r>
      <w:r>
        <w:rPr>
          <w:lang w:eastAsia="sk-SK"/>
        </w:rPr>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r w:rsidR="002068DC">
        <w:rPr>
          <w:lang w:eastAsia="sk-SK"/>
        </w:rPr>
        <w:t>.</w:t>
      </w:r>
    </w:p>
  </w:footnote>
  <w:footnote w:id="23">
    <w:p w:rsidR="004558B6" w:rsidRDefault="004558B6" w:rsidP="003B5C42">
      <w:pPr>
        <w:pStyle w:val="FootnoteText"/>
        <w:rPr>
          <w:lang w:val="sk-SK"/>
        </w:rPr>
      </w:pPr>
      <w:r>
        <w:rPr>
          <w:rStyle w:val="FootnoteReference"/>
        </w:rPr>
        <w:footnoteRef/>
      </w:r>
      <w:r>
        <w:tab/>
      </w:r>
      <w:r>
        <w:rPr>
          <w:lang w:val="sk-SK"/>
        </w:rPr>
        <w:t>Council Decision 2008/146/EC of 28 January 2008 on the conclusion, on behalf of the European Community, of the Agreement between the European Union, the European Community and the Swiss Confederation on the Swiss Confederation's association with the implementation, application and development of the Schengen acquis, OJ L 53, 27.2.2008, p. 1</w:t>
      </w:r>
      <w:r w:rsidR="002068DC">
        <w:rPr>
          <w:lang w:val="sk-SK"/>
        </w:rPr>
        <w:t>.</w:t>
      </w:r>
    </w:p>
  </w:footnote>
  <w:footnote w:id="24">
    <w:p w:rsidR="004558B6" w:rsidRDefault="004558B6" w:rsidP="003B5C42">
      <w:pPr>
        <w:pStyle w:val="FootnoteText"/>
        <w:rPr>
          <w:lang w:val="sk-SK"/>
        </w:rPr>
      </w:pPr>
      <w:r>
        <w:rPr>
          <w:rStyle w:val="FootnoteReference"/>
        </w:rPr>
        <w:footnoteRef/>
      </w:r>
      <w:r>
        <w:tab/>
      </w:r>
      <w:r>
        <w:rPr>
          <w:lang w:val="sk-SK"/>
        </w:rPr>
        <w:t xml:space="preserve">Council Decision </w:t>
      </w:r>
      <w:r>
        <w:rPr>
          <w:lang w:eastAsia="sk-SK"/>
        </w:rPr>
        <w:t xml:space="preserve">2011/350/EU </w:t>
      </w:r>
      <w:r>
        <w:rPr>
          <w:lang w:val="sk-SK"/>
        </w:rPr>
        <w:t>of 7 March 2011 on the conclusion, on behalf of the European Union, of the Protocol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acquis, relating to the abolition of checks at internal borders and movement of persons, OJ L 160, 18.6.2011, p. 19</w:t>
      </w:r>
      <w:r w:rsidR="002068DC">
        <w:rPr>
          <w:lang w:val="sk-S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3 23:49: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5252A7E22BF945479F233E66DFB79783"/>
    <w:docVar w:name="LW_CROSSREFERENCE" w:val="&lt;UNUSED&gt;"/>
    <w:docVar w:name="LW_DocType" w:val="COM"/>
    <w:docVar w:name="LW_EMISSION" w:val="4.5.2016"/>
    <w:docVar w:name="LW_EMISSION_ISODATE" w:val="2016-05-0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141"/>
    <w:docVar w:name="LW_REF.II.NEW.CP_YEAR" w:val="2016"/>
    <w:docVar w:name="LW_REF.INST.NEW" w:val="COM"/>
    <w:docVar w:name="LW_REF.INST.NEW_ADOPTED" w:val="&lt;EMPTY&gt;"/>
    <w:docVar w:name="LW_REF.INST.NEW_TEXT" w:val="(2016) 279 final"/>
    <w:docVar w:name="LW_REF.INTERNE" w:val="&lt;UNUSED&gt;"/>
    <w:docVar w:name="LW_SOUS.TITRE.OBJ.CP" w:val="(Turkey)"/>
    <w:docVar w:name="LW_STATUT.CP" w:val="Proposal for a"/>
    <w:docVar w:name="LW_SUPERTITRE" w:val="&lt;UNUSED&gt;"/>
    <w:docVar w:name="LW_TITRE.OBJ.CP" w:val="amending Regulation (EC) No 539/2001 listing the third countries whose nationals must be in possession of visas when crossing the external borders and those whose nationals are exempt from that requirement"/>
    <w:docVar w:name="LW_TYPE.DOC.CP" w:val="REGULATION OF THE EUROPEAN PARLIAMENT AND OF THE COUNCIL"/>
  </w:docVars>
  <w:rsids>
    <w:rsidRoot w:val="003B5C42"/>
    <w:rsid w:val="00003DC9"/>
    <w:rsid w:val="00004828"/>
    <w:rsid w:val="00007AE2"/>
    <w:rsid w:val="00011D95"/>
    <w:rsid w:val="00021BAA"/>
    <w:rsid w:val="00026C65"/>
    <w:rsid w:val="00050281"/>
    <w:rsid w:val="0005129E"/>
    <w:rsid w:val="00076AC1"/>
    <w:rsid w:val="000819EE"/>
    <w:rsid w:val="000827F4"/>
    <w:rsid w:val="0009518B"/>
    <w:rsid w:val="00095344"/>
    <w:rsid w:val="000A042D"/>
    <w:rsid w:val="000A69FC"/>
    <w:rsid w:val="000A6BA1"/>
    <w:rsid w:val="000C26D6"/>
    <w:rsid w:val="000C2C20"/>
    <w:rsid w:val="000C4FF9"/>
    <w:rsid w:val="000C7485"/>
    <w:rsid w:val="000D3B63"/>
    <w:rsid w:val="000D3B73"/>
    <w:rsid w:val="000E13C6"/>
    <w:rsid w:val="000E1E99"/>
    <w:rsid w:val="00103F22"/>
    <w:rsid w:val="00111003"/>
    <w:rsid w:val="00133160"/>
    <w:rsid w:val="00136CA1"/>
    <w:rsid w:val="0014651A"/>
    <w:rsid w:val="001674E9"/>
    <w:rsid w:val="00171635"/>
    <w:rsid w:val="00182B95"/>
    <w:rsid w:val="001847BF"/>
    <w:rsid w:val="00185573"/>
    <w:rsid w:val="0019626C"/>
    <w:rsid w:val="001B181A"/>
    <w:rsid w:val="001B46CA"/>
    <w:rsid w:val="001B6C2F"/>
    <w:rsid w:val="001C5A8C"/>
    <w:rsid w:val="001E710D"/>
    <w:rsid w:val="001F168B"/>
    <w:rsid w:val="001F6DA2"/>
    <w:rsid w:val="002068DC"/>
    <w:rsid w:val="00213FEB"/>
    <w:rsid w:val="00221B07"/>
    <w:rsid w:val="00226F0B"/>
    <w:rsid w:val="00230DA5"/>
    <w:rsid w:val="00261A29"/>
    <w:rsid w:val="00267FAA"/>
    <w:rsid w:val="00270F6B"/>
    <w:rsid w:val="00281E48"/>
    <w:rsid w:val="00290720"/>
    <w:rsid w:val="0029379D"/>
    <w:rsid w:val="002A1FB3"/>
    <w:rsid w:val="002A5764"/>
    <w:rsid w:val="002B6ABD"/>
    <w:rsid w:val="002C1976"/>
    <w:rsid w:val="002C1F35"/>
    <w:rsid w:val="002D3F0E"/>
    <w:rsid w:val="002E4854"/>
    <w:rsid w:val="002F10FD"/>
    <w:rsid w:val="002F55C5"/>
    <w:rsid w:val="00316B52"/>
    <w:rsid w:val="0032113D"/>
    <w:rsid w:val="00335A55"/>
    <w:rsid w:val="0034445E"/>
    <w:rsid w:val="00346462"/>
    <w:rsid w:val="003631C3"/>
    <w:rsid w:val="00363C1A"/>
    <w:rsid w:val="00375227"/>
    <w:rsid w:val="00384CD1"/>
    <w:rsid w:val="00390DD2"/>
    <w:rsid w:val="0039203A"/>
    <w:rsid w:val="00394136"/>
    <w:rsid w:val="003A37BF"/>
    <w:rsid w:val="003A5FED"/>
    <w:rsid w:val="003B54B3"/>
    <w:rsid w:val="003B5C42"/>
    <w:rsid w:val="003C09FC"/>
    <w:rsid w:val="003C3109"/>
    <w:rsid w:val="003C33DE"/>
    <w:rsid w:val="003C48CB"/>
    <w:rsid w:val="003D04B2"/>
    <w:rsid w:val="003E7F11"/>
    <w:rsid w:val="003F0B8C"/>
    <w:rsid w:val="003F133F"/>
    <w:rsid w:val="003F300D"/>
    <w:rsid w:val="0040521B"/>
    <w:rsid w:val="00405D4A"/>
    <w:rsid w:val="00407E9B"/>
    <w:rsid w:val="00410CDF"/>
    <w:rsid w:val="00411E21"/>
    <w:rsid w:val="0041654E"/>
    <w:rsid w:val="00453028"/>
    <w:rsid w:val="004558B6"/>
    <w:rsid w:val="00460C9F"/>
    <w:rsid w:val="00484525"/>
    <w:rsid w:val="004B29FE"/>
    <w:rsid w:val="004B2C4E"/>
    <w:rsid w:val="004C18C3"/>
    <w:rsid w:val="004D0654"/>
    <w:rsid w:val="004D2DD2"/>
    <w:rsid w:val="004D4639"/>
    <w:rsid w:val="004D5FC3"/>
    <w:rsid w:val="004E394F"/>
    <w:rsid w:val="004F3D30"/>
    <w:rsid w:val="0050744F"/>
    <w:rsid w:val="005215B9"/>
    <w:rsid w:val="005250F8"/>
    <w:rsid w:val="005379C3"/>
    <w:rsid w:val="005417BA"/>
    <w:rsid w:val="00542C0E"/>
    <w:rsid w:val="00545A99"/>
    <w:rsid w:val="00565C85"/>
    <w:rsid w:val="00566BB1"/>
    <w:rsid w:val="005812D9"/>
    <w:rsid w:val="005832C9"/>
    <w:rsid w:val="00586E73"/>
    <w:rsid w:val="005871A6"/>
    <w:rsid w:val="005A503A"/>
    <w:rsid w:val="005B075B"/>
    <w:rsid w:val="005B0B39"/>
    <w:rsid w:val="005B33C9"/>
    <w:rsid w:val="005B7B8F"/>
    <w:rsid w:val="005C015C"/>
    <w:rsid w:val="005C0AF2"/>
    <w:rsid w:val="005C29AB"/>
    <w:rsid w:val="005D33B2"/>
    <w:rsid w:val="0060179E"/>
    <w:rsid w:val="00615109"/>
    <w:rsid w:val="00617EEA"/>
    <w:rsid w:val="0064319C"/>
    <w:rsid w:val="00643FF8"/>
    <w:rsid w:val="00647B02"/>
    <w:rsid w:val="006505A9"/>
    <w:rsid w:val="00655D33"/>
    <w:rsid w:val="00667096"/>
    <w:rsid w:val="00673264"/>
    <w:rsid w:val="006901BC"/>
    <w:rsid w:val="006901BD"/>
    <w:rsid w:val="006953E6"/>
    <w:rsid w:val="00697049"/>
    <w:rsid w:val="006A3C13"/>
    <w:rsid w:val="006B0695"/>
    <w:rsid w:val="006B3DBC"/>
    <w:rsid w:val="006C1326"/>
    <w:rsid w:val="006C4FF6"/>
    <w:rsid w:val="006E5B8F"/>
    <w:rsid w:val="006E705A"/>
    <w:rsid w:val="006E7287"/>
    <w:rsid w:val="006F6A19"/>
    <w:rsid w:val="007043CE"/>
    <w:rsid w:val="0070548A"/>
    <w:rsid w:val="00707A78"/>
    <w:rsid w:val="00715D61"/>
    <w:rsid w:val="00717271"/>
    <w:rsid w:val="00717389"/>
    <w:rsid w:val="00721A68"/>
    <w:rsid w:val="007318AE"/>
    <w:rsid w:val="00743CB6"/>
    <w:rsid w:val="00751070"/>
    <w:rsid w:val="00762C79"/>
    <w:rsid w:val="007637A4"/>
    <w:rsid w:val="0076695B"/>
    <w:rsid w:val="00771504"/>
    <w:rsid w:val="00776E11"/>
    <w:rsid w:val="007927B9"/>
    <w:rsid w:val="00796ED5"/>
    <w:rsid w:val="007B3865"/>
    <w:rsid w:val="007B4DC5"/>
    <w:rsid w:val="007C57DB"/>
    <w:rsid w:val="007D53B6"/>
    <w:rsid w:val="007D72A4"/>
    <w:rsid w:val="007D7BC2"/>
    <w:rsid w:val="007E0404"/>
    <w:rsid w:val="007E1FF9"/>
    <w:rsid w:val="007E4788"/>
    <w:rsid w:val="007F3236"/>
    <w:rsid w:val="007F7FA9"/>
    <w:rsid w:val="008034BC"/>
    <w:rsid w:val="0080492A"/>
    <w:rsid w:val="00806342"/>
    <w:rsid w:val="008128CE"/>
    <w:rsid w:val="00820527"/>
    <w:rsid w:val="00834056"/>
    <w:rsid w:val="008359C8"/>
    <w:rsid w:val="00842C28"/>
    <w:rsid w:val="0084489D"/>
    <w:rsid w:val="00865A1C"/>
    <w:rsid w:val="008748F4"/>
    <w:rsid w:val="008872FB"/>
    <w:rsid w:val="008B352D"/>
    <w:rsid w:val="008B4177"/>
    <w:rsid w:val="008B4D5B"/>
    <w:rsid w:val="008C11F8"/>
    <w:rsid w:val="008C4061"/>
    <w:rsid w:val="008D2D94"/>
    <w:rsid w:val="008E0823"/>
    <w:rsid w:val="008F0EAC"/>
    <w:rsid w:val="008F5282"/>
    <w:rsid w:val="008F7FEC"/>
    <w:rsid w:val="0090778B"/>
    <w:rsid w:val="00923967"/>
    <w:rsid w:val="00927849"/>
    <w:rsid w:val="0093573C"/>
    <w:rsid w:val="00935ED6"/>
    <w:rsid w:val="009369DA"/>
    <w:rsid w:val="009560CD"/>
    <w:rsid w:val="0096368C"/>
    <w:rsid w:val="00965D07"/>
    <w:rsid w:val="009841F7"/>
    <w:rsid w:val="00987967"/>
    <w:rsid w:val="00990E5B"/>
    <w:rsid w:val="00994EC9"/>
    <w:rsid w:val="009956EA"/>
    <w:rsid w:val="009C755F"/>
    <w:rsid w:val="009D50EC"/>
    <w:rsid w:val="009E142D"/>
    <w:rsid w:val="009E2C11"/>
    <w:rsid w:val="009E5F30"/>
    <w:rsid w:val="00A10D7A"/>
    <w:rsid w:val="00A13DAF"/>
    <w:rsid w:val="00A22A3E"/>
    <w:rsid w:val="00A313F1"/>
    <w:rsid w:val="00A45597"/>
    <w:rsid w:val="00A643D2"/>
    <w:rsid w:val="00A65E57"/>
    <w:rsid w:val="00A804A0"/>
    <w:rsid w:val="00A85862"/>
    <w:rsid w:val="00A915CB"/>
    <w:rsid w:val="00A946A5"/>
    <w:rsid w:val="00AC0C67"/>
    <w:rsid w:val="00AD05E3"/>
    <w:rsid w:val="00AD122B"/>
    <w:rsid w:val="00AD6AD0"/>
    <w:rsid w:val="00AE2E3C"/>
    <w:rsid w:val="00AE7C2A"/>
    <w:rsid w:val="00AF2760"/>
    <w:rsid w:val="00AF6B54"/>
    <w:rsid w:val="00AF7127"/>
    <w:rsid w:val="00B04DCA"/>
    <w:rsid w:val="00B11F59"/>
    <w:rsid w:val="00B209A5"/>
    <w:rsid w:val="00B24F71"/>
    <w:rsid w:val="00B31CA7"/>
    <w:rsid w:val="00B33507"/>
    <w:rsid w:val="00B34C12"/>
    <w:rsid w:val="00B35901"/>
    <w:rsid w:val="00B410D8"/>
    <w:rsid w:val="00B44CFD"/>
    <w:rsid w:val="00B4679C"/>
    <w:rsid w:val="00B54809"/>
    <w:rsid w:val="00B621C8"/>
    <w:rsid w:val="00B63BEA"/>
    <w:rsid w:val="00B7533A"/>
    <w:rsid w:val="00B7620A"/>
    <w:rsid w:val="00B835B8"/>
    <w:rsid w:val="00B955A0"/>
    <w:rsid w:val="00BB193F"/>
    <w:rsid w:val="00BB253C"/>
    <w:rsid w:val="00BB3AB5"/>
    <w:rsid w:val="00BD133A"/>
    <w:rsid w:val="00BD2B70"/>
    <w:rsid w:val="00BD51E3"/>
    <w:rsid w:val="00BD5A33"/>
    <w:rsid w:val="00C120E1"/>
    <w:rsid w:val="00C22120"/>
    <w:rsid w:val="00C23715"/>
    <w:rsid w:val="00C25FDD"/>
    <w:rsid w:val="00C313F6"/>
    <w:rsid w:val="00C40B6F"/>
    <w:rsid w:val="00C61B34"/>
    <w:rsid w:val="00C7296C"/>
    <w:rsid w:val="00C7740F"/>
    <w:rsid w:val="00C808B9"/>
    <w:rsid w:val="00C809B6"/>
    <w:rsid w:val="00C83DFB"/>
    <w:rsid w:val="00C8553E"/>
    <w:rsid w:val="00C87A16"/>
    <w:rsid w:val="00C944CC"/>
    <w:rsid w:val="00C94A60"/>
    <w:rsid w:val="00C96126"/>
    <w:rsid w:val="00CB3FD5"/>
    <w:rsid w:val="00CB4893"/>
    <w:rsid w:val="00CC433E"/>
    <w:rsid w:val="00CD5910"/>
    <w:rsid w:val="00CE14B2"/>
    <w:rsid w:val="00CE72FA"/>
    <w:rsid w:val="00CE76CB"/>
    <w:rsid w:val="00CE7883"/>
    <w:rsid w:val="00D10455"/>
    <w:rsid w:val="00D3371C"/>
    <w:rsid w:val="00D413FC"/>
    <w:rsid w:val="00D41ADE"/>
    <w:rsid w:val="00D4791F"/>
    <w:rsid w:val="00D54ACD"/>
    <w:rsid w:val="00D562AC"/>
    <w:rsid w:val="00D603BB"/>
    <w:rsid w:val="00D727D7"/>
    <w:rsid w:val="00D73F26"/>
    <w:rsid w:val="00D742BA"/>
    <w:rsid w:val="00D83819"/>
    <w:rsid w:val="00D9437A"/>
    <w:rsid w:val="00DA25F3"/>
    <w:rsid w:val="00DB013C"/>
    <w:rsid w:val="00DB7347"/>
    <w:rsid w:val="00DC2257"/>
    <w:rsid w:val="00DD1A0B"/>
    <w:rsid w:val="00DE46FA"/>
    <w:rsid w:val="00DE638B"/>
    <w:rsid w:val="00E01C61"/>
    <w:rsid w:val="00E03E32"/>
    <w:rsid w:val="00E04D79"/>
    <w:rsid w:val="00E067CD"/>
    <w:rsid w:val="00E10FA7"/>
    <w:rsid w:val="00E26C20"/>
    <w:rsid w:val="00E2776F"/>
    <w:rsid w:val="00E35054"/>
    <w:rsid w:val="00E53F6D"/>
    <w:rsid w:val="00E54625"/>
    <w:rsid w:val="00E610EC"/>
    <w:rsid w:val="00E6267A"/>
    <w:rsid w:val="00E65298"/>
    <w:rsid w:val="00E7291F"/>
    <w:rsid w:val="00E754FC"/>
    <w:rsid w:val="00E8672A"/>
    <w:rsid w:val="00E91E83"/>
    <w:rsid w:val="00E93CCA"/>
    <w:rsid w:val="00E93DAC"/>
    <w:rsid w:val="00E95551"/>
    <w:rsid w:val="00EA280C"/>
    <w:rsid w:val="00EB67DE"/>
    <w:rsid w:val="00EB7C14"/>
    <w:rsid w:val="00EC6935"/>
    <w:rsid w:val="00ED1CA9"/>
    <w:rsid w:val="00ED431A"/>
    <w:rsid w:val="00ED728D"/>
    <w:rsid w:val="00EF03B4"/>
    <w:rsid w:val="00EF6921"/>
    <w:rsid w:val="00EF71DB"/>
    <w:rsid w:val="00F10D73"/>
    <w:rsid w:val="00F13B60"/>
    <w:rsid w:val="00F148A2"/>
    <w:rsid w:val="00F1737D"/>
    <w:rsid w:val="00F4199F"/>
    <w:rsid w:val="00F45D81"/>
    <w:rsid w:val="00F469F4"/>
    <w:rsid w:val="00F47BF7"/>
    <w:rsid w:val="00F66305"/>
    <w:rsid w:val="00F702FC"/>
    <w:rsid w:val="00F87183"/>
    <w:rsid w:val="00FA19DE"/>
    <w:rsid w:val="00FA1C67"/>
    <w:rsid w:val="00FC5DBE"/>
    <w:rsid w:val="00FD5730"/>
    <w:rsid w:val="00FF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rsid w:val="003B5C42"/>
    <w:pPr>
      <w:numPr>
        <w:numId w:val="2"/>
      </w:numPr>
      <w:contextualSpacing/>
    </w:pPr>
  </w:style>
  <w:style w:type="paragraph" w:styleId="ListBullet">
    <w:name w:val="List Bullet"/>
    <w:basedOn w:val="Normal"/>
    <w:uiPriority w:val="99"/>
    <w:semiHidden/>
    <w:unhideWhenUsed/>
    <w:rsid w:val="00B54809"/>
    <w:pPr>
      <w:numPr>
        <w:numId w:val="3"/>
      </w:numPr>
      <w:contextualSpacing/>
    </w:pPr>
  </w:style>
  <w:style w:type="paragraph" w:styleId="ListBullet2">
    <w:name w:val="List Bullet 2"/>
    <w:basedOn w:val="Normal"/>
    <w:uiPriority w:val="99"/>
    <w:semiHidden/>
    <w:unhideWhenUsed/>
    <w:rsid w:val="00B54809"/>
    <w:pPr>
      <w:numPr>
        <w:numId w:val="4"/>
      </w:numPr>
      <w:contextualSpacing/>
    </w:pPr>
  </w:style>
  <w:style w:type="paragraph" w:styleId="ListBullet3">
    <w:name w:val="List Bullet 3"/>
    <w:basedOn w:val="Normal"/>
    <w:uiPriority w:val="99"/>
    <w:semiHidden/>
    <w:unhideWhenUsed/>
    <w:rsid w:val="00B54809"/>
    <w:pPr>
      <w:numPr>
        <w:numId w:val="5"/>
      </w:numPr>
      <w:contextualSpacing/>
    </w:pPr>
  </w:style>
  <w:style w:type="paragraph" w:styleId="ListBullet4">
    <w:name w:val="List Bullet 4"/>
    <w:basedOn w:val="Normal"/>
    <w:uiPriority w:val="99"/>
    <w:semiHidden/>
    <w:unhideWhenUsed/>
    <w:rsid w:val="00B54809"/>
    <w:pPr>
      <w:numPr>
        <w:numId w:val="6"/>
      </w:numPr>
      <w:contextualSpacing/>
    </w:pPr>
  </w:style>
  <w:style w:type="character" w:customStyle="1" w:styleId="bumpedfont15">
    <w:name w:val="bumpedfont15"/>
    <w:basedOn w:val="DefaultParagraphFont"/>
    <w:rsid w:val="002A5764"/>
  </w:style>
  <w:style w:type="paragraph" w:styleId="BalloonText">
    <w:name w:val="Balloon Text"/>
    <w:basedOn w:val="Normal"/>
    <w:link w:val="BalloonTextChar"/>
    <w:uiPriority w:val="99"/>
    <w:semiHidden/>
    <w:unhideWhenUsed/>
    <w:rsid w:val="002A57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64"/>
    <w:rPr>
      <w:rFonts w:ascii="Tahoma" w:hAnsi="Tahoma" w:cs="Tahoma"/>
      <w:sz w:val="16"/>
      <w:szCs w:val="16"/>
      <w:lang w:val="en-GB"/>
    </w:rPr>
  </w:style>
  <w:style w:type="paragraph" w:styleId="Caption">
    <w:name w:val="caption"/>
    <w:basedOn w:val="Normal"/>
    <w:next w:val="Normal"/>
    <w:uiPriority w:val="35"/>
    <w:semiHidden/>
    <w:unhideWhenUsed/>
    <w:qFormat/>
    <w:rsid w:val="00A65E5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65E57"/>
    <w:pPr>
      <w:spacing w:after="0"/>
    </w:pPr>
  </w:style>
  <w:style w:type="paragraph" w:styleId="ListNumber">
    <w:name w:val="List Number"/>
    <w:basedOn w:val="Normal"/>
    <w:uiPriority w:val="99"/>
    <w:semiHidden/>
    <w:unhideWhenUsed/>
    <w:rsid w:val="00A65E57"/>
    <w:pPr>
      <w:numPr>
        <w:numId w:val="7"/>
      </w:numPr>
      <w:contextualSpacing/>
    </w:pPr>
  </w:style>
  <w:style w:type="paragraph" w:styleId="ListNumber2">
    <w:name w:val="List Number 2"/>
    <w:basedOn w:val="Normal"/>
    <w:uiPriority w:val="99"/>
    <w:semiHidden/>
    <w:unhideWhenUsed/>
    <w:rsid w:val="00A65E57"/>
    <w:pPr>
      <w:numPr>
        <w:numId w:val="8"/>
      </w:numPr>
      <w:contextualSpacing/>
    </w:pPr>
  </w:style>
  <w:style w:type="paragraph" w:styleId="ListNumber4">
    <w:name w:val="List Number 4"/>
    <w:basedOn w:val="Normal"/>
    <w:uiPriority w:val="99"/>
    <w:semiHidden/>
    <w:unhideWhenUsed/>
    <w:rsid w:val="00A65E57"/>
    <w:pPr>
      <w:numPr>
        <w:numId w:val="9"/>
      </w:numPr>
      <w:contextualSpacing/>
    </w:pPr>
  </w:style>
  <w:style w:type="character" w:styleId="CommentReference">
    <w:name w:val="annotation reference"/>
    <w:basedOn w:val="DefaultParagraphFont"/>
    <w:uiPriority w:val="99"/>
    <w:semiHidden/>
    <w:unhideWhenUsed/>
    <w:rsid w:val="00E067CD"/>
    <w:rPr>
      <w:sz w:val="16"/>
      <w:szCs w:val="16"/>
    </w:rPr>
  </w:style>
  <w:style w:type="paragraph" w:styleId="CommentText">
    <w:name w:val="annotation text"/>
    <w:basedOn w:val="Normal"/>
    <w:link w:val="CommentTextChar"/>
    <w:uiPriority w:val="99"/>
    <w:semiHidden/>
    <w:unhideWhenUsed/>
    <w:rsid w:val="00E067CD"/>
    <w:rPr>
      <w:sz w:val="20"/>
      <w:szCs w:val="20"/>
    </w:rPr>
  </w:style>
  <w:style w:type="character" w:customStyle="1" w:styleId="CommentTextChar">
    <w:name w:val="Comment Text Char"/>
    <w:basedOn w:val="DefaultParagraphFont"/>
    <w:link w:val="CommentText"/>
    <w:uiPriority w:val="99"/>
    <w:semiHidden/>
    <w:rsid w:val="00E067C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067CD"/>
    <w:rPr>
      <w:b/>
      <w:bCs/>
    </w:rPr>
  </w:style>
  <w:style w:type="character" w:customStyle="1" w:styleId="CommentSubjectChar">
    <w:name w:val="Comment Subject Char"/>
    <w:basedOn w:val="CommentTextChar"/>
    <w:link w:val="CommentSubject"/>
    <w:uiPriority w:val="99"/>
    <w:semiHidden/>
    <w:rsid w:val="00E067CD"/>
    <w:rPr>
      <w:rFonts w:ascii="Times New Roman" w:hAnsi="Times New Roman" w:cs="Times New Roman"/>
      <w:b/>
      <w:bCs/>
      <w:sz w:val="20"/>
      <w:szCs w:val="20"/>
      <w:lang w:val="en-GB"/>
    </w:rPr>
  </w:style>
  <w:style w:type="paragraph" w:styleId="Revision">
    <w:name w:val="Revision"/>
    <w:hidden/>
    <w:uiPriority w:val="99"/>
    <w:semiHidden/>
    <w:rsid w:val="006F6A19"/>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sid w:val="00A10D7A"/>
    <w:rPr>
      <w:color w:val="0000FF" w:themeColor="hyperlink"/>
      <w:u w:val="single"/>
    </w:rPr>
  </w:style>
  <w:style w:type="paragraph" w:styleId="EndnoteText">
    <w:name w:val="endnote text"/>
    <w:basedOn w:val="Normal"/>
    <w:link w:val="EndnoteTextChar"/>
    <w:uiPriority w:val="99"/>
    <w:semiHidden/>
    <w:unhideWhenUsed/>
    <w:rsid w:val="001E710D"/>
    <w:pPr>
      <w:spacing w:before="0" w:after="0"/>
    </w:pPr>
    <w:rPr>
      <w:sz w:val="20"/>
      <w:szCs w:val="20"/>
    </w:rPr>
  </w:style>
  <w:style w:type="character" w:customStyle="1" w:styleId="EndnoteTextChar">
    <w:name w:val="Endnote Text Char"/>
    <w:basedOn w:val="DefaultParagraphFont"/>
    <w:link w:val="EndnoteText"/>
    <w:uiPriority w:val="99"/>
    <w:semiHidden/>
    <w:rsid w:val="001E710D"/>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E710D"/>
    <w:rPr>
      <w:vertAlign w:val="superscript"/>
    </w:rPr>
  </w:style>
  <w:style w:type="paragraph" w:styleId="ListParagraph">
    <w:name w:val="List Paragraph"/>
    <w:basedOn w:val="Normal"/>
    <w:uiPriority w:val="34"/>
    <w:qFormat/>
    <w:rsid w:val="00E65298"/>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221B07"/>
    <w:pPr>
      <w:tabs>
        <w:tab w:val="center" w:pos="4535"/>
        <w:tab w:val="right" w:pos="9071"/>
      </w:tabs>
      <w:spacing w:before="0"/>
    </w:pPr>
  </w:style>
  <w:style w:type="character" w:customStyle="1" w:styleId="HeaderChar">
    <w:name w:val="Header Char"/>
    <w:basedOn w:val="DefaultParagraphFont"/>
    <w:link w:val="Header"/>
    <w:uiPriority w:val="99"/>
    <w:rsid w:val="00221B07"/>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21B07"/>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rsid w:val="003B5C42"/>
    <w:pPr>
      <w:numPr>
        <w:numId w:val="2"/>
      </w:numPr>
      <w:contextualSpacing/>
    </w:pPr>
  </w:style>
  <w:style w:type="paragraph" w:styleId="ListBullet">
    <w:name w:val="List Bullet"/>
    <w:basedOn w:val="Normal"/>
    <w:uiPriority w:val="99"/>
    <w:semiHidden/>
    <w:unhideWhenUsed/>
    <w:rsid w:val="00B54809"/>
    <w:pPr>
      <w:numPr>
        <w:numId w:val="3"/>
      </w:numPr>
      <w:contextualSpacing/>
    </w:pPr>
  </w:style>
  <w:style w:type="paragraph" w:styleId="ListBullet2">
    <w:name w:val="List Bullet 2"/>
    <w:basedOn w:val="Normal"/>
    <w:uiPriority w:val="99"/>
    <w:semiHidden/>
    <w:unhideWhenUsed/>
    <w:rsid w:val="00B54809"/>
    <w:pPr>
      <w:numPr>
        <w:numId w:val="4"/>
      </w:numPr>
      <w:contextualSpacing/>
    </w:pPr>
  </w:style>
  <w:style w:type="paragraph" w:styleId="ListBullet3">
    <w:name w:val="List Bullet 3"/>
    <w:basedOn w:val="Normal"/>
    <w:uiPriority w:val="99"/>
    <w:semiHidden/>
    <w:unhideWhenUsed/>
    <w:rsid w:val="00B54809"/>
    <w:pPr>
      <w:numPr>
        <w:numId w:val="5"/>
      </w:numPr>
      <w:contextualSpacing/>
    </w:pPr>
  </w:style>
  <w:style w:type="paragraph" w:styleId="ListBullet4">
    <w:name w:val="List Bullet 4"/>
    <w:basedOn w:val="Normal"/>
    <w:uiPriority w:val="99"/>
    <w:semiHidden/>
    <w:unhideWhenUsed/>
    <w:rsid w:val="00B54809"/>
    <w:pPr>
      <w:numPr>
        <w:numId w:val="6"/>
      </w:numPr>
      <w:contextualSpacing/>
    </w:pPr>
  </w:style>
  <w:style w:type="character" w:customStyle="1" w:styleId="bumpedfont15">
    <w:name w:val="bumpedfont15"/>
    <w:basedOn w:val="DefaultParagraphFont"/>
    <w:rsid w:val="002A5764"/>
  </w:style>
  <w:style w:type="paragraph" w:styleId="BalloonText">
    <w:name w:val="Balloon Text"/>
    <w:basedOn w:val="Normal"/>
    <w:link w:val="BalloonTextChar"/>
    <w:uiPriority w:val="99"/>
    <w:semiHidden/>
    <w:unhideWhenUsed/>
    <w:rsid w:val="002A57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64"/>
    <w:rPr>
      <w:rFonts w:ascii="Tahoma" w:hAnsi="Tahoma" w:cs="Tahoma"/>
      <w:sz w:val="16"/>
      <w:szCs w:val="16"/>
      <w:lang w:val="en-GB"/>
    </w:rPr>
  </w:style>
  <w:style w:type="paragraph" w:styleId="Caption">
    <w:name w:val="caption"/>
    <w:basedOn w:val="Normal"/>
    <w:next w:val="Normal"/>
    <w:uiPriority w:val="35"/>
    <w:semiHidden/>
    <w:unhideWhenUsed/>
    <w:qFormat/>
    <w:rsid w:val="00A65E57"/>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65E57"/>
    <w:pPr>
      <w:spacing w:after="0"/>
    </w:pPr>
  </w:style>
  <w:style w:type="paragraph" w:styleId="ListNumber">
    <w:name w:val="List Number"/>
    <w:basedOn w:val="Normal"/>
    <w:uiPriority w:val="99"/>
    <w:semiHidden/>
    <w:unhideWhenUsed/>
    <w:rsid w:val="00A65E57"/>
    <w:pPr>
      <w:numPr>
        <w:numId w:val="7"/>
      </w:numPr>
      <w:contextualSpacing/>
    </w:pPr>
  </w:style>
  <w:style w:type="paragraph" w:styleId="ListNumber2">
    <w:name w:val="List Number 2"/>
    <w:basedOn w:val="Normal"/>
    <w:uiPriority w:val="99"/>
    <w:semiHidden/>
    <w:unhideWhenUsed/>
    <w:rsid w:val="00A65E57"/>
    <w:pPr>
      <w:numPr>
        <w:numId w:val="8"/>
      </w:numPr>
      <w:contextualSpacing/>
    </w:pPr>
  </w:style>
  <w:style w:type="paragraph" w:styleId="ListNumber4">
    <w:name w:val="List Number 4"/>
    <w:basedOn w:val="Normal"/>
    <w:uiPriority w:val="99"/>
    <w:semiHidden/>
    <w:unhideWhenUsed/>
    <w:rsid w:val="00A65E57"/>
    <w:pPr>
      <w:numPr>
        <w:numId w:val="9"/>
      </w:numPr>
      <w:contextualSpacing/>
    </w:pPr>
  </w:style>
  <w:style w:type="character" w:styleId="CommentReference">
    <w:name w:val="annotation reference"/>
    <w:basedOn w:val="DefaultParagraphFont"/>
    <w:uiPriority w:val="99"/>
    <w:semiHidden/>
    <w:unhideWhenUsed/>
    <w:rsid w:val="00E067CD"/>
    <w:rPr>
      <w:sz w:val="16"/>
      <w:szCs w:val="16"/>
    </w:rPr>
  </w:style>
  <w:style w:type="paragraph" w:styleId="CommentText">
    <w:name w:val="annotation text"/>
    <w:basedOn w:val="Normal"/>
    <w:link w:val="CommentTextChar"/>
    <w:uiPriority w:val="99"/>
    <w:semiHidden/>
    <w:unhideWhenUsed/>
    <w:rsid w:val="00E067CD"/>
    <w:rPr>
      <w:sz w:val="20"/>
      <w:szCs w:val="20"/>
    </w:rPr>
  </w:style>
  <w:style w:type="character" w:customStyle="1" w:styleId="CommentTextChar">
    <w:name w:val="Comment Text Char"/>
    <w:basedOn w:val="DefaultParagraphFont"/>
    <w:link w:val="CommentText"/>
    <w:uiPriority w:val="99"/>
    <w:semiHidden/>
    <w:rsid w:val="00E067CD"/>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067CD"/>
    <w:rPr>
      <w:b/>
      <w:bCs/>
    </w:rPr>
  </w:style>
  <w:style w:type="character" w:customStyle="1" w:styleId="CommentSubjectChar">
    <w:name w:val="Comment Subject Char"/>
    <w:basedOn w:val="CommentTextChar"/>
    <w:link w:val="CommentSubject"/>
    <w:uiPriority w:val="99"/>
    <w:semiHidden/>
    <w:rsid w:val="00E067CD"/>
    <w:rPr>
      <w:rFonts w:ascii="Times New Roman" w:hAnsi="Times New Roman" w:cs="Times New Roman"/>
      <w:b/>
      <w:bCs/>
      <w:sz w:val="20"/>
      <w:szCs w:val="20"/>
      <w:lang w:val="en-GB"/>
    </w:rPr>
  </w:style>
  <w:style w:type="paragraph" w:styleId="Revision">
    <w:name w:val="Revision"/>
    <w:hidden/>
    <w:uiPriority w:val="99"/>
    <w:semiHidden/>
    <w:rsid w:val="006F6A19"/>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sid w:val="00A10D7A"/>
    <w:rPr>
      <w:color w:val="0000FF" w:themeColor="hyperlink"/>
      <w:u w:val="single"/>
    </w:rPr>
  </w:style>
  <w:style w:type="paragraph" w:styleId="EndnoteText">
    <w:name w:val="endnote text"/>
    <w:basedOn w:val="Normal"/>
    <w:link w:val="EndnoteTextChar"/>
    <w:uiPriority w:val="99"/>
    <w:semiHidden/>
    <w:unhideWhenUsed/>
    <w:rsid w:val="001E710D"/>
    <w:pPr>
      <w:spacing w:before="0" w:after="0"/>
    </w:pPr>
    <w:rPr>
      <w:sz w:val="20"/>
      <w:szCs w:val="20"/>
    </w:rPr>
  </w:style>
  <w:style w:type="character" w:customStyle="1" w:styleId="EndnoteTextChar">
    <w:name w:val="Endnote Text Char"/>
    <w:basedOn w:val="DefaultParagraphFont"/>
    <w:link w:val="EndnoteText"/>
    <w:uiPriority w:val="99"/>
    <w:semiHidden/>
    <w:rsid w:val="001E710D"/>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E710D"/>
    <w:rPr>
      <w:vertAlign w:val="superscript"/>
    </w:rPr>
  </w:style>
  <w:style w:type="paragraph" w:styleId="ListParagraph">
    <w:name w:val="List Paragraph"/>
    <w:basedOn w:val="Normal"/>
    <w:uiPriority w:val="34"/>
    <w:qFormat/>
    <w:rsid w:val="00E65298"/>
    <w:pPr>
      <w:spacing w:before="0" w:after="200" w:line="276" w:lineRule="auto"/>
      <w:ind w:left="720"/>
      <w:contextualSpacing/>
      <w:jc w:val="left"/>
    </w:pPr>
    <w:rPr>
      <w:rFonts w:ascii="Calibri" w:eastAsia="Calibri" w:hAnsi="Calibri"/>
      <w:sz w:val="22"/>
    </w:rPr>
  </w:style>
  <w:style w:type="paragraph" w:styleId="Header">
    <w:name w:val="header"/>
    <w:basedOn w:val="Normal"/>
    <w:link w:val="HeaderChar"/>
    <w:uiPriority w:val="99"/>
    <w:unhideWhenUsed/>
    <w:rsid w:val="00221B07"/>
    <w:pPr>
      <w:tabs>
        <w:tab w:val="center" w:pos="4535"/>
        <w:tab w:val="right" w:pos="9071"/>
      </w:tabs>
      <w:spacing w:before="0"/>
    </w:pPr>
  </w:style>
  <w:style w:type="character" w:customStyle="1" w:styleId="HeaderChar">
    <w:name w:val="Header Char"/>
    <w:basedOn w:val="DefaultParagraphFont"/>
    <w:link w:val="Header"/>
    <w:uiPriority w:val="99"/>
    <w:rsid w:val="00221B07"/>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221B07"/>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1"/>
      </w:numPr>
    </w:pPr>
  </w:style>
  <w:style w:type="paragraph" w:customStyle="1" w:styleId="Tiret1">
    <w:name w:val="Tiret 1"/>
    <w:basedOn w:val="Point1"/>
    <w:rsid w:val="007D53B6"/>
    <w:pPr>
      <w:numPr>
        <w:numId w:val="12"/>
      </w:numPr>
    </w:pPr>
  </w:style>
  <w:style w:type="paragraph" w:customStyle="1" w:styleId="Tiret2">
    <w:name w:val="Tiret 2"/>
    <w:basedOn w:val="Point2"/>
    <w:rsid w:val="007D53B6"/>
    <w:pPr>
      <w:numPr>
        <w:numId w:val="13"/>
      </w:numPr>
    </w:pPr>
  </w:style>
  <w:style w:type="paragraph" w:customStyle="1" w:styleId="Tiret3">
    <w:name w:val="Tiret 3"/>
    <w:basedOn w:val="Point3"/>
    <w:rsid w:val="007D53B6"/>
    <w:pPr>
      <w:numPr>
        <w:numId w:val="14"/>
      </w:numPr>
    </w:pPr>
  </w:style>
  <w:style w:type="paragraph" w:customStyle="1" w:styleId="Tiret4">
    <w:name w:val="Tiret 4"/>
    <w:basedOn w:val="Point4"/>
    <w:rsid w:val="007D53B6"/>
    <w:pPr>
      <w:numPr>
        <w:numId w:val="1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16"/>
      </w:numPr>
    </w:pPr>
  </w:style>
  <w:style w:type="paragraph" w:customStyle="1" w:styleId="NumPar2">
    <w:name w:val="NumPar 2"/>
    <w:basedOn w:val="Normal"/>
    <w:next w:val="Text1"/>
    <w:rsid w:val="007D53B6"/>
    <w:pPr>
      <w:numPr>
        <w:ilvl w:val="1"/>
        <w:numId w:val="16"/>
      </w:numPr>
    </w:pPr>
  </w:style>
  <w:style w:type="paragraph" w:customStyle="1" w:styleId="NumPar3">
    <w:name w:val="NumPar 3"/>
    <w:basedOn w:val="Normal"/>
    <w:next w:val="Text1"/>
    <w:rsid w:val="007D53B6"/>
    <w:pPr>
      <w:numPr>
        <w:ilvl w:val="2"/>
        <w:numId w:val="16"/>
      </w:numPr>
    </w:pPr>
  </w:style>
  <w:style w:type="paragraph" w:customStyle="1" w:styleId="NumPar4">
    <w:name w:val="NumPar 4"/>
    <w:basedOn w:val="Normal"/>
    <w:next w:val="Text1"/>
    <w:rsid w:val="007D53B6"/>
    <w:pPr>
      <w:numPr>
        <w:ilvl w:val="3"/>
        <w:numId w:val="1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18"/>
      </w:numPr>
    </w:pPr>
  </w:style>
  <w:style w:type="paragraph" w:customStyle="1" w:styleId="Point1number">
    <w:name w:val="Point 1 (number)"/>
    <w:basedOn w:val="Normal"/>
    <w:rsid w:val="007D53B6"/>
    <w:pPr>
      <w:numPr>
        <w:ilvl w:val="2"/>
        <w:numId w:val="18"/>
      </w:numPr>
    </w:pPr>
  </w:style>
  <w:style w:type="paragraph" w:customStyle="1" w:styleId="Point2number">
    <w:name w:val="Point 2 (number)"/>
    <w:basedOn w:val="Normal"/>
    <w:rsid w:val="007D53B6"/>
    <w:pPr>
      <w:numPr>
        <w:ilvl w:val="4"/>
        <w:numId w:val="18"/>
      </w:numPr>
    </w:pPr>
  </w:style>
  <w:style w:type="paragraph" w:customStyle="1" w:styleId="Point3number">
    <w:name w:val="Point 3 (number)"/>
    <w:basedOn w:val="Normal"/>
    <w:rsid w:val="007D53B6"/>
    <w:pPr>
      <w:numPr>
        <w:ilvl w:val="6"/>
        <w:numId w:val="18"/>
      </w:numPr>
    </w:pPr>
  </w:style>
  <w:style w:type="paragraph" w:customStyle="1" w:styleId="Point0letter">
    <w:name w:val="Point 0 (letter)"/>
    <w:basedOn w:val="Normal"/>
    <w:rsid w:val="007D53B6"/>
    <w:pPr>
      <w:numPr>
        <w:ilvl w:val="1"/>
        <w:numId w:val="18"/>
      </w:numPr>
    </w:pPr>
  </w:style>
  <w:style w:type="paragraph" w:customStyle="1" w:styleId="Point1letter">
    <w:name w:val="Point 1 (letter)"/>
    <w:basedOn w:val="Normal"/>
    <w:rsid w:val="007D53B6"/>
    <w:pPr>
      <w:numPr>
        <w:ilvl w:val="3"/>
        <w:numId w:val="18"/>
      </w:numPr>
    </w:pPr>
  </w:style>
  <w:style w:type="paragraph" w:customStyle="1" w:styleId="Point2letter">
    <w:name w:val="Point 2 (letter)"/>
    <w:basedOn w:val="Normal"/>
    <w:rsid w:val="007D53B6"/>
    <w:pPr>
      <w:numPr>
        <w:ilvl w:val="5"/>
        <w:numId w:val="18"/>
      </w:numPr>
    </w:pPr>
  </w:style>
  <w:style w:type="paragraph" w:customStyle="1" w:styleId="Point3letter">
    <w:name w:val="Point 3 (letter)"/>
    <w:basedOn w:val="Normal"/>
    <w:rsid w:val="007D53B6"/>
    <w:pPr>
      <w:numPr>
        <w:ilvl w:val="7"/>
        <w:numId w:val="18"/>
      </w:numPr>
    </w:pPr>
  </w:style>
  <w:style w:type="paragraph" w:customStyle="1" w:styleId="Point4letter">
    <w:name w:val="Point 4 (letter)"/>
    <w:basedOn w:val="Normal"/>
    <w:rsid w:val="007D53B6"/>
    <w:pPr>
      <w:numPr>
        <w:ilvl w:val="8"/>
        <w:numId w:val="18"/>
      </w:numPr>
    </w:pPr>
  </w:style>
  <w:style w:type="paragraph" w:customStyle="1" w:styleId="Bullet0">
    <w:name w:val="Bullet 0"/>
    <w:basedOn w:val="Normal"/>
    <w:rsid w:val="007D53B6"/>
    <w:pPr>
      <w:numPr>
        <w:numId w:val="19"/>
      </w:numPr>
    </w:pPr>
  </w:style>
  <w:style w:type="paragraph" w:customStyle="1" w:styleId="Bullet1">
    <w:name w:val="Bullet 1"/>
    <w:basedOn w:val="Normal"/>
    <w:rsid w:val="007D53B6"/>
    <w:pPr>
      <w:numPr>
        <w:numId w:val="20"/>
      </w:numPr>
    </w:pPr>
  </w:style>
  <w:style w:type="paragraph" w:customStyle="1" w:styleId="Bullet2">
    <w:name w:val="Bullet 2"/>
    <w:basedOn w:val="Normal"/>
    <w:rsid w:val="007D53B6"/>
    <w:pPr>
      <w:numPr>
        <w:numId w:val="21"/>
      </w:numPr>
    </w:pPr>
  </w:style>
  <w:style w:type="paragraph" w:customStyle="1" w:styleId="Bullet3">
    <w:name w:val="Bullet 3"/>
    <w:basedOn w:val="Normal"/>
    <w:rsid w:val="007D53B6"/>
    <w:pPr>
      <w:numPr>
        <w:numId w:val="22"/>
      </w:numPr>
    </w:pPr>
  </w:style>
  <w:style w:type="paragraph" w:customStyle="1" w:styleId="Bullet4">
    <w:name w:val="Bullet 4"/>
    <w:basedOn w:val="Normal"/>
    <w:rsid w:val="007D53B6"/>
    <w:pPr>
      <w:numPr>
        <w:numId w:val="2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2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562">
      <w:bodyDiv w:val="1"/>
      <w:marLeft w:val="0"/>
      <w:marRight w:val="0"/>
      <w:marTop w:val="0"/>
      <w:marBottom w:val="0"/>
      <w:divBdr>
        <w:top w:val="none" w:sz="0" w:space="0" w:color="auto"/>
        <w:left w:val="none" w:sz="0" w:space="0" w:color="auto"/>
        <w:bottom w:val="none" w:sz="0" w:space="0" w:color="auto"/>
        <w:right w:val="none" w:sz="0" w:space="0" w:color="auto"/>
      </w:divBdr>
    </w:div>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03596475">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094593446">
      <w:bodyDiv w:val="1"/>
      <w:marLeft w:val="0"/>
      <w:marRight w:val="0"/>
      <w:marTop w:val="0"/>
      <w:marBottom w:val="0"/>
      <w:divBdr>
        <w:top w:val="none" w:sz="0" w:space="0" w:color="auto"/>
        <w:left w:val="none" w:sz="0" w:space="0" w:color="auto"/>
        <w:bottom w:val="none" w:sz="0" w:space="0" w:color="auto"/>
        <w:right w:val="none" w:sz="0" w:space="0" w:color="auto"/>
      </w:divBdr>
    </w:div>
    <w:div w:id="1476409166">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2CDB-1238-45A1-9146-2D972B8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3672</Words>
  <Characters>19977</Characters>
  <Application>Microsoft Office Word</Application>
  <DocSecurity>4</DocSecurity>
  <Lines>322</Lines>
  <Paragraphs>113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MUELLENSIEFEN Tobias (JUST)</dc:creator>
  <cp:lastModifiedBy>Stefanie Heilemann</cp:lastModifiedBy>
  <cp:revision>2</cp:revision>
  <cp:lastPrinted>2016-05-03T18:08:00Z</cp:lastPrinted>
  <dcterms:created xsi:type="dcterms:W3CDTF">2016-05-04T09:00:00Z</dcterms:created>
  <dcterms:modified xsi:type="dcterms:W3CDTF">2016-05-04T09:00:00Z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