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08E19CBD4204920BBAA65E12E56D155" style="width:450.7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РЕШЕНИЕ НА КОМИСИЯТА</w:t>
      </w:r>
    </w:p>
    <w:p>
      <w:pPr>
        <w:pStyle w:val="Datedadoption"/>
        <w:rPr>
          <w:noProof/>
        </w:rPr>
      </w:pPr>
      <w:r>
        <w:t>от 3.5.2016 година</w:t>
      </w:r>
    </w:p>
    <w:p>
      <w:pPr>
        <w:pStyle w:val="Titreobjet"/>
        <w:rPr>
          <w:noProof/>
        </w:rPr>
      </w:pPr>
      <w:r>
        <w:rPr>
          <w:noProof/>
        </w:rPr>
        <w:t>за започване на разследване във връзка с манипулиране на статистически данни в Австрия по смисъла на Регламент (ЕС) № 1173/2011 на Европейския парламент и на Съвета за ефективното прилагане на бюджетното наблюдение в еврозоната</w:t>
      </w:r>
    </w:p>
    <w:p>
      <w:pPr>
        <w:pStyle w:val="Institutionquiagit"/>
        <w:rPr>
          <w:noProof/>
        </w:rPr>
      </w:pPr>
      <w:r>
        <w:rPr>
          <w:noProof/>
        </w:rPr>
        <w:t>ЕВРОПЕЙСКАТА КОМИСИЯ,</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Регламент (ЕС) № 1173/2011 на Европейския парламент и на Съвета от 16 ноември 2011 г. за ефективното прилагане на бюджетното наблюдение в еврозоната</w:t>
      </w:r>
      <w:r>
        <w:rPr>
          <w:rStyle w:val="FootnoteReference"/>
          <w:noProof/>
        </w:rPr>
        <w:footnoteReference w:id="1"/>
      </w:r>
      <w:r>
        <w:rPr>
          <w:noProof/>
        </w:rPr>
        <w:t>, и по-специално член 8, параграф 3 от него,</w:t>
      </w:r>
    </w:p>
    <w:p>
      <w:pPr>
        <w:rPr>
          <w:noProof/>
        </w:rPr>
      </w:pPr>
      <w:r>
        <w:rPr>
          <w:noProof/>
        </w:rPr>
        <w:t>като взе предвид Делегирано решение 2012/678/ЕС на Комисията от 29 юни 2012 г. относно разследванията и глобите във връзка с манипулиране на статистическите данни, посочени в Регламент (ЕС) № 1173/2011</w:t>
      </w:r>
      <w:r>
        <w:rPr>
          <w:rStyle w:val="FootnoteReference"/>
          <w:noProof/>
        </w:rPr>
        <w:footnoteReference w:id="2"/>
      </w:r>
      <w:r>
        <w:rPr>
          <w:noProof/>
        </w:rPr>
        <w:t>,</w:t>
      </w:r>
    </w:p>
    <w:p>
      <w:pPr>
        <w:rPr>
          <w:noProof/>
        </w:rPr>
      </w:pPr>
    </w:p>
    <w:p>
      <w:pPr>
        <w:rPr>
          <w:noProof/>
        </w:rPr>
      </w:pPr>
      <w:r>
        <w:rPr>
          <w:noProof/>
        </w:rPr>
        <w:t>като има предвид, че:</w:t>
      </w:r>
    </w:p>
    <w:p>
      <w:pPr>
        <w:pStyle w:val="ManualConsidrant"/>
        <w:rPr>
          <w:noProof/>
        </w:rPr>
      </w:pPr>
      <w:r>
        <w:t>(1)</w:t>
      </w:r>
      <w:r>
        <w:tab/>
      </w:r>
      <w:r>
        <w:rPr>
          <w:noProof/>
        </w:rPr>
        <w:t>С Регламент (ЕС) № 1173/2011 се определя система от санкции с цел по-ефективно прилагане на бюджетното наблюдение в еврозоната, включително санкции, предназначени да се предотврати погрешно представяне, независимо дали е умишлено или поради груба небрежност, на данни за дефицита и дълга на сектор „Държавно управление“, които са от значение за прилагането на многостранната система за наблюдение и процедурата при прекомерен дефицит (ППД).</w:t>
      </w:r>
    </w:p>
    <w:p>
      <w:pPr>
        <w:pStyle w:val="ManualConsidrant"/>
        <w:rPr>
          <w:noProof/>
        </w:rPr>
      </w:pPr>
      <w:r>
        <w:t>(2)</w:t>
      </w:r>
      <w:r>
        <w:tab/>
      </w:r>
      <w:r>
        <w:rPr>
          <w:noProof/>
        </w:rPr>
        <w:t>За тази цел, по силата на член 8, параграф 3 от Регламент (ЕС) № 1173/2011 Комисията се оправомощава да извършва всички необходими разследвания за установяване наличието на случаи на умишлено или поради груба небрежност погрешно представяне на актуални данни за дефицита и дълга. С Делегирано решение 2012/678/ЕС на Комисията се установяват подробни правила за процедурите за разследване на подобни случаи на погрешно представяне.</w:t>
      </w:r>
    </w:p>
    <w:p>
      <w:pPr>
        <w:pStyle w:val="ManualConsidrant"/>
        <w:rPr>
          <w:noProof/>
        </w:rPr>
      </w:pPr>
      <w:r>
        <w:t>(3)</w:t>
      </w:r>
      <w:r>
        <w:tab/>
      </w:r>
      <w:r>
        <w:rPr>
          <w:noProof/>
        </w:rPr>
        <w:t>В рамките на нотификацията по ППД през април 2014 г. дългът и дефицитът на Австрия за 2010—2012 г. бяха ревизирани нагоре, най-вече поради неотразени преди това финансови трансакции. Комисията (Евростат) извърши предварителен анализ на причината за ревизирането, опирайки се главно на заключенията, публикувани от Сметната палата на Австрия, при което се оказва, че декларираните от Австрия пред Комисията (Евростат) актуални данни за дълга и дефицита може би са опорочени от нередности.</w:t>
      </w:r>
    </w:p>
    <w:p>
      <w:pPr>
        <w:pStyle w:val="ManualConsidrant"/>
        <w:rPr>
          <w:noProof/>
        </w:rPr>
      </w:pPr>
      <w:r>
        <w:t>(4)</w:t>
      </w:r>
      <w:r>
        <w:tab/>
      </w:r>
      <w:r>
        <w:rPr>
          <w:noProof/>
        </w:rPr>
        <w:t>В предварителните констатации има данни за това, че осчетоводяването, регистрирането и декларирането на финансовите трансакции в провинция Залцбург не са извършвани по правилата. По-специално, има данни за това, че финансовият отдел на провинция Залцбург е манипулирал сметките, например като е скрил наличието на банкови сметки, активи и дългове, направени за финансирането на последните.</w:t>
      </w:r>
    </w:p>
    <w:p>
      <w:pPr>
        <w:pStyle w:val="ManualConsidrant"/>
        <w:rPr>
          <w:noProof/>
        </w:rPr>
      </w:pPr>
      <w:r>
        <w:t>(5)</w:t>
      </w:r>
      <w:r>
        <w:tab/>
      </w:r>
      <w:r>
        <w:rPr>
          <w:noProof/>
        </w:rPr>
        <w:t>Освен това има данни за това, че не са спазвани счетоводните правила за публичния сектор, липсвал е контрол, не са отчитани правилно финансовите и нефинансовите трансакции, били са пренебрегнати препоръките на Сметната палата на Австрия, документацията е била фалшифицирана и неточна, и че умишлено е изпращана до националните органи подвеждаща информация.  В продължение на няколко години тази ситуация е довела до декларирането от Австрия пред Комисията (Евростат) на по-ниски от действителните равнища на дълга, до нотификацията по ППД през октомври 2013 г.</w:t>
      </w:r>
    </w:p>
    <w:p>
      <w:pPr>
        <w:pStyle w:val="ManualConsidrant"/>
        <w:rPr>
          <w:noProof/>
        </w:rPr>
      </w:pPr>
      <w:r>
        <w:t>(6)</w:t>
      </w:r>
      <w:r>
        <w:tab/>
      </w:r>
      <w:r>
        <w:rPr>
          <w:noProof/>
        </w:rPr>
        <w:t>Също така съществуват данни за това, че в продължение на повече от една година, след като е научило за нередностите, правителството на провинция Залцбург не е докладвало за тях, нито се е опитало да коригира грешките при докладването пред органите на статистиката, очевидно в опит да приключи всички финансови инвестиции преди тези нередности да бъдат публично оповестени.</w:t>
      </w:r>
    </w:p>
    <w:p>
      <w:pPr>
        <w:pStyle w:val="ManualConsidrant"/>
        <w:rPr>
          <w:noProof/>
        </w:rPr>
      </w:pPr>
      <w:r>
        <w:t>(7)</w:t>
      </w:r>
      <w:r>
        <w:tab/>
      </w:r>
      <w:r>
        <w:rPr>
          <w:noProof/>
        </w:rPr>
        <w:t>Тези елементи представляват сериозни данни за наличието на обстоятелства, които могат да съставляват погрешно представяне на данни за дефицита и дълга на сектор „Държавно управление“, предизвикано от дължащо се на умисъл или груба небрежност манипулиране на такива данни.</w:t>
      </w:r>
    </w:p>
    <w:p>
      <w:pPr>
        <w:pStyle w:val="ManualConsidrant"/>
        <w:rPr>
          <w:noProof/>
        </w:rPr>
      </w:pPr>
      <w:r>
        <w:t>(8)</w:t>
      </w:r>
      <w:r>
        <w:tab/>
      </w:r>
      <w:r>
        <w:rPr>
          <w:noProof/>
        </w:rPr>
        <w:t>Поради това е необходимо да се започне разследване, за да се потвърди наличието на погрешно представяне на данни за дефицита и дълга на сектор „Държавно управление“ в Австрия и да се установи неговият умишлен или свързан с небрежност характер.</w:t>
      </w:r>
    </w:p>
    <w:p>
      <w:pPr>
        <w:pStyle w:val="ManualConsidrant"/>
        <w:rPr>
          <w:noProof/>
        </w:rPr>
      </w:pPr>
      <w:r>
        <w:t>(9)</w:t>
      </w:r>
      <w:r>
        <w:tab/>
      </w:r>
      <w:r>
        <w:rPr>
          <w:noProof/>
        </w:rPr>
        <w:t>Решението на Комисията за започване на настоящото разследване следва да бъде съобщено на Република Австрия в съответствие с член 2, параграф 1 от Делегирано решение 2012/678/ЕС.</w:t>
      </w:r>
    </w:p>
    <w:p>
      <w:pPr>
        <w:pStyle w:val="ManualConsidrant"/>
        <w:rPr>
          <w:noProof/>
        </w:rPr>
      </w:pPr>
      <w:r>
        <w:t>(10)</w:t>
      </w:r>
      <w:r>
        <w:tab/>
      </w:r>
      <w:r>
        <w:rPr>
          <w:noProof/>
        </w:rPr>
        <w:t>В съответствие с член 2, параграф 4 от Делегирано решение 2012/678/ЕС Комисията следва да информира Европейския парламент и Съвета за своето решение,</w:t>
      </w:r>
    </w:p>
    <w:p>
      <w:pPr>
        <w:pStyle w:val="Formuledadoption"/>
        <w:rPr>
          <w:noProof/>
        </w:rPr>
      </w:pPr>
      <w:r>
        <w:rPr>
          <w:noProof/>
        </w:rPr>
        <w:t xml:space="preserve">ПРИЕ НАСТОЯЩОТО РЕШЕНИЕ: </w:t>
      </w:r>
    </w:p>
    <w:p>
      <w:pPr>
        <w:pStyle w:val="Titrearticle"/>
        <w:rPr>
          <w:noProof/>
        </w:rPr>
      </w:pPr>
      <w:r>
        <w:rPr>
          <w:noProof/>
        </w:rPr>
        <w:t>Член единствен</w:t>
      </w:r>
    </w:p>
    <w:p>
      <w:pPr>
        <w:keepNext/>
        <w:keepLines/>
        <w:rPr>
          <w:noProof/>
        </w:rPr>
      </w:pPr>
      <w:r>
        <w:rPr>
          <w:noProof/>
        </w:rPr>
        <w:t>Въз основа на установените сериозни данни, приведени в приложеното обобщение на предварителните констатации, се дава ход на разследване, което трябва да се проведе в съответствие с Регламент (ЕС) № 1173/2011 и Делегирано решение 2012/678/ЕС, с цел да се потвърди наличието в Австрия на погрешно представяне на данни за дефицита и дълга на сектор „Държавно управление“ в резултат на умисъл или груба небрежност.</w:t>
      </w:r>
    </w:p>
    <w:p>
      <w:pPr>
        <w:pStyle w:val="Fait"/>
        <w:rPr>
          <w:noProof/>
        </w:rPr>
      </w:pPr>
      <w:r>
        <w:rPr>
          <w:noProof/>
        </w:rPr>
        <w:t>Съставено в Брюксел на 3.5.2016 година.</w:t>
      </w:r>
    </w:p>
    <w:p>
      <w:pPr>
        <w:pStyle w:val="Institutionquisigne"/>
        <w:rPr>
          <w:noProof/>
        </w:rPr>
      </w:pPr>
      <w:r>
        <w:rPr>
          <w:noProof/>
        </w:rPr>
        <w:tab/>
        <w:t>За Комисията</w:t>
      </w:r>
    </w:p>
    <w:p>
      <w:pPr>
        <w:pStyle w:val="Personnequisigne"/>
        <w:keepNext/>
        <w:rPr>
          <w:noProof/>
        </w:rPr>
      </w:pPr>
      <w:r>
        <w:tab/>
        <w:t>Marianne THYSSEN</w:t>
      </w:r>
      <w:r>
        <w:br/>
      </w:r>
      <w:r>
        <w:tab/>
        <w:t>Член на Комисията</w:t>
      </w:r>
    </w:p>
    <w:p>
      <w:pPr>
        <w:pStyle w:val="Institutionquisigne"/>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ОВ L 306, 23.11.2011 г., стр. 1.  </w:t>
      </w:r>
    </w:p>
  </w:footnote>
  <w:footnote w:id="2">
    <w:p>
      <w:pPr>
        <w:pStyle w:val="FootnoteText"/>
      </w:pPr>
      <w:r>
        <w:rPr>
          <w:rStyle w:val="FootnoteReference"/>
        </w:rPr>
        <w:footnoteRef/>
      </w:r>
      <w:r>
        <w:tab/>
        <w:t>ОВ L 306, 6.11.2012 г., стр.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12EE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1A19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34A9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609E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FC46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3C4B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407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2902AB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28 09:59: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VERPAGE_GUID" w:val="308E19CBD4204920BBAA65E12E56D155"/>
    <w:docVar w:name="LW_CROSSREFERENCE" w:val="&lt;UNUSED&gt;"/>
    <w:docVar w:name="LW_DATE.ADOPT.CP" w:val="\u1086?\u1090? 3.5.2016 \u1075?\u1086?\u1076?\u1080?\u1085?\u1072?"/>
    <w:docVar w:name="LW_DATE.ADOPT.CP_DATEFORMAT" w:val="\u1086?\u1090? %DATE% \u1075?\u1086?\u1076?\u1080?\u1085?\u1072?"/>
    <w:docVar w:name="LW_DATE.ADOPT.CP_ISODATE" w:val="2016-05-03"/>
    <w:docVar w:name="LW_DocType" w:val="COM"/>
    <w:docVar w:name="LW_EMISSION" w:val="3.5.2016"/>
    <w:docVar w:name="LW_EMISSION_ISODATE" w:val="2016-05-03"/>
    <w:docVar w:name="LW_EMISSION_LOCATION" w:val="BRX"/>
    <w:docVar w:name="LW_EMISSION_PREFIX" w:val="Брюксел, "/>
    <w:docVar w:name="LW_EMISSION_SUFFIX" w:val=" \u1075?."/>
    <w:docVar w:name="LW_ID_DOCMODEL" w:val="SJ-011"/>
    <w:docVar w:name="LW_ID_DOCSIGNATURE" w:val="SJ-011"/>
    <w:docVar w:name="LW_ID_DOCSTRUCTURE" w:val="COM/AA"/>
    <w:docVar w:name="LW_ID_DOCTYPE" w:val="SJ-011"/>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6) 2633"/>
    <w:docVar w:name="LW_REF.INTERNE" w:val="&lt;UNUSED&gt;"/>
    <w:docVar w:name="LW_SOUS.TITRE.OBJ.CP" w:val="&lt;UNUSED&gt;"/>
    <w:docVar w:name="LW_SUPERTITRE" w:val="&lt;UNUSED&gt;"/>
    <w:docVar w:name="LW_TITRE.OBJ.CP" w:val="\u1079?\u1072? \u1079?\u1072?\u1087?\u1086?\u1095?\u1074?\u1072?\u1085?\u1077? \u1085?\u1072? \u1088?\u1072?\u1079?\u1089?\u1083?\u1077?\u1076?\u1074?\u1072?\u1085?\u1077? \u1074?\u1098?\u1074? \u1074?\u1088?\u1098?\u1079?\u1082?\u1072? \u1089? \u1084?\u1072?\u1085?\u1080?\u1087?\u1091?\u1083?\u1080?\u1088?\u1072?\u1085?\u1077? \u1085?\u1072? \u1089?\u1090?\u1072?\u1090?\u1080?\u1089?\u1090?\u1080?\u1095?\u1077?\u1089?\u1082?\u1080? \u1076?\u1072?\u1085?\u1085?\u1080? \u1074? \u1040?\u1074?\u1089?\u1090?\u1088?\u1080?\u1103? \u1087?\u1086? \u1089?\u1084?\u1080?\u1089?\u1098?\u1083?\u1072? \u1085?\u1072? \u1056?\u1077?\u1075?\u1083?\u1072?\u1084?\u1077?\u1085?\u1090? (\u1045?\u1057?) \u8470? 1173/2011 \u1085?\u1072? \u1045?\u1074?\u1088?\u1086?\u1087?\u1077?\u1081?\u1089?\u1082?\u1080?\u1103? \u1087?\u1072?\u1088?\u1083?\u1072?\u1084?\u1077?\u1085?\u1090? \u1080? \u1085?\u1072? \u1057?\u1098?\u1074?\u1077?\u1090?\u1072? \u1079?\u1072? \u1077?\u1092?\u1077?\u1082?\u1090?\u1080?\u1074?\u1085?\u1086?\u1090?\u1086? \u1087?\u1088?\u1080?\u1083?\u1072?\u1075?\u1072?\u1085?\u1077? \u1085?\u1072? \u1073?\u1102?\u1076?\u1078?\u1077?\u1090?\u1085?\u1086?\u1090?\u1086? \u1085?\u1072?\u1073?\u1083?\u1102?\u1076?\u1077?\u1085?\u1080?\u1077? \u1074? \u1077?\u1074?\u1088?\u1086?\u1079?\u1086?\u1085?\u1072?\u1090?\u1072?"/>
    <w:docVar w:name="LW_TYPE.DOC.CP" w:val="\u1056?\u1045?\u1064?\u1045?\u1053?\u1048?\u1045?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9CB5C-9ECA-4D9F-8EA5-77DB7BBE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726</Words>
  <Characters>4184</Characters>
  <Application>Microsoft Office Word</Application>
  <DocSecurity>0</DocSecurity>
  <Lines>83</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2016-04-26T07:31:00Z</dcterms:created>
  <dcterms:modified xsi:type="dcterms:W3CDTF">2016-04-28T07:59:00Z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SJ-011</vt:lpwstr>
  </property>
  <property fmtid="{D5CDD505-2E9C-101B-9397-08002B2CF9AE}" pid="10" name="DQCStatus">
    <vt:lpwstr>Green (DQC version 03)</vt:lpwstr>
  </property>
</Properties>
</file>