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83D24628DC44069A8B35187DE4E3CCA" style="width:450.75pt;height:393.75pt">
            <v:imagedata r:id="rId8" o:title=""/>
          </v:shape>
        </w:pict>
      </w:r>
    </w:p>
    <w:p>
      <w:pPr>
        <w:pStyle w:val="Pagedecouverture"/>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pStyle w:val="ManualHeading1"/>
        <w:rPr>
          <w:noProof/>
        </w:rPr>
      </w:pPr>
      <w:r>
        <w:rPr>
          <w:noProof/>
        </w:rPr>
        <w:t>2.</w:t>
      </w:r>
      <w:r>
        <w:rPr>
          <w:noProof/>
        </w:rPr>
        <w:tab/>
        <w:t>BASE JURIDIQUE, SUBSIDIARITÉ ET PROPORTIONNALITÉ</w:t>
      </w:r>
    </w:p>
    <w:p>
      <w:pPr>
        <w:rPr>
          <w:noProof/>
        </w:rPr>
      </w:pPr>
      <w:r>
        <w:rPr>
          <w:noProof/>
        </w:rPr>
        <w:t>L'article 1</w:t>
      </w:r>
      <w:r>
        <w:rPr>
          <w:noProof/>
          <w:vertAlign w:val="superscript"/>
        </w:rPr>
        <w:t>er</w:t>
      </w:r>
      <w:r>
        <w:rPr>
          <w:noProof/>
        </w:rPr>
        <w:t>, paragraphe 3, du règlement (CE) nº 2894/94 du Conseil relatif à certaines modalités d'application de l'accord EEE prévoit que le Conseil arrête, sur proposition de la Commission, la position à adopter au nom de l'Union pour ce type de décision.</w:t>
      </w:r>
    </w:p>
    <w:p>
      <w:pPr>
        <w:rPr>
          <w:noProof/>
        </w:rPr>
      </w:pPr>
      <w:r>
        <w:rPr>
          <w:noProof/>
        </w:rPr>
        <w:t>La Commission soumet le projet de décision du Comité mixte de l’EEE au Conseil pour adoption en tant que position de l’Union. Elle espère être en mesure de présenter ce document au Comité mixte de l’EEE dans les meilleurs délais.</w:t>
      </w:r>
    </w:p>
    <w:p>
      <w:pPr>
        <w:pStyle w:val="ManualHeading1"/>
        <w:rPr>
          <w:noProof/>
        </w:rPr>
      </w:pPr>
      <w:r>
        <w:rPr>
          <w:noProof/>
        </w:rPr>
        <w:t>3.</w:t>
      </w:r>
      <w:r>
        <w:rPr>
          <w:noProof/>
        </w:rPr>
        <w:tab/>
        <w:t>RÉSULTATS DES ÉVALUATIONS EX POST, DES CONSULTATIONS DES PARTIES INTÉRESSÉES ET DES ANALYSES D’IMPACT</w:t>
      </w:r>
    </w:p>
    <w:p>
      <w:pPr>
        <w:rPr>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poursuivre la coopération des parties contractantes à l'accord EEE en ce qui concerne les actions de l'Union, financées par le budget général de l'Union européenne, relatives au «fonctionnement et développement du marché intérieur des biens et des services».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2016/0116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w:t>
      </w:r>
      <w:r>
        <w:rPr>
          <w:noProof/>
        </w:rPr>
        <w:br/>
        <w:t>au sein du Comité mixte de l’EEE, au sujet d'une modification du protocole 31 de l’accord EEE concernant la coopération dans des secteurs particuliers en dehors des quatre libertés</w:t>
      </w:r>
      <w:r>
        <w:rPr>
          <w:noProof/>
        </w:rPr>
        <w:br/>
        <w:t>(Ligne budgétaire 02 03 01)</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1"/>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2"/>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le protocole 31 dudit accord.</w:t>
      </w:r>
    </w:p>
    <w:p>
      <w:pPr>
        <w:pStyle w:val="ManualConsidrant"/>
        <w:rPr>
          <w:noProof/>
        </w:rPr>
      </w:pPr>
      <w:r>
        <w:t>(3)</w:t>
      </w:r>
      <w:r>
        <w:tab/>
      </w:r>
      <w:r>
        <w:rPr>
          <w:noProof/>
        </w:rPr>
        <w:t>Le protocole 31 comprend des dispositions spécifiques concernant la coopération dans des secteurs particuliers en dehors des quatre libertés.</w:t>
      </w:r>
    </w:p>
    <w:p>
      <w:pPr>
        <w:pStyle w:val="ManualConsidrant"/>
        <w:rPr>
          <w:noProof/>
        </w:rPr>
      </w:pPr>
      <w:r>
        <w:t>(4)</w:t>
      </w:r>
      <w:r>
        <w:tab/>
      </w:r>
      <w:r>
        <w:rPr>
          <w:noProof/>
        </w:rPr>
        <w:t>Il y a lieu de poursuivre la coopération des parties contractantes à l'accord EEE en ce qui concerne les actions de l'Union, financées par le budget général de l'UE, relatives au fonctionnement et développement du marché intérieur des biens et des services.</w:t>
      </w:r>
    </w:p>
    <w:p>
      <w:pPr>
        <w:pStyle w:val="ManualConsidrant"/>
        <w:rPr>
          <w:noProof/>
        </w:rPr>
      </w:pPr>
      <w:r>
        <w:t>(5)</w:t>
      </w:r>
      <w:r>
        <w:tab/>
      </w:r>
      <w:r>
        <w:rPr>
          <w:noProof/>
        </w:rPr>
        <w:t>Il convient, dès lors, de modifier le protocole 31 de l'accord EEE afin que cette coopération élargie puisse être poursuivie au-delà du 31 décembre 2015.</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position à adopter au nom de l'Union au sein du Comité mixte de l'EEE en ce qui concerne la modification qu'il est proposé d'apporter au protocole 31 de l'accord EEE concernant la </w:t>
      </w:r>
      <w:r>
        <w:rPr>
          <w:noProof/>
        </w:rPr>
        <w:lastRenderedPageBreak/>
        <w:t>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305 du 30.11.1994, p. 6.</w:t>
      </w:r>
    </w:p>
  </w:footnote>
  <w:footnote w:id="2">
    <w:p>
      <w:pPr>
        <w:pStyle w:val="FootnoteText"/>
      </w:pPr>
      <w:r>
        <w:rPr>
          <w:rStyle w:val="FootnoteReference"/>
        </w:rPr>
        <w:footnoteRef/>
      </w:r>
      <w:r>
        <w:tab/>
        <w:t xml:space="preserve">JO L 1 du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12 10:19: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83D24628DC44069A8B35187DE4E3CCA"/>
    <w:docVar w:name="LW_CROSSREFERENCE" w:val="&lt;UNUSED&gt;"/>
    <w:docVar w:name="LW_DocType" w:val="COM"/>
    <w:docVar w:name="LW_EMISSION" w:val="20.4.2016"/>
    <w:docVar w:name="LW_EMISSION_ISODATE" w:val="2016-04-2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16"/>
    <w:docVar w:name="LW_REF.II.NEW.CP_YEAR" w:val="2016"/>
    <w:docVar w:name="LW_REF.INST.NEW" w:val="COM"/>
    <w:docVar w:name="LW_REF.INST.NEW_ADOPTED" w:val="final"/>
    <w:docVar w:name="LW_REF.INST.NEW_TEXT" w:val="(2016) 219"/>
    <w:docVar w:name="LW_REF.INTERNE" w:val="&lt;UNUSED&gt;"/>
    <w:docVar w:name="LW_SOUS.TITRE.OBJ.CP" w:val="&lt;UNUSED&gt;"/>
    <w:docVar w:name="LW_STATUT.CP" w:val="Proposition de"/>
    <w:docVar w:name="LW_SUPERTITRE" w:val="&lt;UNUSED&gt;"/>
    <w:docVar w:name="LW_TITRE.OBJ.CP" w:val="relative à la position à adopter au nom de l\u8217?Union européenne,_x000b_au sein du Comité mixte de l\u8217?EEE, au sujet d'une modification du protocole 31 de l\u8217?accord EEE concernant la coopération dans des secteurs particuliers en dehors des quatre libertés_x000b_(Ligne budgétaire 02 03 0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before="0"/>
      <w:ind w:left="283"/>
      <w:jc w:val="left"/>
    </w:pPr>
  </w:style>
  <w:style w:type="character" w:customStyle="1" w:styleId="BodyTextIndentChar">
    <w:name w:val="Body Text Indent Char"/>
    <w:link w:val="BodyTextIndent"/>
    <w:uiPriority w:val="99"/>
    <w:locked/>
    <w:rPr>
      <w:sz w:val="24"/>
      <w:lang w:val="fr-FR" w:eastAsia="fr-FR"/>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locked/>
    <w:rPr>
      <w:sz w:val="24"/>
      <w:lang w:val="fr-FR"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74">
      <w:bodyDiv w:val="1"/>
      <w:marLeft w:val="0"/>
      <w:marRight w:val="0"/>
      <w:marTop w:val="0"/>
      <w:marBottom w:val="0"/>
      <w:divBdr>
        <w:top w:val="none" w:sz="0" w:space="0" w:color="auto"/>
        <w:left w:val="none" w:sz="0" w:space="0" w:color="auto"/>
        <w:bottom w:val="none" w:sz="0" w:space="0" w:color="auto"/>
        <w:right w:val="none" w:sz="0" w:space="0" w:color="auto"/>
      </w:divBdr>
    </w:div>
    <w:div w:id="1756441612">
      <w:marLeft w:val="0"/>
      <w:marRight w:val="0"/>
      <w:marTop w:val="0"/>
      <w:marBottom w:val="0"/>
      <w:divBdr>
        <w:top w:val="none" w:sz="0" w:space="0" w:color="auto"/>
        <w:left w:val="none" w:sz="0" w:space="0" w:color="auto"/>
        <w:bottom w:val="none" w:sz="0" w:space="0" w:color="auto"/>
        <w:right w:val="none" w:sz="0" w:space="0" w:color="auto"/>
      </w:divBdr>
      <w:divsChild>
        <w:div w:id="1756441606">
          <w:marLeft w:val="0"/>
          <w:marRight w:val="0"/>
          <w:marTop w:val="0"/>
          <w:marBottom w:val="0"/>
          <w:divBdr>
            <w:top w:val="none" w:sz="0" w:space="0" w:color="auto"/>
            <w:left w:val="none" w:sz="0" w:space="0" w:color="auto"/>
            <w:bottom w:val="none" w:sz="0" w:space="0" w:color="auto"/>
            <w:right w:val="none" w:sz="0" w:space="0" w:color="auto"/>
          </w:divBdr>
          <w:divsChild>
            <w:div w:id="1756441607">
              <w:marLeft w:val="2"/>
              <w:marRight w:val="2"/>
              <w:marTop w:val="0"/>
              <w:marBottom w:val="0"/>
              <w:divBdr>
                <w:top w:val="none" w:sz="0" w:space="0" w:color="auto"/>
                <w:left w:val="none" w:sz="0" w:space="0" w:color="auto"/>
                <w:bottom w:val="none" w:sz="0" w:space="0" w:color="auto"/>
                <w:right w:val="none" w:sz="0" w:space="0" w:color="auto"/>
              </w:divBdr>
              <w:divsChild>
                <w:div w:id="1756441615">
                  <w:marLeft w:val="0"/>
                  <w:marRight w:val="0"/>
                  <w:marTop w:val="0"/>
                  <w:marBottom w:val="0"/>
                  <w:divBdr>
                    <w:top w:val="none" w:sz="0" w:space="0" w:color="auto"/>
                    <w:left w:val="none" w:sz="0" w:space="0" w:color="auto"/>
                    <w:bottom w:val="none" w:sz="0" w:space="0" w:color="auto"/>
                    <w:right w:val="none" w:sz="0" w:space="0" w:color="auto"/>
                  </w:divBdr>
                  <w:divsChild>
                    <w:div w:id="1756441609">
                      <w:marLeft w:val="0"/>
                      <w:marRight w:val="0"/>
                      <w:marTop w:val="0"/>
                      <w:marBottom w:val="0"/>
                      <w:divBdr>
                        <w:top w:val="none" w:sz="0" w:space="0" w:color="auto"/>
                        <w:left w:val="none" w:sz="0" w:space="0" w:color="auto"/>
                        <w:bottom w:val="none" w:sz="0" w:space="0" w:color="auto"/>
                        <w:right w:val="none" w:sz="0" w:space="0" w:color="auto"/>
                      </w:divBdr>
                      <w:divsChild>
                        <w:div w:id="1756441616">
                          <w:marLeft w:val="0"/>
                          <w:marRight w:val="0"/>
                          <w:marTop w:val="0"/>
                          <w:marBottom w:val="0"/>
                          <w:divBdr>
                            <w:top w:val="none" w:sz="0" w:space="0" w:color="auto"/>
                            <w:left w:val="none" w:sz="0" w:space="0" w:color="auto"/>
                            <w:bottom w:val="none" w:sz="0" w:space="0" w:color="auto"/>
                            <w:right w:val="none" w:sz="0" w:space="0" w:color="auto"/>
                          </w:divBdr>
                          <w:divsChild>
                            <w:div w:id="1756441617">
                              <w:marLeft w:val="0"/>
                              <w:marRight w:val="0"/>
                              <w:marTop w:val="0"/>
                              <w:marBottom w:val="0"/>
                              <w:divBdr>
                                <w:top w:val="none" w:sz="0" w:space="0" w:color="auto"/>
                                <w:left w:val="none" w:sz="0" w:space="0" w:color="auto"/>
                                <w:bottom w:val="none" w:sz="0" w:space="0" w:color="auto"/>
                                <w:right w:val="none" w:sz="0" w:space="0" w:color="auto"/>
                              </w:divBdr>
                              <w:divsChild>
                                <w:div w:id="1756441610">
                                  <w:marLeft w:val="0"/>
                                  <w:marRight w:val="0"/>
                                  <w:marTop w:val="0"/>
                                  <w:marBottom w:val="0"/>
                                  <w:divBdr>
                                    <w:top w:val="none" w:sz="0" w:space="0" w:color="auto"/>
                                    <w:left w:val="none" w:sz="0" w:space="0" w:color="auto"/>
                                    <w:bottom w:val="none" w:sz="0" w:space="0" w:color="auto"/>
                                    <w:right w:val="none" w:sz="0" w:space="0" w:color="auto"/>
                                  </w:divBdr>
                                  <w:divsChild>
                                    <w:div w:id="1756441614">
                                      <w:marLeft w:val="0"/>
                                      <w:marRight w:val="0"/>
                                      <w:marTop w:val="0"/>
                                      <w:marBottom w:val="0"/>
                                      <w:divBdr>
                                        <w:top w:val="none" w:sz="0" w:space="0" w:color="auto"/>
                                        <w:left w:val="none" w:sz="0" w:space="0" w:color="auto"/>
                                        <w:bottom w:val="none" w:sz="0" w:space="0" w:color="auto"/>
                                        <w:right w:val="none" w:sz="0" w:space="0" w:color="auto"/>
                                      </w:divBdr>
                                      <w:divsChild>
                                        <w:div w:id="1756441611">
                                          <w:marLeft w:val="0"/>
                                          <w:marRight w:val="0"/>
                                          <w:marTop w:val="0"/>
                                          <w:marBottom w:val="0"/>
                                          <w:divBdr>
                                            <w:top w:val="none" w:sz="0" w:space="0" w:color="auto"/>
                                            <w:left w:val="none" w:sz="0" w:space="0" w:color="auto"/>
                                            <w:bottom w:val="none" w:sz="0" w:space="0" w:color="auto"/>
                                            <w:right w:val="none" w:sz="0" w:space="0" w:color="auto"/>
                                          </w:divBdr>
                                          <w:divsChild>
                                            <w:div w:id="1756441613">
                                              <w:marLeft w:val="0"/>
                                              <w:marRight w:val="0"/>
                                              <w:marTop w:val="0"/>
                                              <w:marBottom w:val="0"/>
                                              <w:divBdr>
                                                <w:top w:val="none" w:sz="0" w:space="0" w:color="auto"/>
                                                <w:left w:val="none" w:sz="0" w:space="0" w:color="auto"/>
                                                <w:bottom w:val="none" w:sz="0" w:space="0" w:color="auto"/>
                                                <w:right w:val="none" w:sz="0" w:space="0" w:color="auto"/>
                                              </w:divBdr>
                                              <w:divsChild>
                                                <w:div w:id="17564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610</Words>
  <Characters>3174</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2014-02-26T13:25:00Z</cp:lastPrinted>
  <dcterms:created xsi:type="dcterms:W3CDTF">2016-04-06T12:17:00Z</dcterms:created>
  <dcterms:modified xsi:type="dcterms:W3CDTF">2016-04-12T08:19:00Z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03)</vt:lpwstr>
  </property>
</Properties>
</file>