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19B9F08C00C462CA67AD6C6078269BA"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pStyle w:val="ManualHeading2"/>
        <w:rPr>
          <w:rFonts w:eastAsia="Arial Unicode MS"/>
          <w:noProof/>
        </w:rPr>
      </w:pPr>
      <w:r>
        <w:t>1.1.</w:t>
      </w:r>
      <w:r>
        <w:tab/>
      </w:r>
      <w:r>
        <w:rPr>
          <w:noProof/>
        </w:rPr>
        <w:t>Основания и цели на предложението</w:t>
      </w:r>
    </w:p>
    <w:p>
      <w:pPr>
        <w:autoSpaceDE w:val="0"/>
        <w:autoSpaceDN w:val="0"/>
        <w:adjustRightInd w:val="0"/>
        <w:spacing w:before="0" w:after="0"/>
        <w:rPr>
          <w:b/>
          <w:noProof/>
          <w:color w:val="000000"/>
        </w:rPr>
      </w:pPr>
      <w:r>
        <w:rPr>
          <w:b/>
          <w:noProof/>
          <w:color w:val="000000"/>
        </w:rPr>
        <w:t>Общи положения</w:t>
      </w:r>
    </w:p>
    <w:p>
      <w:pPr>
        <w:autoSpaceDE w:val="0"/>
        <w:autoSpaceDN w:val="0"/>
        <w:adjustRightInd w:val="0"/>
        <w:spacing w:before="0" w:after="0"/>
        <w:rPr>
          <w:noProof/>
          <w:color w:val="000000"/>
        </w:rPr>
      </w:pPr>
      <w:r>
        <w:rPr>
          <w:noProof/>
          <w:color w:val="000000"/>
        </w:rPr>
        <w:t>На 8 декември 2015 г. Съветът прие Решение (ЕС) 2015/2394 относно позицията, която трябва да се заеме от държавите членки от името на Европейския съюз във връзка с решенията, които трябва да приеме постоянната комисия на Евроконтрол относно ролите и задачите на Евроконтрол и относно централизираните услуги. Постоянната комисия на Евроконтрол трябваше да вземе тези решения за централизирани услуги на 9 декември 2015 г., за да може Евроконтрол да разработи финансирането, реда и условията при обществените поръчки и техническите спецификации с оглед на навременното внедряване на новите „Европейски услуги за предаване на данни въздух/земя“ (EAGDCS).</w:t>
      </w: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r>
        <w:rPr>
          <w:noProof/>
          <w:color w:val="000000"/>
        </w:rPr>
        <w:t xml:space="preserve">Тъй като Съюзът не е представен в постоянната комисия, решението на Съвета трябваше да бъде изпълнено от държавите членки, които участват в постоянната комисия, действащи съвместно в интерес на Съюза. </w:t>
      </w: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r>
        <w:rPr>
          <w:noProof/>
          <w:color w:val="000000"/>
        </w:rPr>
        <w:t>Съветът реши, че позицията на ЕС следва да бъде да се отложи приемането на решение на Евроконтрол за централизирани услуги, тъй като няма достатъчно налична информация, за да се оцени това решение по същество. Освен това, подобно решение би предопределило бъдещата дейност на Евроконтрол по начин, който би бил в ущърб на дейността на Съюза в тази област, особено по отношение на изследването за управление на въздушното движение в единното европейско небе (SESAR).</w:t>
      </w: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r>
        <w:rPr>
          <w:noProof/>
          <w:color w:val="000000"/>
        </w:rPr>
        <w:t>Тъй като Евроконтрол разработва понастоящем 18 различни централизирани услуги, позицията на Съюза се отнасяше не само за EAGDCS, а за всички централизирани услуги, потенциално разработвани за внедряване, тъй като всички те са свързани по сходен начин с дейността на Съюза в тази област, особено по отношение на SESAR.</w:t>
      </w: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r>
        <w:rPr>
          <w:noProof/>
          <w:color w:val="000000"/>
        </w:rPr>
        <w:t>На 9 декември 2015 г., вследствие на посочената по-горе позиция на Съюза, постоянната комисия на Евроконтрол не взе решение относно EAGDCS. Вместо това беше договорено, че Евроконтрол следва да продължи да работи по преразгледано решение за централизирани услуги в тясно сътрудничество със своите заинтересовани страни и следва също така да направи оценка на икономическото въздействие от въвеждането и експлоатацията на EAGDCS.</w:t>
      </w: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r>
        <w:rPr>
          <w:noProof/>
          <w:color w:val="000000"/>
        </w:rPr>
        <w:t>На 9 февруари 2016 г. агенция Евроконтрол и заинтересованите страни от отрасъла изпратиха съвместно подписано преразгледано предложение за EAGDCS на Комисията, в което двете страни посочиха, че изискваната оценка на икономическото въздействие е налице в проведените проучвания за осъществимост, представени на Изпълнителната агенция за иновации и мрежи (INEA) в края на 2015 г.  Тези изследвания обаче съдържат само повърхностен анализ на разходите и ползите, а все пак е необходима цялостна оценка на икономическото въздействие от централизирането на EAGDCS.</w:t>
      </w: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r>
        <w:rPr>
          <w:noProof/>
          <w:color w:val="000000"/>
        </w:rPr>
        <w:t>В допълнение Евроконтрол може да предложи на постоянната комисия на Евроконтрол да приеме това ново решение относно EAGDCS в писмена процедура.</w:t>
      </w: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r>
        <w:rPr>
          <w:noProof/>
          <w:color w:val="000000"/>
        </w:rPr>
        <w:t xml:space="preserve">Настоящото предложение за решение на Съвета се отнася до EAGDCS. Предлага се, що се отнася до разработването на опитен образец, да се подкрепи по принцип продължаването на сътрудничеството между Евроконтрол и доставчиците на аеронавигационно обслужване от държавите — членки на Евроконтрол, както и с управителния орган на мрежата. Предложението обаче определя също така три важни условия, които едно такова решение следва да съдържа. </w:t>
      </w: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r>
        <w:rPr>
          <w:noProof/>
          <w:color w:val="000000"/>
        </w:rPr>
        <w:t xml:space="preserve">Първото условие е, че разработването на опитен образец трябва изцяло да вземе предвид техническата работа, извършена от съвместното предприятие SESAR (СП SESAR). Целта е да се избегне разминаването между текущите и евентуалните бъдещи дейности на двете организации при разработването на съответните централизирани услуги. </w:t>
      </w: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r>
        <w:rPr>
          <w:noProof/>
          <w:color w:val="000000"/>
        </w:rPr>
        <w:t>На второ място, трябва да се гарантира участието на ЕААБ предвид факта, че ЕААБ ще трябва да извършва сертифицирането и надзора на всяка централно предоставяна услуга преди тя да бъде въведена в експлоатация. По този начин следва да се избегнат потенциални несъответствия в тази област и да се гарантира, че средствата, идващи както от пътните такси, така и от подпомагането от Съюза, се изразходват възможно най-ефективно.</w:t>
      </w: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r>
        <w:rPr>
          <w:noProof/>
          <w:color w:val="000000"/>
        </w:rPr>
        <w:t xml:space="preserve">Не на последно място, разпоредбите на настоящото решение следва да бъдат такива, че да не засягат обществените поръчки, внедряването и експлоатацията на такива услуги на вътрешния пазар. Прилагането на правилата за обществени поръчки на ЕС по отношение на услугите, които се предоставят в рамките на „Единно европейско небе“ (ЕЕН), следва да се запази, с цел постигане на максимална ефективност на разходите. </w:t>
      </w: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r>
        <w:rPr>
          <w:noProof/>
          <w:color w:val="000000"/>
        </w:rPr>
        <w:t>Обобщените по-горе условия се смятат за съществени. Предвид тяхното естество и обхват, те могат да бъдат от значение и за позицията на Съюза по отношение на бъдещи решения на Евроконтрол в областта на централизираните услуги. Комисията ще разглежда подробно тези въпроси всеки път, когато възникне необходимост от ново предложение.</w:t>
      </w:r>
    </w:p>
    <w:p>
      <w:pPr>
        <w:autoSpaceDE w:val="0"/>
        <w:autoSpaceDN w:val="0"/>
        <w:adjustRightInd w:val="0"/>
        <w:spacing w:before="0" w:after="0"/>
        <w:rPr>
          <w:noProof/>
          <w:color w:val="000000"/>
        </w:rPr>
      </w:pPr>
    </w:p>
    <w:p>
      <w:pPr>
        <w:rPr>
          <w:b/>
          <w:noProof/>
        </w:rPr>
      </w:pPr>
      <w:r>
        <w:rPr>
          <w:b/>
          <w:noProof/>
        </w:rPr>
        <w:t xml:space="preserve">Контекст във връзка с развитието на централизирани услуги за УВД </w:t>
      </w:r>
    </w:p>
    <w:p>
      <w:pPr>
        <w:rPr>
          <w:noProof/>
        </w:rPr>
      </w:pPr>
      <w:r>
        <w:rPr>
          <w:noProof/>
        </w:rPr>
        <w:t>Агенция „Евроконтрол“ е постигнала значителен напредък в работата си по централизираните услуги от нейното начало в края на 2012 г. На агенция „Евроконтрол“ беше разрешено от постоянната ѝ комисия през февруари 2014 г. да започне поетапен подход към оценката и доказването на оперативната, техническата и финансовата осъществимост на тези потенциални централизирани услуги, като се отчита различната степен на развитие на услугите. Евроконтрол проведе впоследствие поредица от семинари и разработи оперативни концепции (CONOP) за редица централизирани услуги. Агенцията изготви общ анализ на разходите и ползите (АРП), който беше одобрен от независим консултант — въпреки че подробностите от този АРП не са били обект на публичен контрол.</w:t>
      </w:r>
    </w:p>
    <w:p>
      <w:pPr>
        <w:pStyle w:val="ManualHeading1"/>
        <w:rPr>
          <w:noProof/>
        </w:rPr>
      </w:pPr>
      <w:r>
        <w:t>2.</w:t>
      </w:r>
      <w:r>
        <w:tab/>
      </w:r>
      <w:r>
        <w:rPr>
          <w:noProof/>
        </w:rPr>
        <w:t>ПРАВНИ ЕЛЕМЕНТИ НА ПРЕДЛОЖЕНИЕТО</w:t>
      </w:r>
    </w:p>
    <w:p>
      <w:pPr>
        <w:spacing w:before="0" w:after="0"/>
        <w:rPr>
          <w:noProof/>
        </w:rPr>
      </w:pPr>
    </w:p>
    <w:p>
      <w:pPr>
        <w:spacing w:before="0" w:after="0"/>
        <w:rPr>
          <w:noProof/>
        </w:rPr>
      </w:pPr>
      <w:r>
        <w:rPr>
          <w:noProof/>
        </w:rPr>
        <w:t>В контекста на гореизложеното, по-специално наличието на преразгледано предложение за европейските услуги за предаване на данни въздух/земя (EAGDCS) и въз основа на член 100, параграф 2 и член 218, параграф 9 от ДФЕС, се предлага приемането на нова позиция, която да бъде заета от името на Съюза по отношение на решенията, които предстои да бъдат приети от постоянната комисия на Евроконтрол относно ролите и задачите на Евроконтрол и относно централизираните услуги.</w:t>
      </w:r>
    </w:p>
    <w:p>
      <w:pPr>
        <w:spacing w:before="0" w:after="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2016/0118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да се заеме от името на Европейския съюз във връзка с решенията, които трябва да бъдат приети от постоянната комисия на Евроконтрол относно ролите и задачите на Евроконтрол и относно централизираните услуги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и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(ЕС) 2015/2394 на Съвета от 8 декември 2015 г. бе установена позицията на Съюза по отношение на решение във връзка с централизираните услуги, което постоянната комисия на Евроконтрол бе запланувано да приеме на 9 декември 2015 г., за да може Евроконтрол да разработи финансирането, реда и условията за обществените поръчки и техническите спецификации с оглед на навременното внедряване на новите „Европейски услуги за предаване на данни въздух/земя“ (EAGDCS).</w:t>
      </w:r>
    </w:p>
    <w:p>
      <w:pPr>
        <w:pStyle w:val="ManualConsidrant"/>
        <w:rPr>
          <w:noProof/>
        </w:rPr>
      </w:pPr>
      <w:r>
        <w:t>(2)</w:t>
      </w:r>
      <w:r>
        <w:tab/>
      </w:r>
      <w:r>
        <w:rPr>
          <w:noProof/>
        </w:rPr>
        <w:t>Позицията на Съюза гласеше, че решението на Евроконтрол за такива услуги следва да се отложи, тъй като нямаше достатъчно налична информация, за да се оцени това решение по същество, и тъй като то би предопределило бъдещата дейност на Евроконтрол по начин, който би бил в ущърб на дейността на Съюза в тази област.</w:t>
      </w:r>
    </w:p>
    <w:p>
      <w:pPr>
        <w:pStyle w:val="ManualConsidrant"/>
        <w:rPr>
          <w:noProof/>
        </w:rPr>
      </w:pPr>
      <w:r>
        <w:t>(3)</w:t>
      </w:r>
      <w:r>
        <w:tab/>
      </w:r>
      <w:r>
        <w:rPr>
          <w:noProof/>
        </w:rPr>
        <w:t>На 9 декември 2015 г., вследствие на посочената по-горе позиция на Съюза, постоянната комисия на Евроконтрол не взе решение относно EAGDCS и отправи искане към Евроконтрол да продължи да работи по преразгледано предложение в тясно сътрудничество със заинтересованите страни от отрасъла, и да представи оценка на икономическите разходи на EAGDCS.</w:t>
      </w:r>
    </w:p>
    <w:p>
      <w:pPr>
        <w:pStyle w:val="ManualConsidrant"/>
        <w:rPr>
          <w:noProof/>
        </w:rPr>
      </w:pPr>
      <w:r>
        <w:t>(4)</w:t>
      </w:r>
      <w:r>
        <w:tab/>
      </w:r>
      <w:r>
        <w:rPr>
          <w:noProof/>
        </w:rPr>
        <w:t>На 9 февруари 2016 г. агенция Евроконтрол и заинтересованите страни от отрасъла представиха преработено и подкрепено от всички страни предложение за EAGDCS и гарантираха наличието на цялостната оценка на икономическите разходи чрез съществуващите проучвания на осъществимостта.</w:t>
      </w:r>
    </w:p>
    <w:p>
      <w:pPr>
        <w:pStyle w:val="ManualConsidrant"/>
        <w:rPr>
          <w:noProof/>
        </w:rPr>
      </w:pPr>
      <w:r>
        <w:t>(5)</w:t>
      </w:r>
      <w:r>
        <w:tab/>
      </w:r>
      <w:r>
        <w:rPr>
          <w:noProof/>
        </w:rPr>
        <w:t>Евроконтрол може да предложи на постоянната комисия на Евроконтрол да приеме това ново решение относно EAGDCS в писмена процедура.</w:t>
      </w:r>
    </w:p>
    <w:p>
      <w:pPr>
        <w:pStyle w:val="ManualConsidrant"/>
        <w:rPr>
          <w:noProof/>
        </w:rPr>
      </w:pPr>
      <w:r>
        <w:t>(6)</w:t>
      </w:r>
      <w:r>
        <w:tab/>
      </w:r>
      <w:r>
        <w:rPr>
          <w:noProof/>
        </w:rPr>
        <w:t>Решението се отнася до разработването на опитен образец за EAGDCS. То има правни последици, тъй като урежда ситуации, попадащи в приложното поле на правото на Съюза и, в зависимост от съдържанието си, може да има конкретно въздействие върху тези ситуации. Решението може да окаже въздействие върху ползите, произтичащи от техническата работа по услугата за осъществяване на линия за предаване на данни, извършвана от Съвместното предприятие SESAR, върху риска от несъответствия в областта на сертифицирането и надзора, предвид ролята на ЕААБ в тази област, а оттам и върху риска от неефективно изразходване на средствата от пътни такси и подпомагането от страна на Съюза, както и разходната ефективност на съответните внедрителски дейности, които ще се осъществяват от Съюза в рамките на проекта SESAR.</w:t>
      </w:r>
    </w:p>
    <w:p>
      <w:pPr>
        <w:pStyle w:val="ManualConsidrant"/>
        <w:rPr>
          <w:noProof/>
        </w:rPr>
      </w:pPr>
      <w:r>
        <w:t>(7)</w:t>
      </w:r>
      <w:r>
        <w:tab/>
      </w:r>
      <w:r>
        <w:rPr>
          <w:noProof/>
        </w:rPr>
        <w:t xml:space="preserve">Предвид потенциалните предимства от разработването на опитен образец, решението в полза на съответното сътрудничество следва да бъде подкрепено по принцип. Същевременно решението следва да съдържа условия, които опазват интересите на Съюза по гореизложените точки. </w:t>
      </w:r>
    </w:p>
    <w:p>
      <w:pPr>
        <w:pStyle w:val="ManualConsidrant"/>
        <w:rPr>
          <w:noProof/>
        </w:rPr>
      </w:pPr>
      <w:r>
        <w:t>(8)</w:t>
      </w:r>
      <w:r>
        <w:tab/>
      </w:r>
      <w:r>
        <w:rPr>
          <w:noProof/>
        </w:rPr>
        <w:t xml:space="preserve">Поради това следва да се установи позицията, която да бъде заета от името на Съюза в рамките на постоянната комисия на Евроконтрол, </w:t>
      </w:r>
    </w:p>
    <w:p>
      <w:pPr>
        <w:pStyle w:val="Formuledadoption"/>
        <w:rPr>
          <w:noProof/>
        </w:rPr>
      </w:pPr>
      <w:r>
        <w:rPr>
          <w:noProof/>
        </w:rPr>
        <w:t>РЕШИ:</w:t>
      </w:r>
    </w:p>
    <w:p>
      <w:pPr>
        <w:pStyle w:val="Titrearticle"/>
        <w:rPr>
          <w:noProof/>
        </w:rPr>
      </w:pPr>
      <w:r>
        <w:rPr>
          <w:noProof/>
        </w:rPr>
        <w:t>Член 1</w:t>
      </w:r>
    </w:p>
    <w:p>
      <w:pPr>
        <w:rPr>
          <w:noProof/>
        </w:rPr>
      </w:pPr>
      <w:r>
        <w:rPr>
          <w:noProof/>
        </w:rPr>
        <w:t xml:space="preserve">Позицията, която трябва да се заеме от държавите членки от името на Съюза в постоянната комисия на Евроконтрол е в подкрепа на продължаване на сътрудничеството на Евроконтрол с доставчиците на аеронавигационно обслужване от държавите — членки на Евроконтрол, и с управителния орган на мрежата за разработването на опитен образец за европейски услуги за предаване на данни въздух/земя (EAGDCS) в контекста на проекта SESAR, включително разработването на подходящо управление и финансиране, и на цялостна оценка на икономическото въздействие. Такова решение обаче следва да гарантира, че  </w:t>
      </w:r>
    </w:p>
    <w:p>
      <w:pPr>
        <w:pStyle w:val="Tiret1"/>
        <w:numPr>
          <w:ilvl w:val="0"/>
          <w:numId w:val="11"/>
        </w:numPr>
        <w:ind w:left="1134"/>
        <w:rPr>
          <w:noProof/>
        </w:rPr>
      </w:pPr>
      <w:r>
        <w:rPr>
          <w:noProof/>
        </w:rPr>
        <w:t xml:space="preserve">резултатите от техническите работи по линията за предаване на данни, извършени от съвместното предприятие SESAR, ще бъдат изцяло взети под внимание, </w:t>
      </w:r>
    </w:p>
    <w:p>
      <w:pPr>
        <w:pStyle w:val="Tiret1"/>
        <w:numPr>
          <w:ilvl w:val="0"/>
          <w:numId w:val="11"/>
        </w:numPr>
        <w:ind w:left="1134"/>
        <w:rPr>
          <w:noProof/>
        </w:rPr>
      </w:pPr>
      <w:r>
        <w:rPr>
          <w:noProof/>
        </w:rPr>
        <w:t xml:space="preserve">дейностите по решението се провеждат в сътрудничество с ЕААБ, доколкото се отнасят до подготвителната работа на ЕААБ за бъдещото сертифициране и надзор на EAGDCS и </w:t>
      </w:r>
    </w:p>
    <w:p>
      <w:pPr>
        <w:pStyle w:val="Tiret1"/>
        <w:numPr>
          <w:ilvl w:val="0"/>
          <w:numId w:val="11"/>
        </w:numPr>
        <w:ind w:left="1134"/>
        <w:rPr>
          <w:noProof/>
        </w:rPr>
      </w:pPr>
      <w:r>
        <w:rPr>
          <w:noProof/>
        </w:rPr>
        <w:t>не се засягат обществените поръчки във връзка с EAGDCS, както и тяхното внедряване и използване.</w:t>
      </w:r>
    </w:p>
    <w:p>
      <w:pPr>
        <w:rPr>
          <w:noProof/>
        </w:rPr>
      </w:pPr>
    </w:p>
    <w:p>
      <w:pPr>
        <w:rPr>
          <w:noProof/>
        </w:rPr>
      </w:pPr>
      <w:r>
        <w:rPr>
          <w:noProof/>
        </w:rPr>
        <w:t>Държавите членки действат съвместно в интерес на Съюза.</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380E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EA4404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96E6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CDC78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36A57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EF0F1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8A26850"/>
    <w:lvl w:ilvl="0">
      <w:start w:val="1"/>
      <w:numFmt w:val="decimal"/>
      <w:pStyle w:val="ListNumber"/>
      <w:lvlText w:val="%1."/>
      <w:lvlJc w:val="left"/>
      <w:pPr>
        <w:tabs>
          <w:tab w:val="num" w:pos="360"/>
        </w:tabs>
        <w:ind w:left="360" w:hanging="360"/>
      </w:pPr>
    </w:lvl>
  </w:abstractNum>
  <w:abstractNum w:abstractNumId="7">
    <w:nsid w:val="FFFFFF89"/>
    <w:multiLevelType w:val="singleLevel"/>
    <w:tmpl w:val="0F3838A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oNotTrackMoves/>
  <w:defaultTabStop w:val="720"/>
  <w:hyphenationZone w:val="425"/>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4-20 10:27: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19B9F08C00C462CA67AD6C6078269BA"/>
    <w:docVar w:name="LW_CROSSREFERENCE" w:val="&lt;UNUSED&gt;"/>
    <w:docVar w:name="LW_DocType" w:val="COM"/>
    <w:docVar w:name="LW_EMISSION" w:val="22.4.2016"/>
    <w:docVar w:name="LW_EMISSION_ISODATE" w:val="2016-04-2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18"/>
    <w:docVar w:name="LW_REF.II.NEW.CP_YEAR" w:val="2016"/>
    <w:docVar w:name="LW_REF.INST.NEW" w:val="COM"/>
    <w:docVar w:name="LW_REF.INST.NEW_ADOPTED" w:val="final"/>
    <w:docVar w:name="LW_REF.INST.NEW_TEXT" w:val="(2016) 226"/>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u1098?\u1074? \u1074?\u1088?\u1098?\u1079?\u1082?\u1072? \u1089? \u1088?\u1077?\u1096?\u1077?\u1085?\u1080?\u1103?\u1090?\u1072?, \u1082?\u1086?\u1080?\u1090?\u1086? \u1090?\u1088?\u1103?\u1073?\u1074?\u1072? \u1076?\u1072? \u1073?\u1098?\u1076?\u1072?\u1090? \u1087?\u1088?\u1080?\u1077?\u1090?\u1080? \u1086?\u1090? \u1087?\u1086?\u1089?\u1090?\u1086?\u1103?\u1085?\u1085?\u1072?\u1090?\u1072? \u1082?\u1086?\u1084?\u1080?\u1089?\u1080?\u1103? \u1085?\u1072? \u1045?\u1074?\u1088?\u1086?\u1082?\u1086?\u1085?\u1090?\u1088?\u1086?\u1083? \u1086?\u1090?\u1085?\u1086?\u1089?\u1085?\u1086? \u1088?\u1086?\u1083?\u1080?\u1090?\u1077? \u1080? \u1079?\u1072?\u1076?\u1072?\u1095?\u1080?\u1090?\u1077? \u1085?\u1072? \u1045?\u1074?\u1088?\u1086?\u1082?\u1086?\u1085?\u1090?\u1088?\u1086?\u1083? \u1080? \u1086?\u1090?\u1085?\u1086?\u1089?\u1085?\u1086? \u1094?\u1077?\u1085?\u1090?\u1088?\u1072?\u1083?\u1080?\u1079?\u1080?\u1088?\u1072?\u1085?\u1080?\u1090?\u1077? \u1091?\u1089?\u1083?\u1091?\u1075?\u1080?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1F820-0F62-4C93-9C12-B16D126E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1563</Words>
  <Characters>9054</Characters>
  <Application>Microsoft Office Word</Application>
  <DocSecurity>0</DocSecurity>
  <Lines>184</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2016-03-21T13:54:00Z</cp:lastPrinted>
  <dcterms:created xsi:type="dcterms:W3CDTF">2016-04-19T09:17:00Z</dcterms:created>
  <dcterms:modified xsi:type="dcterms:W3CDTF">2016-04-20T08:27:00Z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