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2AD00F0CBB444C0DB9F6DFD86974384B" style="width:450.8pt;height:375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>to COMMISSION DELEGATED REGULATION (EU) …/… of 4.2.2016 specifying further the circumstances where exclusion from the application of write-down or conversion powers is necessary under Article 44(3) of Directive 2014/59/EU of the European Parliament and of the Council establishing a framework for the recovery and resolution of credit institutions and investment firms</w:t>
      </w:r>
      <w:r>
        <w:rPr>
          <w:noProof/>
        </w:rPr>
        <w:br/>
      </w:r>
    </w:p>
    <w:p>
      <w:pPr>
        <w:rPr>
          <w:rFonts w:ascii="EUAlbertina" w:hAnsi="EUAlbertina"/>
          <w:noProof/>
        </w:rPr>
      </w:pPr>
      <w:r>
        <w:rPr>
          <w:noProof/>
        </w:rPr>
        <w:br/>
      </w:r>
      <w:r>
        <w:rPr>
          <w:noProof/>
        </w:rPr>
        <w:br/>
        <w:t xml:space="preserve">On page 17, in Article 9: </w:t>
      </w:r>
    </w:p>
    <w:p>
      <w:pPr>
        <w:pStyle w:val="Default"/>
        <w:jc w:val="both"/>
        <w:rPr>
          <w:noProof/>
        </w:rPr>
      </w:pPr>
      <w:r>
        <w:rPr>
          <w:i/>
          <w:noProof/>
        </w:rPr>
        <w:t>for:</w:t>
      </w:r>
      <w:r>
        <w:rPr>
          <w:noProof/>
        </w:rPr>
        <w:t xml:space="preserve"> 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Article 9</w:t>
      </w:r>
    </w:p>
    <w:p>
      <w:pPr>
        <w:pStyle w:val="Titrearticle"/>
        <w:spacing w:before="0"/>
        <w:rPr>
          <w:noProof/>
        </w:rPr>
      </w:pPr>
      <w:r>
        <w:rPr>
          <w:noProof/>
        </w:rPr>
        <w:t xml:space="preserve">Exclusion on grounds of avoidance of a decrease in value under article 44 (3)(d) of Directive 2014/59/EU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Resolution authorities may exclude a liability or class of liabilities from a bail-in where such exclusion would avoid value destruction so that the holders of the non-excluded liabilities would be better off than they would be if the former were bailed-in. </w:t>
      </w:r>
    </w:p>
    <w:p>
      <w:pPr>
        <w:pStyle w:val="Point1"/>
        <w:ind w:left="851" w:hanging="1"/>
        <w:rPr>
          <w:noProof/>
        </w:rPr>
      </w:pPr>
      <w:r>
        <w:rPr>
          <w:noProof/>
        </w:rPr>
        <w:t>Resolution authorities may exclude a liability from a bail-in pursuant to Article 44(3)(d) of Directive 2014/59/EU where the benefit of exclusion for other creditors would outweigh their contribution to loss absorption and recapitalization did the exclusion not take place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In order to assess whether the condition in paragraph 1 is met, resolution authorities shall compare and evaluate the outcome for all creditors resulting from a potential bail-in and non-bail, in accordance with Article 36 (16) and Article 49 (5) of Directive 2014/59/EU. </w:t>
      </w:r>
    </w:p>
    <w:p>
      <w:pPr>
        <w:pStyle w:val="Default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</w:rPr>
        <w:t xml:space="preserve"> </w:t>
      </w:r>
    </w:p>
    <w:p>
      <w:pPr>
        <w:pStyle w:val="Default"/>
        <w:jc w:val="both"/>
        <w:rPr>
          <w:noProof/>
          <w:sz w:val="23"/>
          <w:szCs w:val="23"/>
        </w:rPr>
      </w:pPr>
    </w:p>
    <w:p>
      <w:pPr>
        <w:pStyle w:val="Default"/>
        <w:jc w:val="both"/>
        <w:rPr>
          <w:noProof/>
        </w:rPr>
      </w:pPr>
      <w:bookmarkStart w:id="1" w:name="_CopyToNewDocument_"/>
      <w:r>
        <w:rPr>
          <w:i/>
          <w:noProof/>
        </w:rPr>
        <w:t>read:</w:t>
      </w:r>
      <w:r>
        <w:rPr>
          <w:noProof/>
        </w:rPr>
        <w:t xml:space="preserve"> 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Article 9</w:t>
      </w:r>
    </w:p>
    <w:p>
      <w:pPr>
        <w:pStyle w:val="Titrearticle"/>
        <w:spacing w:before="0"/>
        <w:rPr>
          <w:noProof/>
        </w:rPr>
      </w:pPr>
      <w:r>
        <w:rPr>
          <w:noProof/>
        </w:rPr>
        <w:t xml:space="preserve">Exclusion on grounds of avoidance of a decrease in value under article 44 (3)(d) of Directive 2014/59/EU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Resolution authorities may exclude a liability or class of liabilities from a bail-in where such exclusion would avoid value destruction so that the holders of the non-excluded liabilities would be better off than they would be if the former were bailed-in. </w:t>
      </w:r>
    </w:p>
    <w:p>
      <w:pPr>
        <w:pStyle w:val="ManualNumPar1"/>
        <w:rPr>
          <w:noProof/>
          <w:sz w:val="23"/>
          <w:szCs w:val="23"/>
        </w:rPr>
      </w:pPr>
      <w:r>
        <w:rPr>
          <w:noProof/>
        </w:rPr>
        <w:t>2.</w:t>
      </w:r>
      <w:r>
        <w:rPr>
          <w:noProof/>
        </w:rPr>
        <w:tab/>
        <w:t xml:space="preserve">In order to assess whether the condition in paragraph 1 is met, resolution authorities shall compare and evaluate the outcome for all creditors resulting from a potential </w:t>
      </w:r>
      <w:r>
        <w:rPr>
          <w:noProof/>
        </w:rPr>
        <w:lastRenderedPageBreak/>
        <w:t xml:space="preserve">bail-in and non-bail-in, in accordance with Article 36 (16) and Article 49 (5) of Directive 2014/59/EU. </w:t>
      </w:r>
    </w:p>
    <w:bookmarkEnd w:id="1"/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AAC59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86EED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80417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8CAE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10CE8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5B00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36C3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980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02 14:06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2AD00F0CBB444C0DB9F6DFD86974384B"/>
    <w:docVar w:name="LW_CROSSREFERENCE" w:val="{C(2016) 379 final}"/>
    <w:docVar w:name="LW_DocType" w:val="COM"/>
    <w:docVar w:name="LW_EMISSION" w:val="17.5.2016"/>
    <w:docVar w:name="LW_EMISSION_ISODATE" w:val="2016-05-17"/>
    <w:docVar w:name="LW_EMISSION_LOCATION" w:val="BRX"/>
    <w:docVar w:name="LW_EMISSION_PREFIX" w:val="Brussels, "/>
    <w:docVar w:name="LW_EMISSION_SUFFIX" w:val=" 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2637"/>
    <w:docVar w:name="LW_REF.INTERNE" w:val="&lt;UNUSED&gt;"/>
    <w:docVar w:name="LW_SOUS.TITRE.OBJ.CP" w:val="&lt;UNUSED&gt;"/>
    <w:docVar w:name="LW_SUPERTITRE" w:val="&lt;UNUSED&gt;"/>
    <w:docVar w:name="LW_TITRE.OBJ.CP" w:val="to COMMISSION DELEGATED REGULATION (EU) \u8230?/\u8230? of 4.2.2016 specifying further the circumstances where exclusion from the application of write-down or conversion powers is necessary under Article 44(3) of Directive 2014/59/EU of the European Parliament and of the Council establishing a framework for the recovery and resolution of credit institutions and investment firms_x000b_"/>
    <w:docVar w:name="LW_TYPE.DOC.CP" w:val="CORRIGENDUM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3</Pages>
  <Words>313</Words>
  <Characters>1701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2016-04-18T15:34:00Z</cp:lastPrinted>
  <dcterms:created xsi:type="dcterms:W3CDTF">2016-04-26T09:20:00Z</dcterms:created>
  <dcterms:modified xsi:type="dcterms:W3CDTF">2016-05-02T12:06:00Z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03)</vt:lpwstr>
  </property>
</Properties>
</file>