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E2BEB0F25D5472FA718FD4F8DBD6CBE" style="width:450.45pt;height:3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ПОПРАВКА</w:t>
      </w:r>
    </w:p>
    <w:p>
      <w:pPr>
        <w:pStyle w:val="Titreobjet"/>
        <w:rPr>
          <w:noProof/>
        </w:rPr>
      </w:pPr>
      <w:r>
        <w:rPr>
          <w:noProof/>
        </w:rPr>
        <w:t>на Делегиран регламент на Комисията от 4 февруари 2016 година за допълнително уточняване на обстоятелствата, при които е необходимо изключване от приложното поле на правомощията за обезценяване или преобразуване съгласно член 44, параграф 3 от Директива 2014/59/ЕС на Европейския парламент и на Съвета за създаване на рамка за възстановяване и преструктуриране на кредитни институции и инвестиционни посредници</w:t>
      </w:r>
    </w:p>
    <w:p>
      <w:pPr>
        <w:rPr>
          <w:rFonts w:ascii="EUAlbertina" w:hAnsi="EUAlbertina"/>
          <w:noProof/>
        </w:rPr>
      </w:pPr>
      <w:r>
        <w:rPr>
          <w:noProof/>
        </w:rPr>
        <w:t xml:space="preserve">Член 9: </w:t>
      </w:r>
    </w:p>
    <w:p>
      <w:pPr>
        <w:pStyle w:val="Default"/>
        <w:jc w:val="both"/>
        <w:rPr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„Член 9</w:t>
      </w:r>
    </w:p>
    <w:p>
      <w:pPr>
        <w:pStyle w:val="Titrearticle"/>
        <w:spacing w:before="0"/>
        <w:rPr>
          <w:noProof/>
        </w:rPr>
      </w:pPr>
      <w:r>
        <w:rPr>
          <w:noProof/>
        </w:rPr>
        <w:t xml:space="preserve">Изключване на основание избягване на спад в стойността по член 44, параграф 3, буква г) от Директива 2014/59/ЕС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Органите за преструктуриране могат да изключват задължение или клас задължения от инструмента за споделяне на загуби, когато с това изключване може да се избегне загуба на стойност, така че притежателите на задължения, които не са изключени, ще бъдат в по-благоприятна позиция, отколкото биха били, ако задълженията са били обхванати от споделяне на загуби. </w:t>
      </w:r>
    </w:p>
    <w:p>
      <w:pPr>
        <w:pStyle w:val="Point1"/>
        <w:ind w:left="851" w:hanging="1"/>
        <w:rPr>
          <w:noProof/>
        </w:rPr>
      </w:pPr>
      <w:r>
        <w:rPr>
          <w:noProof/>
        </w:rPr>
        <w:t>Органите за преструктуриране могат да изключат задължение от споделяне на загуби в съответствие с член 44, параграф 3, буква г) от Директива 2014/59/ЕС, когато ползата от изключването за други кредитори би надхвърлила приноса към поемането на загубите и рекапитализацията, ако изключването не е било направено.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За да се прецени дали условието, посочено в параграф 1, е изпълнено, органите за преструктуриране сравняват и оценяват резултатите за всички кредитори, произтичащи от потенциалното споделяне или несподеляне на загуби, в съответствие с член 36, параграф 16 и член 49, параграф 5 от Директива 2014/59/ЕС.“, </w:t>
      </w:r>
    </w:p>
    <w:p>
      <w:pPr>
        <w:pStyle w:val="Default"/>
        <w:jc w:val="both"/>
        <w:rPr>
          <w:noProof/>
          <w:sz w:val="23"/>
        </w:rPr>
      </w:pPr>
      <w:r>
        <w:rPr>
          <w:noProof/>
          <w:sz w:val="23"/>
        </w:rPr>
        <w:t xml:space="preserve"> </w:t>
      </w:r>
    </w:p>
    <w:p>
      <w:pPr>
        <w:pStyle w:val="Default"/>
        <w:jc w:val="both"/>
        <w:rPr>
          <w:noProof/>
          <w:sz w:val="23"/>
          <w:szCs w:val="23"/>
        </w:rPr>
      </w:pPr>
    </w:p>
    <w:p>
      <w:pPr>
        <w:pStyle w:val="Default"/>
        <w:jc w:val="both"/>
        <w:rPr>
          <w:noProof/>
        </w:rPr>
      </w:pPr>
      <w:bookmarkStart w:id="1" w:name="_CopyToNewDocument_"/>
      <w:r>
        <w:rPr>
          <w:i/>
          <w:noProof/>
        </w:rPr>
        <w:t>да се чете:</w:t>
      </w:r>
      <w:r>
        <w:rPr>
          <w:noProof/>
        </w:rPr>
        <w:t xml:space="preserve"> 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„Член 9</w:t>
      </w:r>
    </w:p>
    <w:p>
      <w:pPr>
        <w:pStyle w:val="Titrearticle"/>
        <w:spacing w:before="0"/>
        <w:rPr>
          <w:noProof/>
        </w:rPr>
      </w:pPr>
      <w:r>
        <w:rPr>
          <w:noProof/>
        </w:rPr>
        <w:t xml:space="preserve">Изключване на основание избягване на спад в стойността по член 44, параграф 3, буква г) от Директива 2014/59/ЕС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Органите за преструктуриране могат да изключат задължение или клас задължения от инструмента за споделяне на загуби, когато с това изключване може да се избегне загуба на стойност, така че притежателите на задължения, които не са изключени, ще бъдат в по-благоприятна позиция, отколкото ако задълженията са били обхванати от споделяне на загуби. </w:t>
      </w:r>
    </w:p>
    <w:p>
      <w:pPr>
        <w:pStyle w:val="ManualNumPar1"/>
        <w:rPr>
          <w:noProof/>
          <w:sz w:val="23"/>
          <w:szCs w:val="23"/>
        </w:rPr>
      </w:pPr>
      <w:r>
        <w:rPr>
          <w:noProof/>
        </w:rPr>
        <w:t>2.</w:t>
      </w:r>
      <w:r>
        <w:rPr>
          <w:noProof/>
        </w:rPr>
        <w:tab/>
        <w:t xml:space="preserve">За да се прецени дали условието, посочено в параграф 1, е изпълнено, органите за преструктуриране сравняват и оценяват резултатите за всички кредитори, произтичащи от потенциалното споделяне или несподеляне на загуби, в съответствие с член 36, параграф 16 и член 49, параграф 5 от Директива 2014/59/ЕС.“. </w:t>
      </w:r>
    </w:p>
    <w:bookmarkEnd w:id="1"/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AAC59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86EED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80417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8CAE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10CE8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5B00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36C3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980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02 14:06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4E2BEB0F25D5472FA718FD4F8DBD6CBE"/>
    <w:docVar w:name="LW_CROSSREFERENCE" w:val="{C(2016) 379 final}"/>
    <w:docVar w:name="LW_DocType" w:val="COM"/>
    <w:docVar w:name="LW_EMISSION" w:val="17.5.2016"/>
    <w:docVar w:name="LW_EMISSION_ISODATE" w:val="2016-05-17"/>
    <w:docVar w:name="LW_EMISSION_LOCATION" w:val="BRX"/>
    <w:docVar w:name="LW_EMISSION_PREFIX" w:val="Брюксел, "/>
    <w:docVar w:name="LW_EMISSION_SUFFIX" w:val=" \u1075?.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2637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4 \u1092?\u1077?\u1074?\u1088?\u1091?\u1072?\u1088?\u1080? 2016 \u1075?\u1086?\u1076?\u1080?\u1085?\u1072? \u1079?\u1072? \u1076?\u1086?\u1087?\u1098?\u1083?\u1085?\u1080?\u1090?\u1077?\u1083?\u1085?\u1086? \u1091?\u1090?\u1086?\u1095?\u1085?\u1103?\u1074?\u1072?\u1085?\u1077? \u1085?\u1072? \u1086?\u1073?\u1089?\u1090?\u1086?\u1103?\u1090?\u1077?\u1083?\u1089?\u1090?\u1074?\u1072?\u1090?\u1072?, \u1087?\u1088?\u1080? \u1082?\u1086?\u1080?\u1090?\u1086? \u1077? \u1085?\u1077?\u1086?\u1073?\u1093?\u1086?\u1076?\u1080?\u1084?\u1086? \u1080?\u1079?\u1082?\u1083?\u1102?\u1095?\u1074?\u1072?\u1085?\u1077? \u1086?\u1090? \u1087?\u1088?\u1080?\u1083?\u1086?\u1078?\u1085?\u1086?\u1090?\u1086? \u1087?\u1086?\u1083?\u1077? \u1085?\u1072? \u1087?\u1088?\u1072?\u1074?\u1086?\u1084?\u1086?\u1097?\u1080?\u1103?\u1090?\u1072? \u1079?\u1072? \u1086?\u1073?\u1077?\u1079?\u1094?\u1077?\u1085?\u1103?\u1074?\u1072?\u1085?\u1077? \u1080?\u1083?\u1080? \u1087?\u1088?\u1077?\u1086?\u1073?\u1088?\u1072?\u1079?\u1091?\u1074?\u1072?\u1085?\u1077? \u1089?\u1098?\u1075?\u1083?\u1072?\u1089?\u1085?\u1086? \u1095?\u1083?\u1077?\u1085? 44, \u1087?\u1072?\u1088?\u1072?\u1075?\u1088?\u1072?\u1092? 3 \u1086?\u1090? \u1044?\u1080?\u1088?\u1077?\u1082?\u1090?\u1080?\u1074?\u1072? 2014/59/\u1045?\u1057? \u1085?\u1072? \u1045?\u1074?\u1088?\u1086?\u1087?\u1077?\u1081?\u1089?\u1082?\u1080?\u1103? \u1087?\u1072?\u1088?\u1083?\u1072?\u1084?\u1077?\u1085?\u1090? \u1080? \u1085?\u1072? \u1057?\u1098?\u1074?\u1077?\u1090?\u1072? \u1079?\u1072? \u1089?\u1098?\u1079?\u1076?\u1072?\u1074?\u1072?\u1085?\u1077? \u1085?\u1072? \u1088?\u1072?\u1084?\u1082?\u1072? \u1079?\u1072? \u1074?\u1098?\u1079?\u1089?\u1090?\u1072?\u1085?\u1086?\u1074?\u1103?\u1074?\u1072?\u1085?\u1077? \u1080? \u1087?\u1088?\u1077?\u1089?\u1090?\u1088?\u1091?\u1082?\u1090?\u1091?\u1088?\u1080?\u1088?\u1072?\u1085?\u1077? \u1085?\u1072? \u1082?\u1088?\u1077?\u1076?\u1080?\u1090?\u1085?\u1080? \u1080?\u1085?\u1089?\u1090?\u1080?\u1090?\u1091?\u1094?\u1080?\u1080? \u1080? \u1080?\u1085?\u1074?\u1077?\u1089?\u1090?\u1080?\u1094?\u1080?\u1086?\u1085?\u1085?\u1080? \u1087?\u1086?\u1089?\u1088?\u1077?\u1076?\u1085?\u1080?\u1094?\u1080?"/>
    <w:docVar w:name="LW_TYPE.DOC.CP" w:val="\u1055?\u1054?\u1055?\u1056?\u1040?\u1042?\u1050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92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6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9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1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3</Pages>
  <Words>349</Words>
  <Characters>1991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2016-04-18T15:34:00Z</cp:lastPrinted>
  <dcterms:created xsi:type="dcterms:W3CDTF">2016-05-02T08:37:00Z</dcterms:created>
  <dcterms:modified xsi:type="dcterms:W3CDTF">2016-05-02T12:06:00Z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03)</vt:lpwstr>
  </property>
</Properties>
</file>