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11" w:rsidRDefault="003A41E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7EBE21E468A4A03A2930BD0109816D2" style="width:450pt;height:416.25pt">
            <v:imagedata r:id="rId9" o:title=""/>
          </v:shape>
        </w:pict>
      </w:r>
    </w:p>
    <w:bookmarkEnd w:id="0"/>
    <w:p w:rsidR="00897C11" w:rsidRDefault="00897C11">
      <w:pPr>
        <w:rPr>
          <w:noProof/>
        </w:rPr>
        <w:sectPr w:rsidR="00897C1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97C11" w:rsidRDefault="003A41E4">
      <w:pPr>
        <w:pStyle w:val="Heading1"/>
        <w:rPr>
          <w:noProof/>
          <w:szCs w:val="24"/>
        </w:rPr>
      </w:pPr>
      <w:r>
        <w:rPr>
          <w:noProof/>
          <w:szCs w:val="24"/>
        </w:rPr>
        <w:lastRenderedPageBreak/>
        <w:t>Introduction</w:t>
      </w:r>
    </w:p>
    <w:p w:rsidR="00897C11" w:rsidRDefault="003A41E4">
      <w:pPr>
        <w:pStyle w:val="CommentText"/>
        <w:spacing w:line="276" w:lineRule="auto"/>
        <w:rPr>
          <w:rFonts w:ascii="Times New Roman" w:hAnsi="Times New Roman"/>
          <w:noProof/>
          <w:sz w:val="24"/>
          <w:szCs w:val="24"/>
        </w:rPr>
      </w:pPr>
      <w:r>
        <w:rPr>
          <w:rFonts w:ascii="Times New Roman" w:hAnsi="Times New Roman"/>
          <w:noProof/>
          <w:sz w:val="24"/>
          <w:szCs w:val="24"/>
        </w:rPr>
        <w:t xml:space="preserve">eGovernment supports administrative processes, improves the quality of the services </w:t>
      </w:r>
      <w:r>
        <w:rPr>
          <w:rFonts w:ascii="Times New Roman" w:hAnsi="Times New Roman"/>
          <w:noProof/>
          <w:sz w:val="24"/>
          <w:szCs w:val="24"/>
        </w:rPr>
        <w:t>and increases internal public sector efficiency. Digital public services reduce administrative burden on businesses and citizens by making their interactions with public administrations faster and efficient, more convenient and transparent, and less costly</w:t>
      </w:r>
      <w:r>
        <w:rPr>
          <w:rFonts w:ascii="Times New Roman" w:hAnsi="Times New Roman"/>
          <w:noProof/>
          <w:sz w:val="24"/>
          <w:szCs w:val="24"/>
        </w:rPr>
        <w:t>. In addition, using digital technologies as an integrated part of governments’ modernisation strategies can unlock further economic and social benefits for society as a whole</w:t>
      </w:r>
      <w:r>
        <w:rPr>
          <w:rStyle w:val="FootnoteReference"/>
          <w:rFonts w:asciiTheme="minorHAnsi" w:eastAsiaTheme="minorHAnsi" w:hAnsiTheme="minorHAnsi" w:cstheme="minorBidi"/>
          <w:noProof/>
          <w:sz w:val="22"/>
          <w:szCs w:val="24"/>
        </w:rPr>
        <w:footnoteReference w:id="1"/>
      </w:r>
      <w:r>
        <w:rPr>
          <w:rFonts w:ascii="Times New Roman" w:hAnsi="Times New Roman"/>
          <w:noProof/>
          <w:sz w:val="24"/>
          <w:szCs w:val="24"/>
        </w:rPr>
        <w:t>. The digital transformation of government is a key element to the success of th</w:t>
      </w:r>
      <w:r>
        <w:rPr>
          <w:rFonts w:ascii="Times New Roman" w:hAnsi="Times New Roman"/>
          <w:noProof/>
          <w:sz w:val="24"/>
          <w:szCs w:val="24"/>
        </w:rPr>
        <w:t>e Single Market.</w:t>
      </w:r>
    </w:p>
    <w:p w:rsidR="00897C11" w:rsidRDefault="003A41E4">
      <w:pPr>
        <w:pStyle w:val="CommentText"/>
        <w:spacing w:line="276" w:lineRule="auto"/>
        <w:rPr>
          <w:rFonts w:ascii="Times New Roman" w:hAnsi="Times New Roman"/>
          <w:noProof/>
          <w:sz w:val="24"/>
          <w:szCs w:val="24"/>
        </w:rPr>
      </w:pPr>
      <w:r>
        <w:rPr>
          <w:rFonts w:ascii="Times New Roman" w:hAnsi="Times New Roman"/>
          <w:noProof/>
          <w:sz w:val="24"/>
          <w:szCs w:val="24"/>
        </w:rPr>
        <w:t>The eGovernment Action Plans</w:t>
      </w:r>
      <w:r>
        <w:rPr>
          <w:rStyle w:val="FootnoteReference"/>
          <w:rFonts w:asciiTheme="minorHAnsi" w:eastAsiaTheme="minorHAnsi" w:hAnsiTheme="minorHAnsi" w:cstheme="minorBidi"/>
          <w:noProof/>
          <w:sz w:val="22"/>
          <w:szCs w:val="24"/>
        </w:rPr>
        <w:footnoteReference w:id="2"/>
      </w:r>
      <w:r>
        <w:rPr>
          <w:rFonts w:ascii="Times New Roman" w:hAnsi="Times New Roman"/>
          <w:noProof/>
          <w:sz w:val="24"/>
          <w:szCs w:val="24"/>
        </w:rPr>
        <w:t xml:space="preserve"> have been political instruments to advance the modernisation of public administrations across the European Union. They have been supporting coordination and collaboration between Member States and the Commissi</w:t>
      </w:r>
      <w:r>
        <w:rPr>
          <w:rFonts w:ascii="Times New Roman" w:hAnsi="Times New Roman"/>
          <w:noProof/>
          <w:sz w:val="24"/>
          <w:szCs w:val="24"/>
        </w:rPr>
        <w:t xml:space="preserve">on and led to joint actions on eGovernment. </w:t>
      </w:r>
    </w:p>
    <w:p w:rsidR="00897C11" w:rsidRDefault="003A41E4">
      <w:pPr>
        <w:pStyle w:val="CommentText"/>
        <w:spacing w:line="276" w:lineRule="auto"/>
        <w:rPr>
          <w:noProof/>
        </w:rPr>
      </w:pPr>
      <w:r>
        <w:rPr>
          <w:rFonts w:ascii="Times New Roman" w:hAnsi="Times New Roman"/>
          <w:noProof/>
          <w:sz w:val="24"/>
          <w:szCs w:val="24"/>
        </w:rPr>
        <w:t>Evaluation results of the past eGovernment Action Plan 2011-2015</w:t>
      </w:r>
      <w:r>
        <w:rPr>
          <w:rStyle w:val="FootnoteReference"/>
          <w:rFonts w:asciiTheme="minorHAnsi" w:eastAsiaTheme="minorHAnsi" w:hAnsiTheme="minorHAnsi" w:cstheme="minorBidi"/>
          <w:noProof/>
          <w:sz w:val="22"/>
          <w:szCs w:val="24"/>
        </w:rPr>
        <w:footnoteReference w:id="3"/>
      </w:r>
      <w:r>
        <w:rPr>
          <w:rStyle w:val="FootnoteReference"/>
          <w:rFonts w:asciiTheme="minorHAnsi" w:eastAsiaTheme="minorHAnsi" w:hAnsiTheme="minorHAnsi" w:cstheme="minorBidi"/>
          <w:noProof/>
          <w:sz w:val="22"/>
          <w:szCs w:val="24"/>
        </w:rPr>
        <w:footnoteReference w:id="4"/>
      </w:r>
      <w:r>
        <w:rPr>
          <w:rFonts w:ascii="Times New Roman" w:hAnsi="Times New Roman"/>
          <w:noProof/>
          <w:sz w:val="24"/>
          <w:szCs w:val="24"/>
        </w:rPr>
        <w:t xml:space="preserve"> recognise that the Action Plan</w:t>
      </w:r>
      <w:r>
        <w:rPr>
          <w:rStyle w:val="FootnoteReference"/>
          <w:rFonts w:ascii="Times New Roman" w:hAnsi="Times New Roman"/>
          <w:noProof/>
          <w:sz w:val="24"/>
          <w:szCs w:val="24"/>
        </w:rPr>
        <w:footnoteReference w:id="5"/>
      </w:r>
      <w:r>
        <w:rPr>
          <w:rFonts w:ascii="Times New Roman" w:hAnsi="Times New Roman"/>
          <w:noProof/>
          <w:sz w:val="24"/>
          <w:szCs w:val="24"/>
        </w:rPr>
        <w:t xml:space="preserve"> had a positive impact on the development of eGovernment at the European and Member State level. It contributed t</w:t>
      </w:r>
      <w:r>
        <w:rPr>
          <w:rFonts w:ascii="Times New Roman" w:hAnsi="Times New Roman"/>
          <w:noProof/>
          <w:sz w:val="24"/>
          <w:szCs w:val="24"/>
        </w:rPr>
        <w:t>o the coherence of national eGovernment strategies as well as to the exchange of best practices and the interoperability of solutions between Member States. In particular, it led to the development of technological enablers that are key to facilitate acces</w:t>
      </w:r>
      <w:r>
        <w:rPr>
          <w:rFonts w:ascii="Times New Roman" w:hAnsi="Times New Roman"/>
          <w:noProof/>
          <w:sz w:val="24"/>
          <w:szCs w:val="24"/>
        </w:rPr>
        <w:t>s to and use of public services. However, citizens and businesses are not yet getting the full benefit from digital services that should be available seamlessly across the EU.</w:t>
      </w:r>
      <w:r>
        <w:rPr>
          <w:noProof/>
        </w:rPr>
        <w:t xml:space="preserve"> </w:t>
      </w:r>
    </w:p>
    <w:p w:rsidR="00897C11" w:rsidRDefault="003A41E4">
      <w:pPr>
        <w:rPr>
          <w:rFonts w:ascii="Times New Roman" w:hAnsi="Times New Roman"/>
          <w:noProof/>
          <w:sz w:val="24"/>
          <w:szCs w:val="24"/>
        </w:rPr>
      </w:pPr>
      <w:r>
        <w:rPr>
          <w:rFonts w:ascii="Times New Roman" w:hAnsi="Times New Roman"/>
          <w:noProof/>
          <w:sz w:val="24"/>
          <w:szCs w:val="24"/>
        </w:rPr>
        <w:t>By joining efforts at European Union level, the availability and take-up of eGo</w:t>
      </w:r>
      <w:r>
        <w:rPr>
          <w:rFonts w:ascii="Times New Roman" w:hAnsi="Times New Roman"/>
          <w:noProof/>
          <w:sz w:val="24"/>
          <w:szCs w:val="24"/>
        </w:rPr>
        <w:t>vernment services can be increased, resulting in faster, cheaper, more user-oriented digital public services. Seamless cross-border and digital public services contribute to competitiveness and make the EU a more attractive place to invest</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and live in. </w:t>
      </w:r>
    </w:p>
    <w:p w:rsidR="00897C11" w:rsidRDefault="003A41E4">
      <w:pPr>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he Digital Single Market Strategy for Europe (DSM)</w:t>
      </w:r>
      <w:r>
        <w:rPr>
          <w:rStyle w:val="FootnoteReference"/>
          <w:noProof/>
          <w:szCs w:val="24"/>
        </w:rPr>
        <w:footnoteReference w:id="7"/>
      </w:r>
      <w:r>
        <w:rPr>
          <w:rFonts w:ascii="Times New Roman" w:hAnsi="Times New Roman" w:cs="Times New Roman"/>
          <w:noProof/>
          <w:sz w:val="24"/>
          <w:szCs w:val="24"/>
        </w:rPr>
        <w:t xml:space="preserve"> announces the launch of a new eGovernment Action Plan for 2016-2020 that aims to remove existing digital barriers to the Digital Single Market and to prevent further fragmentation arising in the context of the modernisation of public administrations. </w:t>
      </w:r>
      <w:r>
        <w:rPr>
          <w:rFonts w:ascii="Times New Roman" w:hAnsi="Times New Roman"/>
          <w:noProof/>
          <w:sz w:val="24"/>
          <w:szCs w:val="24"/>
        </w:rPr>
        <w:t>This</w:t>
      </w:r>
      <w:r>
        <w:rPr>
          <w:rFonts w:ascii="Times New Roman" w:hAnsi="Times New Roman"/>
          <w:noProof/>
          <w:sz w:val="24"/>
          <w:szCs w:val="24"/>
        </w:rPr>
        <w:t xml:space="preserve"> EU eGovernment Action Plan aims to be the instrument to join up efforts. While Member States pursue their own strategies and activities, this Action Plan – based on a shared long-term vision - sets out a number of principles that forthcoming initiatives s</w:t>
      </w:r>
      <w:r>
        <w:rPr>
          <w:rFonts w:ascii="Times New Roman" w:hAnsi="Times New Roman"/>
          <w:noProof/>
          <w:sz w:val="24"/>
          <w:szCs w:val="24"/>
        </w:rPr>
        <w:t>hould observe in order to deliver the significant benefits that eGovernment can bring to businesses, citizens and public administrations themselves.</w:t>
      </w:r>
    </w:p>
    <w:p w:rsidR="00897C11" w:rsidRDefault="003A41E4">
      <w:pPr>
        <w:rPr>
          <w:rFonts w:ascii="Times New Roman" w:eastAsia="Calibri" w:hAnsi="Times New Roman" w:cs="Times New Roman"/>
          <w:noProof/>
          <w:sz w:val="24"/>
          <w:szCs w:val="24"/>
        </w:rPr>
      </w:pPr>
      <w:r>
        <w:rPr>
          <w:rFonts w:ascii="Times New Roman" w:hAnsi="Times New Roman" w:cs="Times New Roman"/>
          <w:noProof/>
          <w:sz w:val="24"/>
          <w:szCs w:val="24"/>
        </w:rPr>
        <w:lastRenderedPageBreak/>
        <w:t xml:space="preserve">The Action Plan provides for </w:t>
      </w:r>
      <w:r>
        <w:rPr>
          <w:rFonts w:ascii="Times New Roman" w:eastAsia="Calibri" w:hAnsi="Times New Roman" w:cs="Times New Roman"/>
          <w:noProof/>
          <w:sz w:val="24"/>
          <w:szCs w:val="24"/>
        </w:rPr>
        <w:t>a dynamic and flexible approach, to keep track of the fast changing environmen</w:t>
      </w:r>
      <w:r>
        <w:rPr>
          <w:rFonts w:ascii="Times New Roman" w:eastAsia="Calibri" w:hAnsi="Times New Roman" w:cs="Times New Roman"/>
          <w:noProof/>
          <w:sz w:val="24"/>
          <w:szCs w:val="24"/>
        </w:rPr>
        <w:t>t</w:t>
      </w:r>
      <w:r>
        <w:rPr>
          <w:rStyle w:val="FootnoteReference"/>
          <w:noProof/>
          <w:szCs w:val="24"/>
        </w:rPr>
        <w:footnoteReference w:id="8"/>
      </w:r>
      <w:r>
        <w:rPr>
          <w:rFonts w:ascii="Times New Roman" w:eastAsia="Calibri" w:hAnsi="Times New Roman" w:cs="Times New Roman"/>
          <w:noProof/>
          <w:sz w:val="24"/>
          <w:szCs w:val="24"/>
        </w:rPr>
        <w:t xml:space="preserve">. Beyond the actions identified in this Action Plan, further actions may be proposed either by the Commission or by stakeholders, including Member States. All actions led by the Commission will be prepared in line with the Commission's better regulation </w:t>
      </w:r>
      <w:r>
        <w:rPr>
          <w:rFonts w:ascii="Times New Roman" w:eastAsia="Calibri" w:hAnsi="Times New Roman" w:cs="Times New Roman"/>
          <w:noProof/>
          <w:sz w:val="24"/>
          <w:szCs w:val="24"/>
        </w:rPr>
        <w:t>standards.</w:t>
      </w:r>
    </w:p>
    <w:p w:rsidR="00897C11" w:rsidRDefault="003A41E4">
      <w:pPr>
        <w:rPr>
          <w:rFonts w:ascii="Times New Roman" w:hAnsi="Times New Roman" w:cs="Times New Roman"/>
          <w:noProof/>
          <w:sz w:val="24"/>
          <w:szCs w:val="24"/>
          <w:lang w:eastAsia="en-GB"/>
        </w:rPr>
      </w:pPr>
      <w:r>
        <w:rPr>
          <w:rFonts w:ascii="Times New Roman" w:hAnsi="Times New Roman" w:cs="Times New Roman"/>
          <w:noProof/>
          <w:sz w:val="24"/>
          <w:szCs w:val="24"/>
        </w:rPr>
        <w:t>The Action Plan will serve as a catalyst to coordinate public sector modernisation efforts and resources in the field of eGovernment. The Action Plan will not have a dedicated budget or funding instrument; it will however help to coordinate fund</w:t>
      </w:r>
      <w:r>
        <w:rPr>
          <w:rFonts w:ascii="Times New Roman" w:hAnsi="Times New Roman" w:cs="Times New Roman"/>
          <w:noProof/>
          <w:sz w:val="24"/>
          <w:szCs w:val="24"/>
        </w:rPr>
        <w:t xml:space="preserve">ing sources and </w:t>
      </w:r>
      <w:r>
        <w:rPr>
          <w:rFonts w:ascii="Times New Roman" w:hAnsi="Times New Roman" w:cs="Times New Roman"/>
          <w:noProof/>
          <w:sz w:val="24"/>
          <w:szCs w:val="24"/>
          <w:lang w:eastAsia="de-DE"/>
        </w:rPr>
        <w:t>accompanying measures that are available to Member States through different EU programmes</w:t>
      </w:r>
      <w:r>
        <w:rPr>
          <w:rStyle w:val="FootnoteReference"/>
          <w:noProof/>
          <w:szCs w:val="24"/>
        </w:rPr>
        <w:footnoteReference w:id="9"/>
      </w:r>
      <w:r>
        <w:rPr>
          <w:rFonts w:ascii="Times New Roman" w:hAnsi="Times New Roman" w:cs="Times New Roman"/>
          <w:noProof/>
          <w:sz w:val="24"/>
          <w:szCs w:val="24"/>
          <w:lang w:eastAsia="de-DE"/>
        </w:rPr>
        <w:t xml:space="preserve">. </w:t>
      </w:r>
    </w:p>
    <w:p w:rsidR="00897C11" w:rsidRDefault="003A41E4">
      <w:pPr>
        <w:pStyle w:val="Heading1"/>
        <w:rPr>
          <w:noProof/>
          <w:szCs w:val="24"/>
        </w:rPr>
      </w:pPr>
      <w:r>
        <w:rPr>
          <w:noProof/>
          <w:szCs w:val="24"/>
        </w:rPr>
        <w:t>Vision and underlying principles</w:t>
      </w:r>
    </w:p>
    <w:p w:rsidR="00897C11" w:rsidRDefault="003A41E4">
      <w:pPr>
        <w:rPr>
          <w:rFonts w:ascii="Times New Roman" w:hAnsi="Times New Roman" w:cs="Times New Roman"/>
          <w:noProof/>
          <w:sz w:val="24"/>
          <w:szCs w:val="24"/>
        </w:rPr>
      </w:pPr>
      <w:r>
        <w:rPr>
          <w:rFonts w:ascii="Times New Roman" w:hAnsi="Times New Roman" w:cs="Times New Roman"/>
          <w:noProof/>
          <w:sz w:val="24"/>
          <w:szCs w:val="24"/>
        </w:rPr>
        <w:t>Member States' governments have long aspired to being open, flexible and collaborative in their relations with cit</w:t>
      </w:r>
      <w:r>
        <w:rPr>
          <w:rFonts w:ascii="Times New Roman" w:hAnsi="Times New Roman" w:cs="Times New Roman"/>
          <w:noProof/>
          <w:sz w:val="24"/>
          <w:szCs w:val="24"/>
        </w:rPr>
        <w:t>izens and businesses, using eGovernment to increase their efficiency and effectiveness and constantly improving public services</w:t>
      </w:r>
      <w:r>
        <w:rPr>
          <w:rStyle w:val="FootnoteReference"/>
          <w:noProof/>
          <w:szCs w:val="24"/>
        </w:rPr>
        <w:footnoteReference w:id="10"/>
      </w:r>
      <w:r>
        <w:rPr>
          <w:rFonts w:ascii="Times New Roman" w:hAnsi="Times New Roman" w:cs="Times New Roman"/>
          <w:noProof/>
          <w:sz w:val="24"/>
          <w:szCs w:val="24"/>
        </w:rPr>
        <w:t xml:space="preserve">. </w:t>
      </w:r>
    </w:p>
    <w:p w:rsidR="00897C11" w:rsidRDefault="003A41E4">
      <w:pPr>
        <w:rPr>
          <w:noProof/>
        </w:rPr>
      </w:pPr>
      <w:r>
        <w:rPr>
          <w:rFonts w:ascii="Times New Roman" w:hAnsi="Times New Roman" w:cs="Times New Roman"/>
          <w:noProof/>
          <w:sz w:val="24"/>
          <w:szCs w:val="24"/>
        </w:rPr>
        <w:t>This Action Plan is guided by the following vision:</w:t>
      </w:r>
    </w:p>
    <w:p w:rsidR="00897C11" w:rsidRDefault="003A41E4">
      <w:pPr>
        <w:pBdr>
          <w:top w:val="single" w:sz="4" w:space="1" w:color="auto"/>
          <w:left w:val="single" w:sz="4" w:space="4" w:color="auto"/>
          <w:bottom w:val="single" w:sz="4" w:space="1" w:color="auto"/>
          <w:right w:val="single" w:sz="4" w:space="4" w:color="auto"/>
        </w:pBdr>
        <w:shd w:val="clear" w:color="auto" w:fill="C7C7C7" w:themeFill="background1" w:themeFillShade="D9"/>
        <w:ind w:left="360"/>
        <w:rPr>
          <w:rFonts w:ascii="Times New Roman" w:hAnsi="Times New Roman" w:cs="Times New Roman"/>
          <w:noProof/>
          <w:sz w:val="24"/>
          <w:szCs w:val="24"/>
        </w:rPr>
      </w:pPr>
      <w:r>
        <w:rPr>
          <w:rFonts w:ascii="Times New Roman" w:hAnsi="Times New Roman" w:cs="Times New Roman"/>
          <w:noProof/>
          <w:sz w:val="24"/>
          <w:szCs w:val="24"/>
        </w:rPr>
        <w:t xml:space="preserve">By 2020, public administrations and public institutions in the European </w:t>
      </w:r>
      <w:r>
        <w:rPr>
          <w:rFonts w:ascii="Times New Roman" w:hAnsi="Times New Roman" w:cs="Times New Roman"/>
          <w:noProof/>
          <w:sz w:val="24"/>
          <w:szCs w:val="24"/>
        </w:rPr>
        <w:t>Union should be open, efficient and inclusive, providing borderless, personalised, user-friendly, end-to-end digital public services to all citizens and businesses in the EU. Innovative approaches are used to design and deliver better services in line with</w:t>
      </w:r>
      <w:r>
        <w:rPr>
          <w:rFonts w:ascii="Times New Roman" w:hAnsi="Times New Roman" w:cs="Times New Roman"/>
          <w:noProof/>
          <w:sz w:val="24"/>
          <w:szCs w:val="24"/>
        </w:rPr>
        <w:t xml:space="preserve"> the needs and demands of citizens and businesses. Public administrations use the opportunities offered by the new digital environment to facilitate their interactions with stakeholders and with each other.</w:t>
      </w:r>
    </w:p>
    <w:p w:rsidR="00897C11" w:rsidRDefault="003A41E4">
      <w:pPr>
        <w:rPr>
          <w:rFonts w:ascii="Times New Roman" w:hAnsi="Times New Roman" w:cs="Times New Roman"/>
          <w:noProof/>
          <w:sz w:val="24"/>
          <w:szCs w:val="24"/>
        </w:rPr>
      </w:pPr>
      <w:r>
        <w:rPr>
          <w:rFonts w:ascii="Times New Roman" w:hAnsi="Times New Roman" w:cs="Times New Roman"/>
          <w:noProof/>
          <w:sz w:val="24"/>
          <w:szCs w:val="24"/>
        </w:rPr>
        <w:t>Opening the data and services between public admi</w:t>
      </w:r>
      <w:r>
        <w:rPr>
          <w:rFonts w:ascii="Times New Roman" w:hAnsi="Times New Roman" w:cs="Times New Roman"/>
          <w:noProof/>
          <w:sz w:val="24"/>
          <w:szCs w:val="24"/>
        </w:rPr>
        <w:t>nistrations within and across borders will increase their efficiency and facilitate the free movement of businesses and citizens. Citizens' lives have become increasingly digital, leading to higher expectations of public administration performance</w:t>
      </w:r>
      <w:r>
        <w:rPr>
          <w:rStyle w:val="FootnoteReference"/>
          <w:noProof/>
          <w:szCs w:val="24"/>
        </w:rPr>
        <w:footnoteReference w:id="11"/>
      </w:r>
      <w:r>
        <w:rPr>
          <w:rFonts w:ascii="Times New Roman" w:hAnsi="Times New Roman" w:cs="Times New Roman"/>
          <w:noProof/>
          <w:sz w:val="24"/>
          <w:szCs w:val="24"/>
        </w:rPr>
        <w:t xml:space="preserve">. Users </w:t>
      </w:r>
      <w:r>
        <w:rPr>
          <w:rFonts w:ascii="Times New Roman" w:hAnsi="Times New Roman" w:cs="Times New Roman"/>
          <w:noProof/>
          <w:sz w:val="24"/>
          <w:szCs w:val="24"/>
        </w:rPr>
        <w:t>wish to understand how the service works</w:t>
      </w:r>
      <w:r>
        <w:rPr>
          <w:rStyle w:val="FootnoteReference"/>
          <w:noProof/>
          <w:szCs w:val="24"/>
        </w:rPr>
        <w:footnoteReference w:id="12"/>
      </w:r>
      <w:r>
        <w:rPr>
          <w:rFonts w:ascii="Times New Roman" w:hAnsi="Times New Roman" w:cs="Times New Roman"/>
          <w:noProof/>
          <w:sz w:val="24"/>
          <w:szCs w:val="24"/>
        </w:rPr>
        <w:t xml:space="preserve"> and they expect greater transparency.</w:t>
      </w:r>
      <w:r>
        <w:rPr>
          <w:rFonts w:ascii="Times New Roman" w:hAnsi="Times New Roman" w:cs="Times New Roman"/>
          <w:b/>
          <w:noProof/>
          <w:sz w:val="24"/>
          <w:szCs w:val="24"/>
        </w:rPr>
        <w:t xml:space="preserve"> </w:t>
      </w:r>
      <w:r>
        <w:rPr>
          <w:rFonts w:ascii="Times New Roman" w:hAnsi="Times New Roman" w:cs="Times New Roman"/>
          <w:noProof/>
          <w:sz w:val="24"/>
          <w:szCs w:val="24"/>
        </w:rPr>
        <w:t>Furthermore, by opening up to and engaging with stakeholders in decision-making</w:t>
      </w:r>
      <w:r>
        <w:rPr>
          <w:rStyle w:val="FootnoteReference"/>
          <w:noProof/>
          <w:szCs w:val="24"/>
        </w:rPr>
        <w:footnoteReference w:id="13"/>
      </w:r>
      <w:r>
        <w:rPr>
          <w:rFonts w:ascii="Times New Roman" w:hAnsi="Times New Roman" w:cs="Times New Roman"/>
          <w:noProof/>
          <w:sz w:val="24"/>
          <w:szCs w:val="24"/>
        </w:rPr>
        <w:t>, public administrations will become more trustworthy and more accountable. In addition, opening</w:t>
      </w:r>
      <w:r>
        <w:rPr>
          <w:rFonts w:ascii="Times New Roman" w:hAnsi="Times New Roman" w:cs="Times New Roman"/>
          <w:noProof/>
          <w:sz w:val="24"/>
          <w:szCs w:val="24"/>
        </w:rPr>
        <w:t xml:space="preserve"> public sector data and services to third parties, in full compliance with the legal framework for the protection of personal data and for privacy, can contribute to growth and competitiveness.</w:t>
      </w:r>
    </w:p>
    <w:p w:rsidR="00897C11" w:rsidRDefault="003A41E4">
      <w:pPr>
        <w:spacing w:before="60" w:after="60"/>
        <w:rPr>
          <w:rFonts w:ascii="Times New Roman" w:hAnsi="Times New Roman" w:cs="Times New Roman"/>
          <w:noProof/>
          <w:sz w:val="24"/>
          <w:szCs w:val="24"/>
        </w:rPr>
      </w:pPr>
      <w:r>
        <w:rPr>
          <w:rFonts w:ascii="Times New Roman" w:hAnsi="Times New Roman" w:cs="Times New Roman"/>
          <w:noProof/>
          <w:sz w:val="24"/>
          <w:szCs w:val="24"/>
        </w:rPr>
        <w:t xml:space="preserve">Initiatives to be launched as part of this Action Plan should </w:t>
      </w:r>
      <w:r>
        <w:rPr>
          <w:rFonts w:ascii="Times New Roman" w:hAnsi="Times New Roman" w:cs="Times New Roman"/>
          <w:noProof/>
          <w:sz w:val="24"/>
          <w:szCs w:val="24"/>
        </w:rPr>
        <w:t>observe the following underlying principles</w:t>
      </w:r>
      <w:r>
        <w:rPr>
          <w:noProof/>
        </w:rPr>
        <w:t xml:space="preserve">, </w:t>
      </w:r>
      <w:r>
        <w:rPr>
          <w:rFonts w:ascii="Times New Roman" w:hAnsi="Times New Roman" w:cs="Times New Roman"/>
          <w:noProof/>
          <w:sz w:val="24"/>
          <w:szCs w:val="24"/>
        </w:rPr>
        <w:t>which are strongly supported by stakeholders</w:t>
      </w:r>
      <w:r>
        <w:rPr>
          <w:rStyle w:val="FootnoteReference"/>
          <w:noProof/>
          <w:szCs w:val="24"/>
        </w:rPr>
        <w:footnoteReference w:id="14"/>
      </w:r>
      <w:r>
        <w:rPr>
          <w:rFonts w:ascii="Times New Roman" w:hAnsi="Times New Roman" w:cs="Times New Roman"/>
          <w:noProof/>
          <w:sz w:val="24"/>
          <w:szCs w:val="24"/>
        </w:rPr>
        <w:t xml:space="preserve">: </w:t>
      </w:r>
    </w:p>
    <w:p w:rsidR="00897C11" w:rsidRDefault="003A41E4">
      <w:pPr>
        <w:pStyle w:val="ListParagraph"/>
        <w:numPr>
          <w:ilvl w:val="0"/>
          <w:numId w:val="33"/>
        </w:numPr>
        <w:rPr>
          <w:rFonts w:ascii="Times New Roman" w:hAnsi="Times New Roman"/>
          <w:noProof/>
          <w:sz w:val="24"/>
          <w:szCs w:val="24"/>
        </w:rPr>
      </w:pPr>
      <w:r>
        <w:rPr>
          <w:rFonts w:ascii="Times New Roman" w:hAnsi="Times New Roman"/>
          <w:noProof/>
          <w:sz w:val="24"/>
          <w:szCs w:val="24"/>
          <w:u w:val="single"/>
        </w:rPr>
        <w:lastRenderedPageBreak/>
        <w:t>Digital by Default</w:t>
      </w:r>
      <w:r>
        <w:rPr>
          <w:rFonts w:ascii="Times New Roman" w:hAnsi="Times New Roman"/>
          <w:noProof/>
          <w:sz w:val="24"/>
          <w:szCs w:val="24"/>
        </w:rPr>
        <w:t xml:space="preserve">: public administrations should deliver services digitally (including machine readable information) as the preferred option (while still keeping </w:t>
      </w:r>
      <w:r>
        <w:rPr>
          <w:rFonts w:ascii="Times New Roman" w:hAnsi="Times New Roman"/>
          <w:noProof/>
          <w:sz w:val="24"/>
          <w:szCs w:val="24"/>
        </w:rPr>
        <w:t>other channels open for those who are disconnected by choice or necessity). In addition, public services should be delivered through a single contact point or a one-stop-shop and via different channels.</w:t>
      </w:r>
    </w:p>
    <w:p w:rsidR="00897C11" w:rsidRDefault="003A41E4">
      <w:pPr>
        <w:pStyle w:val="ListParagraph"/>
        <w:numPr>
          <w:ilvl w:val="0"/>
          <w:numId w:val="33"/>
        </w:numPr>
        <w:rPr>
          <w:rFonts w:ascii="Times New Roman" w:hAnsi="Times New Roman"/>
          <w:noProof/>
          <w:sz w:val="24"/>
          <w:szCs w:val="24"/>
        </w:rPr>
      </w:pPr>
      <w:r>
        <w:rPr>
          <w:rFonts w:ascii="Times New Roman" w:hAnsi="Times New Roman"/>
          <w:noProof/>
          <w:sz w:val="24"/>
          <w:szCs w:val="24"/>
          <w:u w:val="single"/>
        </w:rPr>
        <w:t>Once only principle</w:t>
      </w:r>
      <w:r>
        <w:rPr>
          <w:rFonts w:ascii="Times New Roman" w:hAnsi="Times New Roman"/>
          <w:noProof/>
          <w:sz w:val="24"/>
          <w:szCs w:val="24"/>
        </w:rPr>
        <w:t>: public administrations should en</w:t>
      </w:r>
      <w:r>
        <w:rPr>
          <w:rFonts w:ascii="Times New Roman" w:hAnsi="Times New Roman"/>
          <w:noProof/>
          <w:sz w:val="24"/>
          <w:szCs w:val="24"/>
        </w:rPr>
        <w:t>sure that citizens and businesses supply the same information only once to a public administration. Public administration offices take action if permitted to internally re-use this data, in due respect of data protection rules, so that no additional burden</w:t>
      </w:r>
      <w:r>
        <w:rPr>
          <w:rFonts w:ascii="Times New Roman" w:hAnsi="Times New Roman"/>
          <w:noProof/>
          <w:sz w:val="24"/>
          <w:szCs w:val="24"/>
        </w:rPr>
        <w:t xml:space="preserve"> falls on citizens and businesses. </w:t>
      </w:r>
    </w:p>
    <w:p w:rsidR="00897C11" w:rsidRDefault="003A41E4">
      <w:pPr>
        <w:pStyle w:val="ListParagraph"/>
        <w:numPr>
          <w:ilvl w:val="0"/>
          <w:numId w:val="33"/>
        </w:numPr>
        <w:spacing w:before="60" w:after="60"/>
        <w:rPr>
          <w:rFonts w:ascii="Times New Roman" w:hAnsi="Times New Roman"/>
          <w:noProof/>
          <w:sz w:val="24"/>
          <w:szCs w:val="24"/>
          <w:u w:val="single"/>
        </w:rPr>
      </w:pPr>
      <w:r>
        <w:rPr>
          <w:rFonts w:ascii="Times New Roman" w:hAnsi="Times New Roman"/>
          <w:noProof/>
          <w:sz w:val="24"/>
          <w:szCs w:val="24"/>
          <w:u w:val="single"/>
        </w:rPr>
        <w:t>Inclusiveness and accessibility</w:t>
      </w:r>
      <w:r>
        <w:rPr>
          <w:rFonts w:ascii="Times New Roman" w:hAnsi="Times New Roman"/>
          <w:noProof/>
          <w:sz w:val="24"/>
          <w:szCs w:val="24"/>
        </w:rPr>
        <w:t>: public administrations should design digital public services that are inclusive by default and cater for</w:t>
      </w:r>
      <w:r>
        <w:rPr>
          <w:noProof/>
        </w:rPr>
        <w:t xml:space="preserve"> </w:t>
      </w:r>
      <w:r>
        <w:rPr>
          <w:rFonts w:ascii="Times New Roman" w:hAnsi="Times New Roman"/>
          <w:noProof/>
          <w:sz w:val="24"/>
          <w:szCs w:val="24"/>
        </w:rPr>
        <w:t>different needs such as those of the elderly and people with disabilities</w:t>
      </w:r>
      <w:r>
        <w:rPr>
          <w:rStyle w:val="FootnoteReference"/>
          <w:rFonts w:ascii="Times New Roman" w:hAnsi="Times New Roman"/>
          <w:noProof/>
          <w:sz w:val="24"/>
          <w:szCs w:val="24"/>
        </w:rPr>
        <w:footnoteReference w:id="15"/>
      </w:r>
      <w:r>
        <w:rPr>
          <w:rFonts w:ascii="Times New Roman" w:hAnsi="Times New Roman"/>
          <w:noProof/>
          <w:sz w:val="24"/>
          <w:szCs w:val="24"/>
        </w:rPr>
        <w:t>.</w:t>
      </w:r>
    </w:p>
    <w:p w:rsidR="00897C11" w:rsidRDefault="003A41E4">
      <w:pPr>
        <w:pStyle w:val="ListParagraph"/>
        <w:numPr>
          <w:ilvl w:val="0"/>
          <w:numId w:val="33"/>
        </w:numPr>
        <w:spacing w:before="60" w:after="60"/>
        <w:rPr>
          <w:rFonts w:ascii="Times New Roman" w:hAnsi="Times New Roman"/>
          <w:noProof/>
          <w:sz w:val="24"/>
          <w:szCs w:val="24"/>
        </w:rPr>
      </w:pPr>
      <w:r>
        <w:rPr>
          <w:rFonts w:ascii="Times New Roman" w:hAnsi="Times New Roman"/>
          <w:noProof/>
          <w:sz w:val="24"/>
          <w:szCs w:val="24"/>
          <w:u w:val="single"/>
        </w:rPr>
        <w:t>Openne</w:t>
      </w:r>
      <w:r>
        <w:rPr>
          <w:rFonts w:ascii="Times New Roman" w:hAnsi="Times New Roman"/>
          <w:noProof/>
          <w:sz w:val="24"/>
          <w:szCs w:val="24"/>
          <w:u w:val="single"/>
        </w:rPr>
        <w:t>ss &amp; transparency</w:t>
      </w:r>
      <w:r>
        <w:rPr>
          <w:rFonts w:ascii="Times New Roman" w:hAnsi="Times New Roman"/>
          <w:noProof/>
          <w:sz w:val="24"/>
          <w:szCs w:val="24"/>
        </w:rPr>
        <w:t xml:space="preserve">: public administrations should share information and data between themselves and enable citizens and businesses to access control and correct their own data; enable users to monitor administrative processes that involve them; engage with </w:t>
      </w:r>
      <w:r>
        <w:rPr>
          <w:rFonts w:ascii="Times New Roman" w:hAnsi="Times New Roman"/>
          <w:noProof/>
          <w:sz w:val="24"/>
          <w:szCs w:val="24"/>
        </w:rPr>
        <w:t xml:space="preserve">and open up to stakeholders (such as businesses, researchers and non-profit organisations) in the design and delivery of services. </w:t>
      </w:r>
    </w:p>
    <w:p w:rsidR="00897C11" w:rsidRDefault="003A41E4">
      <w:pPr>
        <w:pStyle w:val="ListParagraph"/>
        <w:numPr>
          <w:ilvl w:val="0"/>
          <w:numId w:val="33"/>
        </w:numPr>
        <w:rPr>
          <w:rFonts w:ascii="Times New Roman" w:hAnsi="Times New Roman"/>
          <w:noProof/>
          <w:sz w:val="24"/>
          <w:szCs w:val="24"/>
          <w:u w:val="single"/>
        </w:rPr>
      </w:pPr>
      <w:r>
        <w:rPr>
          <w:rFonts w:ascii="Times New Roman" w:hAnsi="Times New Roman"/>
          <w:noProof/>
          <w:sz w:val="24"/>
          <w:szCs w:val="24"/>
          <w:u w:val="single"/>
        </w:rPr>
        <w:t>Cross-border by default</w:t>
      </w:r>
      <w:r>
        <w:rPr>
          <w:rFonts w:ascii="Times New Roman" w:hAnsi="Times New Roman"/>
          <w:noProof/>
          <w:sz w:val="24"/>
          <w:szCs w:val="24"/>
        </w:rPr>
        <w:t>: public administrations should make relevant digital public services available across borders and pr</w:t>
      </w:r>
      <w:r>
        <w:rPr>
          <w:rFonts w:ascii="Times New Roman" w:hAnsi="Times New Roman"/>
          <w:noProof/>
          <w:sz w:val="24"/>
          <w:szCs w:val="24"/>
        </w:rPr>
        <w:t>event further fragmentation to arise, thereby facilitating mobility within the Single Market.</w:t>
      </w:r>
      <w:r>
        <w:rPr>
          <w:rFonts w:ascii="Times New Roman" w:hAnsi="Times New Roman"/>
          <w:noProof/>
          <w:sz w:val="24"/>
          <w:szCs w:val="24"/>
          <w:u w:val="single"/>
        </w:rPr>
        <w:t xml:space="preserve"> </w:t>
      </w:r>
    </w:p>
    <w:p w:rsidR="00897C11" w:rsidRDefault="003A41E4">
      <w:pPr>
        <w:pStyle w:val="ListParagraph"/>
        <w:numPr>
          <w:ilvl w:val="0"/>
          <w:numId w:val="33"/>
        </w:numPr>
        <w:rPr>
          <w:rFonts w:ascii="Times New Roman" w:hAnsi="Times New Roman"/>
          <w:noProof/>
          <w:sz w:val="24"/>
          <w:szCs w:val="24"/>
        </w:rPr>
      </w:pPr>
      <w:r>
        <w:rPr>
          <w:rFonts w:ascii="Times New Roman" w:hAnsi="Times New Roman"/>
          <w:noProof/>
          <w:sz w:val="24"/>
          <w:szCs w:val="24"/>
          <w:u w:val="single"/>
        </w:rPr>
        <w:t>Interoperability by default</w:t>
      </w:r>
      <w:r>
        <w:rPr>
          <w:rFonts w:ascii="Times New Roman" w:hAnsi="Times New Roman"/>
          <w:noProof/>
          <w:sz w:val="24"/>
          <w:szCs w:val="24"/>
        </w:rPr>
        <w:t xml:space="preserve">: public services should be designed to work seamlessly across the Single Market and across organisational silos, relying on the free </w:t>
      </w:r>
      <w:r>
        <w:rPr>
          <w:rFonts w:ascii="Times New Roman" w:hAnsi="Times New Roman"/>
          <w:noProof/>
          <w:sz w:val="24"/>
          <w:szCs w:val="24"/>
        </w:rPr>
        <w:t>movement of data and digital services in the European Union.</w:t>
      </w:r>
    </w:p>
    <w:p w:rsidR="00897C11" w:rsidRDefault="003A41E4">
      <w:pPr>
        <w:pStyle w:val="ListParagraph"/>
        <w:numPr>
          <w:ilvl w:val="0"/>
          <w:numId w:val="33"/>
        </w:numPr>
        <w:rPr>
          <w:rFonts w:ascii="Times New Roman" w:hAnsi="Times New Roman"/>
          <w:noProof/>
          <w:sz w:val="24"/>
          <w:szCs w:val="24"/>
        </w:rPr>
      </w:pPr>
      <w:r>
        <w:rPr>
          <w:rFonts w:ascii="Times New Roman" w:hAnsi="Times New Roman"/>
          <w:noProof/>
          <w:sz w:val="24"/>
          <w:szCs w:val="24"/>
          <w:u w:val="single"/>
        </w:rPr>
        <w:t>Trustworthiness &amp; Security</w:t>
      </w:r>
      <w:r>
        <w:rPr>
          <w:rFonts w:ascii="Times New Roman" w:hAnsi="Times New Roman"/>
          <w:noProof/>
          <w:sz w:val="24"/>
          <w:szCs w:val="24"/>
        </w:rPr>
        <w:t>: All initiatives should go beyond the mere compliance with the legal framework on personal data protection and privacy, and IT security, by integrating those elements i</w:t>
      </w:r>
      <w:r>
        <w:rPr>
          <w:rFonts w:ascii="Times New Roman" w:hAnsi="Times New Roman"/>
          <w:noProof/>
          <w:sz w:val="24"/>
          <w:szCs w:val="24"/>
        </w:rPr>
        <w:t xml:space="preserve">n the design phase. These are important pre-conditions for increasing trust in and take-up of digital services. </w:t>
      </w:r>
    </w:p>
    <w:p w:rsidR="00897C11" w:rsidRDefault="003A41E4">
      <w:pPr>
        <w:ind w:left="360"/>
        <w:rPr>
          <w:rFonts w:ascii="Times New Roman" w:hAnsi="Times New Roman"/>
          <w:noProof/>
          <w:sz w:val="24"/>
          <w:szCs w:val="24"/>
        </w:rPr>
      </w:pPr>
      <w:r>
        <w:rPr>
          <w:rFonts w:ascii="Times New Roman" w:hAnsi="Times New Roman"/>
          <w:noProof/>
          <w:sz w:val="24"/>
          <w:szCs w:val="24"/>
        </w:rPr>
        <w:t>Administrations, public bodies, businesses and users know themselves best what they need. The choice of systems and technologies, of distribute</w:t>
      </w:r>
      <w:r>
        <w:rPr>
          <w:rFonts w:ascii="Times New Roman" w:hAnsi="Times New Roman"/>
          <w:noProof/>
          <w:sz w:val="24"/>
          <w:szCs w:val="24"/>
        </w:rPr>
        <w:t>d or centralised designs should be entirely according to their choice and needs but need to fully respect agreed interoperability requirements.</w:t>
      </w:r>
    </w:p>
    <w:p w:rsidR="00897C11" w:rsidRDefault="003A41E4">
      <w:pPr>
        <w:pStyle w:val="Heading1"/>
        <w:rPr>
          <w:noProof/>
          <w:szCs w:val="24"/>
        </w:rPr>
      </w:pPr>
      <w:bookmarkStart w:id="1" w:name="_Toc435177060"/>
      <w:r>
        <w:rPr>
          <w:noProof/>
          <w:szCs w:val="24"/>
        </w:rPr>
        <w:t>Policy Priorities</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rPr>
        <w:t>The DSM Strategy sets out the strategic objectives to 'modernise public administration, achiev</w:t>
      </w:r>
      <w:r>
        <w:rPr>
          <w:rFonts w:ascii="Times New Roman" w:hAnsi="Times New Roman" w:cs="Times New Roman"/>
          <w:noProof/>
          <w:sz w:val="24"/>
          <w:szCs w:val="24"/>
        </w:rPr>
        <w:t>e cross-border interoperability and facilitate easy interaction with citizens'</w:t>
      </w:r>
      <w:r>
        <w:rPr>
          <w:rFonts w:ascii="Times New Roman" w:hAnsi="Times New Roman" w:cs="Times New Roman"/>
          <w:noProof/>
          <w:sz w:val="24"/>
          <w:szCs w:val="24"/>
          <w:lang w:eastAsia="de-DE"/>
        </w:rPr>
        <w:t xml:space="preserve">, aimed at accelerating the digital transformation of public administrations in the Member States and the Commission. </w:t>
      </w:r>
      <w:r>
        <w:rPr>
          <w:rFonts w:ascii="Times New Roman" w:eastAsia="Times New Roman" w:hAnsi="Times New Roman" w:cs="Times New Roman"/>
          <w:noProof/>
          <w:sz w:val="24"/>
          <w:szCs w:val="24"/>
          <w:lang w:eastAsia="en-GB"/>
        </w:rPr>
        <w:t xml:space="preserve">In view of these policy priorities, </w:t>
      </w:r>
      <w:r>
        <w:rPr>
          <w:rFonts w:ascii="Times New Roman" w:hAnsi="Times New Roman" w:cs="Times New Roman"/>
          <w:noProof/>
          <w:sz w:val="24"/>
          <w:szCs w:val="24"/>
          <w:lang w:eastAsia="de-DE"/>
        </w:rPr>
        <w:t>this Action Plan sets ou</w:t>
      </w:r>
      <w:r>
        <w:rPr>
          <w:rFonts w:ascii="Times New Roman" w:hAnsi="Times New Roman" w:cs="Times New Roman"/>
          <w:noProof/>
          <w:sz w:val="24"/>
          <w:szCs w:val="24"/>
          <w:lang w:eastAsia="de-DE"/>
        </w:rPr>
        <w:t xml:space="preserve">t concrete actions to accelerate the implementation of existing legislation and the related take up of online public services. </w:t>
      </w:r>
    </w:p>
    <w:p w:rsidR="00897C11" w:rsidRDefault="003A41E4">
      <w:pPr>
        <w:pStyle w:val="Heading2"/>
        <w:rPr>
          <w:noProof/>
          <w:szCs w:val="24"/>
        </w:rPr>
      </w:pPr>
      <w:r>
        <w:rPr>
          <w:noProof/>
          <w:szCs w:val="24"/>
        </w:rPr>
        <w:t>Modernise public administration with ICT, using key digital enablers</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Modern and efficient public administrations need to ensure </w:t>
      </w:r>
      <w:r>
        <w:rPr>
          <w:rFonts w:ascii="Times New Roman" w:hAnsi="Times New Roman" w:cs="Times New Roman"/>
          <w:noProof/>
          <w:sz w:val="24"/>
          <w:szCs w:val="24"/>
          <w:lang w:eastAsia="de-DE"/>
        </w:rPr>
        <w:t>fast and high-quality services for citizens and a business-friendly environment, as recognised by the recent Annual Growth Surveys</w:t>
      </w:r>
      <w:r>
        <w:rPr>
          <w:rStyle w:val="FootnoteReference"/>
          <w:noProof/>
          <w:szCs w:val="24"/>
        </w:rPr>
        <w:footnoteReference w:id="16"/>
      </w:r>
      <w:r>
        <w:rPr>
          <w:rFonts w:ascii="Times New Roman" w:hAnsi="Times New Roman" w:cs="Times New Roman"/>
          <w:noProof/>
          <w:sz w:val="24"/>
          <w:szCs w:val="24"/>
          <w:lang w:eastAsia="de-DE"/>
        </w:rPr>
        <w:t xml:space="preserve">. Public administrations need to transform their back offices, to rethink and redesign existing procedures and services, and </w:t>
      </w:r>
      <w:r>
        <w:rPr>
          <w:rFonts w:ascii="Times New Roman" w:hAnsi="Times New Roman" w:cs="Times New Roman"/>
          <w:noProof/>
          <w:sz w:val="24"/>
          <w:szCs w:val="24"/>
          <w:lang w:eastAsia="de-DE"/>
        </w:rPr>
        <w:t>open their data and services to other administrations, and, as far as possible, to businesses and civil society.</w:t>
      </w:r>
    </w:p>
    <w:p w:rsidR="00897C11" w:rsidRDefault="003A41E4">
      <w:pPr>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de-DE"/>
        </w:rPr>
        <w:t>These efforts need to rely on key digital enablers. Digital public services should build on shared and reusable solutions and services based on</w:t>
      </w:r>
      <w:r>
        <w:rPr>
          <w:rFonts w:ascii="Times New Roman" w:hAnsi="Times New Roman" w:cs="Times New Roman"/>
          <w:noProof/>
          <w:sz w:val="24"/>
          <w:szCs w:val="24"/>
          <w:lang w:eastAsia="de-DE"/>
        </w:rPr>
        <w:t xml:space="preserve"> agreed standards and technical specifications in order to reduce their cost of development, their time to deployment and increase interoperability. </w:t>
      </w:r>
      <w:r>
        <w:rPr>
          <w:rFonts w:ascii="Times New Roman" w:eastAsia="Times New Roman" w:hAnsi="Times New Roman" w:cs="Times New Roman"/>
          <w:noProof/>
          <w:sz w:val="24"/>
          <w:szCs w:val="24"/>
          <w:lang w:eastAsia="en-GB"/>
        </w:rPr>
        <w:t>A common understanding of interoperability throughout the European Union is guaranteed through the European</w:t>
      </w:r>
      <w:r>
        <w:rPr>
          <w:rFonts w:ascii="Times New Roman" w:eastAsia="Times New Roman" w:hAnsi="Times New Roman" w:cs="Times New Roman"/>
          <w:noProof/>
          <w:sz w:val="24"/>
          <w:szCs w:val="24"/>
          <w:lang w:eastAsia="en-GB"/>
        </w:rPr>
        <w:t xml:space="preserve"> Interoperability Framework</w:t>
      </w:r>
      <w:r>
        <w:rPr>
          <w:rStyle w:val="FootnoteReference"/>
          <w:noProof/>
          <w:szCs w:val="24"/>
        </w:rPr>
        <w:footnoteReference w:id="17"/>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Cross-border investment can greatly benefit from this interoperability.</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Work is on-going to support the transition of Member States' public administrations </w:t>
      </w:r>
      <w:r>
        <w:rPr>
          <w:rFonts w:ascii="Times New Roman" w:hAnsi="Times New Roman"/>
          <w:noProof/>
          <w:sz w:val="24"/>
          <w:szCs w:val="24"/>
          <w:lang w:eastAsia="de-DE"/>
        </w:rPr>
        <w:t xml:space="preserve">towards full e-procurement, </w:t>
      </w:r>
      <w:r>
        <w:rPr>
          <w:rFonts w:ascii="Times New Roman"/>
          <w:noProof/>
          <w:sz w:val="24"/>
          <w:szCs w:val="24"/>
          <w:lang w:eastAsia="de-DE"/>
        </w:rPr>
        <w:t xml:space="preserve">use of contract registers </w:t>
      </w:r>
      <w:r>
        <w:rPr>
          <w:rFonts w:ascii="Times New Roman" w:hAnsi="Times New Roman"/>
          <w:noProof/>
          <w:sz w:val="24"/>
          <w:szCs w:val="24"/>
          <w:lang w:eastAsia="de-DE"/>
        </w:rPr>
        <w:t>and interoperabl</w:t>
      </w:r>
      <w:r>
        <w:rPr>
          <w:rFonts w:ascii="Times New Roman" w:hAnsi="Times New Roman"/>
          <w:noProof/>
          <w:sz w:val="24"/>
          <w:szCs w:val="24"/>
          <w:lang w:eastAsia="de-DE"/>
        </w:rPr>
        <w:t>e e-signatures</w:t>
      </w:r>
      <w:r>
        <w:rPr>
          <w:rStyle w:val="FootnoteReference"/>
          <w:noProof/>
          <w:szCs w:val="24"/>
        </w:rPr>
        <w:footnoteReference w:id="18"/>
      </w:r>
      <w:r>
        <w:rPr>
          <w:rFonts w:ascii="Times New Roman" w:hAnsi="Times New Roman"/>
          <w:noProof/>
          <w:sz w:val="24"/>
          <w:szCs w:val="24"/>
          <w:lang w:eastAsia="de-DE"/>
        </w:rPr>
        <w:t>.</w:t>
      </w:r>
      <w:r>
        <w:rPr>
          <w:noProof/>
        </w:rPr>
        <w:t xml:space="preserve"> </w:t>
      </w:r>
      <w:r>
        <w:rPr>
          <w:rFonts w:ascii="Times New Roman" w:hAnsi="Times New Roman"/>
          <w:noProof/>
          <w:sz w:val="24"/>
          <w:szCs w:val="24"/>
          <w:lang w:eastAsia="de-DE"/>
        </w:rPr>
        <w:t>With the focus on the European Single Procurement Document, e-Certis and e-Invoicing and a coordinated approach to development of the national e-procurement systems, the objective is that by 2018, companies will be able to bid for public p</w:t>
      </w:r>
      <w:r>
        <w:rPr>
          <w:rFonts w:ascii="Times New Roman" w:hAnsi="Times New Roman"/>
          <w:noProof/>
          <w:sz w:val="24"/>
          <w:szCs w:val="24"/>
          <w:lang w:eastAsia="de-DE"/>
        </w:rPr>
        <w:t>rocurement contracts anywhere in the European Union electronically and by 2019 eInvoicing will be accepted by public administrations in the EU.</w:t>
      </w:r>
    </w:p>
    <w:p w:rsidR="00897C11" w:rsidRDefault="003A41E4">
      <w:pPr>
        <w:rPr>
          <w:rFonts w:ascii="Times New Roman" w:hAnsi="Times New Roman" w:cs="Times New Roman"/>
          <w:noProof/>
          <w:sz w:val="24"/>
          <w:szCs w:val="24"/>
        </w:rPr>
      </w:pPr>
      <w:r>
        <w:rPr>
          <w:rFonts w:ascii="Times New Roman" w:hAnsi="Times New Roman" w:cs="Times New Roman"/>
          <w:noProof/>
          <w:sz w:val="24"/>
          <w:szCs w:val="24"/>
          <w:lang w:eastAsia="de-DE"/>
        </w:rPr>
        <w:t>Further efforts by all administrations are needed to accelerate the take up of electronic identification and tru</w:t>
      </w:r>
      <w:r>
        <w:rPr>
          <w:rFonts w:ascii="Times New Roman" w:hAnsi="Times New Roman" w:cs="Times New Roman"/>
          <w:noProof/>
          <w:sz w:val="24"/>
          <w:szCs w:val="24"/>
          <w:lang w:eastAsia="de-DE"/>
        </w:rPr>
        <w:t>st services for electronic transactions in the internal market (eIDAS</w:t>
      </w:r>
      <w:r>
        <w:rPr>
          <w:rStyle w:val="FootnoteReference"/>
          <w:noProof/>
          <w:szCs w:val="24"/>
        </w:rPr>
        <w:footnoteReference w:id="19"/>
      </w:r>
      <w:r>
        <w:rPr>
          <w:rFonts w:ascii="Times New Roman" w:hAnsi="Times New Roman" w:cs="Times New Roman"/>
          <w:noProof/>
          <w:sz w:val="24"/>
          <w:szCs w:val="24"/>
          <w:lang w:eastAsia="de-DE"/>
        </w:rPr>
        <w:t xml:space="preserve"> services). </w:t>
      </w:r>
      <w:r>
        <w:rPr>
          <w:rFonts w:ascii="Times New Roman" w:hAnsi="Times New Roman" w:cs="Times New Roman"/>
          <w:noProof/>
          <w:sz w:val="24"/>
          <w:szCs w:val="24"/>
        </w:rPr>
        <w:t>Further actions to accelerate the cross-border and cross-sector use of electronic identification (eID), including mobile ID, and trust services (in particular eSignature, web</w:t>
      </w:r>
      <w:r>
        <w:rPr>
          <w:rFonts w:ascii="Times New Roman" w:hAnsi="Times New Roman" w:cs="Times New Roman"/>
          <w:noProof/>
          <w:sz w:val="24"/>
          <w:szCs w:val="24"/>
        </w:rPr>
        <w:t xml:space="preserve">site authentication and online registered delivery service) will be pursued in digitally enabled businesses (such as banking, finance, eCommerce and sharing economy) and in the public sector namely on the European e-Justice Portal. </w:t>
      </w:r>
      <w:r>
        <w:rPr>
          <w:rFonts w:ascii="Times New Roman" w:hAnsi="Times New Roman" w:cs="Times New Roman"/>
          <w:noProof/>
          <w:sz w:val="24"/>
          <w:szCs w:val="24"/>
          <w:lang w:eastAsia="de-DE"/>
        </w:rPr>
        <w:t>T</w:t>
      </w:r>
      <w:r>
        <w:rPr>
          <w:rFonts w:ascii="Times New Roman" w:hAnsi="Times New Roman"/>
          <w:noProof/>
          <w:sz w:val="24"/>
          <w:szCs w:val="24"/>
          <w:lang w:eastAsia="de-DE"/>
        </w:rPr>
        <w:t>he Commission will also</w:t>
      </w:r>
      <w:r>
        <w:rPr>
          <w:rFonts w:ascii="Times New Roman" w:hAnsi="Times New Roman" w:cs="Times New Roman"/>
          <w:noProof/>
          <w:sz w:val="24"/>
          <w:szCs w:val="24"/>
        </w:rPr>
        <w:t xml:space="preserve"> </w:t>
      </w:r>
      <w:r>
        <w:rPr>
          <w:rFonts w:ascii="Times New Roman" w:hAnsi="Times New Roman"/>
          <w:noProof/>
          <w:sz w:val="24"/>
          <w:szCs w:val="24"/>
          <w:lang w:eastAsia="de-DE"/>
        </w:rPr>
        <w:t>explore the need to facilitate the usage of remote identification and secure authentication in the retail financial services</w:t>
      </w:r>
      <w:r>
        <w:rPr>
          <w:rStyle w:val="FootnoteReference"/>
          <w:noProof/>
          <w:szCs w:val="24"/>
        </w:rPr>
        <w:footnoteReference w:id="20"/>
      </w:r>
      <w:r>
        <w:rPr>
          <w:rFonts w:ascii="Times New Roman" w:hAnsi="Times New Roman"/>
          <w:noProof/>
          <w:sz w:val="24"/>
          <w:szCs w:val="24"/>
          <w:lang w:eastAsia="de-DE"/>
        </w:rPr>
        <w:t>.</w:t>
      </w:r>
    </w:p>
    <w:p w:rsidR="00897C11" w:rsidRDefault="003A41E4">
      <w:pPr>
        <w:pStyle w:val="ListParagraph"/>
        <w:spacing w:after="240"/>
        <w:ind w:left="0"/>
        <w:rPr>
          <w:rFonts w:ascii="Times New Roman" w:hAnsi="Times New Roman"/>
          <w:noProof/>
          <w:sz w:val="24"/>
          <w:szCs w:val="24"/>
          <w:lang w:eastAsia="de-DE"/>
        </w:rPr>
      </w:pPr>
      <w:bookmarkStart w:id="2" w:name="_ftnref1"/>
      <w:bookmarkStart w:id="3" w:name="_ftnref2"/>
      <w:bookmarkStart w:id="4" w:name="_ftnref3"/>
      <w:bookmarkEnd w:id="2"/>
      <w:bookmarkEnd w:id="3"/>
      <w:bookmarkEnd w:id="4"/>
      <w:r>
        <w:rPr>
          <w:rFonts w:ascii="Times New Roman" w:hAnsi="Times New Roman"/>
          <w:noProof/>
          <w:sz w:val="24"/>
          <w:szCs w:val="24"/>
          <w:lang w:eastAsia="de-DE"/>
        </w:rPr>
        <w:t xml:space="preserve">The re-use of open services and technical building blocks (such as eID, eSignature, eDelivery and eInvoice) by Member States is </w:t>
      </w:r>
      <w:r>
        <w:rPr>
          <w:rFonts w:ascii="Times New Roman" w:hAnsi="Times New Roman"/>
          <w:noProof/>
          <w:sz w:val="24"/>
          <w:szCs w:val="24"/>
          <w:lang w:eastAsia="de-DE"/>
        </w:rPr>
        <w:t>critical for interoperability. The availability of these services is currently guaranteed by funding from the Connecting Europe Facility (CEF); it is however necessary to ensure their availability and long-term sustainability beyond this funding programme.</w:t>
      </w:r>
      <w:r>
        <w:rPr>
          <w:rFonts w:ascii="Times New Roman" w:hAnsi="Times New Roman"/>
          <w:noProof/>
          <w:sz w:val="24"/>
          <w:szCs w:val="24"/>
          <w:lang w:eastAsia="de-DE"/>
        </w:rPr>
        <w:t xml:space="preserve"> Therefore, the Commission will present a way forward for their sustainability beyond 2020.</w:t>
      </w:r>
    </w:p>
    <w:p w:rsidR="00897C11" w:rsidRDefault="00897C11">
      <w:pPr>
        <w:pStyle w:val="ListParagraph"/>
        <w:spacing w:after="240"/>
        <w:ind w:left="0"/>
        <w:rPr>
          <w:rFonts w:ascii="Times New Roman" w:hAnsi="Times New Roman"/>
          <w:noProof/>
          <w:sz w:val="24"/>
          <w:szCs w:val="24"/>
          <w:lang w:eastAsia="de-DE"/>
        </w:rPr>
      </w:pPr>
    </w:p>
    <w:p w:rsidR="00897C11" w:rsidRDefault="00897C11">
      <w:pPr>
        <w:pStyle w:val="ListParagraph"/>
        <w:spacing w:after="240"/>
        <w:ind w:left="0"/>
        <w:rPr>
          <w:rFonts w:ascii="Times New Roman" w:hAnsi="Times New Roman"/>
          <w:noProof/>
          <w:sz w:val="24"/>
          <w:szCs w:val="24"/>
          <w:lang w:eastAsia="de-DE"/>
        </w:rPr>
      </w:pPr>
    </w:p>
    <w:p w:rsidR="00897C11" w:rsidRDefault="00897C11">
      <w:pPr>
        <w:pStyle w:val="ListParagraph"/>
        <w:spacing w:after="240"/>
        <w:ind w:left="0"/>
        <w:rPr>
          <w:rFonts w:ascii="Times New Roman" w:hAnsi="Times New Roman"/>
          <w:noProof/>
          <w:sz w:val="24"/>
          <w:szCs w:val="24"/>
          <w:lang w:eastAsia="de-DE"/>
        </w:rPr>
      </w:pPr>
    </w:p>
    <w:tbl>
      <w:tblPr>
        <w:tblStyle w:val="TableGrid"/>
        <w:tblW w:w="9214" w:type="dxa"/>
        <w:tblInd w:w="-34" w:type="dxa"/>
        <w:tblLayout w:type="fixed"/>
        <w:tblLook w:val="04A0" w:firstRow="1" w:lastRow="0" w:firstColumn="1" w:lastColumn="0" w:noHBand="0" w:noVBand="1"/>
      </w:tblPr>
      <w:tblGrid>
        <w:gridCol w:w="7797"/>
        <w:gridCol w:w="1417"/>
      </w:tblGrid>
      <w:tr w:rsidR="00897C11">
        <w:tc>
          <w:tcPr>
            <w:tcW w:w="7797"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 xml:space="preserve">Actions </w:t>
            </w:r>
          </w:p>
          <w:p w:rsidR="00897C11" w:rsidRDefault="003A41E4">
            <w:pPr>
              <w:shd w:val="clear" w:color="auto" w:fill="EBEBEB" w:themeFill="background1"/>
              <w:rPr>
                <w:rFonts w:ascii="Times New Roman" w:hAnsi="Times New Roman" w:cs="Times New Roman"/>
                <w:b/>
                <w:noProof/>
                <w:sz w:val="24"/>
                <w:szCs w:val="24"/>
                <w:lang w:eastAsia="de-DE"/>
              </w:rPr>
            </w:pPr>
            <w:r>
              <w:rPr>
                <w:rFonts w:ascii="Times New Roman" w:hAnsi="Times New Roman"/>
                <w:noProof/>
                <w:sz w:val="24"/>
                <w:szCs w:val="24"/>
                <w:lang w:eastAsia="de-DE"/>
              </w:rPr>
              <w:t>The Commission will</w:t>
            </w:r>
          </w:p>
        </w:tc>
        <w:tc>
          <w:tcPr>
            <w:tcW w:w="1417"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Target date</w:t>
            </w:r>
          </w:p>
        </w:tc>
      </w:tr>
      <w:tr w:rsidR="00897C11">
        <w:tc>
          <w:tcPr>
            <w:tcW w:w="7797" w:type="dxa"/>
          </w:tcPr>
          <w:p w:rsidR="00897C11" w:rsidRDefault="003A41E4">
            <w:pPr>
              <w:pStyle w:val="ListParagraph"/>
              <w:numPr>
                <w:ilvl w:val="0"/>
                <w:numId w:val="2"/>
              </w:numPr>
              <w:spacing w:before="120" w:after="120"/>
              <w:ind w:left="714" w:hanging="357"/>
              <w:rPr>
                <w:rFonts w:ascii="Times New Roman" w:hAnsi="Times New Roman"/>
                <w:i/>
                <w:noProof/>
                <w:sz w:val="24"/>
                <w:szCs w:val="24"/>
                <w:lang w:eastAsia="de-DE"/>
              </w:rPr>
            </w:pPr>
            <w:r>
              <w:rPr>
                <w:rFonts w:ascii="Times New Roman" w:hAnsi="Times New Roman"/>
                <w:noProof/>
                <w:sz w:val="24"/>
                <w:szCs w:val="24"/>
                <w:lang w:eastAsia="de-DE"/>
              </w:rPr>
              <w:t xml:space="preserve">Support the transition of Member States towards full e-procurement and </w:t>
            </w:r>
            <w:r>
              <w:rPr>
                <w:rFonts w:ascii="Times New Roman"/>
                <w:noProof/>
                <w:sz w:val="24"/>
                <w:szCs w:val="24"/>
                <w:lang w:eastAsia="de-DE"/>
              </w:rPr>
              <w:t>use of contract registers</w:t>
            </w:r>
            <w:r>
              <w:rPr>
                <w:rFonts w:ascii="Times New Roman" w:hAnsi="Times New Roman"/>
                <w:noProof/>
                <w:sz w:val="24"/>
                <w:szCs w:val="24"/>
                <w:lang w:eastAsia="de-DE"/>
              </w:rPr>
              <w:t>.</w:t>
            </w:r>
            <w:r>
              <w:rPr>
                <w:noProof/>
              </w:rPr>
              <w:t xml:space="preserve"> </w:t>
            </w:r>
          </w:p>
        </w:tc>
        <w:tc>
          <w:tcPr>
            <w:tcW w:w="1417"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2019</w:t>
            </w:r>
          </w:p>
        </w:tc>
      </w:tr>
      <w:tr w:rsidR="00897C11">
        <w:tc>
          <w:tcPr>
            <w:tcW w:w="7797" w:type="dxa"/>
          </w:tcPr>
          <w:p w:rsidR="00897C11" w:rsidRDefault="003A41E4">
            <w:pPr>
              <w:pStyle w:val="ListParagraph"/>
              <w:numPr>
                <w:ilvl w:val="0"/>
                <w:numId w:val="2"/>
              </w:numPr>
              <w:spacing w:before="120" w:after="120"/>
              <w:ind w:left="714" w:hanging="357"/>
              <w:rPr>
                <w:rFonts w:ascii="Times New Roman" w:hAnsi="Times New Roman"/>
                <w:i/>
                <w:noProof/>
                <w:sz w:val="24"/>
                <w:szCs w:val="24"/>
                <w:lang w:eastAsia="de-DE"/>
              </w:rPr>
            </w:pPr>
            <w:r>
              <w:rPr>
                <w:rFonts w:ascii="Times New Roman" w:hAnsi="Times New Roman"/>
                <w:noProof/>
                <w:sz w:val="24"/>
                <w:szCs w:val="24"/>
                <w:lang w:eastAsia="de-DE"/>
              </w:rPr>
              <w:t>Accelerate the</w:t>
            </w:r>
            <w:r>
              <w:rPr>
                <w:rFonts w:ascii="Times New Roman" w:hAnsi="Times New Roman"/>
                <w:noProof/>
                <w:sz w:val="24"/>
                <w:szCs w:val="24"/>
                <w:lang w:eastAsia="de-DE"/>
              </w:rPr>
              <w:t xml:space="preserve"> take-up of eIDAS services, including eID and eSignature.</w:t>
            </w:r>
            <w:r>
              <w:rPr>
                <w:noProof/>
              </w:rPr>
              <w:t xml:space="preserve"> </w:t>
            </w:r>
          </w:p>
        </w:tc>
        <w:tc>
          <w:tcPr>
            <w:tcW w:w="1417"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2016</w:t>
            </w:r>
          </w:p>
        </w:tc>
      </w:tr>
      <w:tr w:rsidR="00897C11">
        <w:tc>
          <w:tcPr>
            <w:tcW w:w="7797" w:type="dxa"/>
          </w:tcPr>
          <w:p w:rsidR="00897C11" w:rsidRDefault="003A41E4">
            <w:pPr>
              <w:pStyle w:val="ListParagraph"/>
              <w:numPr>
                <w:ilvl w:val="0"/>
                <w:numId w:val="2"/>
              </w:numPr>
              <w:spacing w:before="120" w:after="120"/>
              <w:rPr>
                <w:rFonts w:ascii="Times New Roman" w:hAnsi="Times New Roman"/>
                <w:noProof/>
                <w:sz w:val="24"/>
                <w:szCs w:val="24"/>
                <w:lang w:eastAsia="de-DE"/>
              </w:rPr>
            </w:pPr>
            <w:r>
              <w:rPr>
                <w:rFonts w:ascii="Times New Roman" w:hAnsi="Times New Roman"/>
                <w:noProof/>
                <w:sz w:val="24"/>
                <w:szCs w:val="24"/>
                <w:lang w:eastAsia="de-DE"/>
              </w:rPr>
              <w:t>Ensure the long-term sustainability of cross-border digital services infrastructure.</w:t>
            </w:r>
          </w:p>
        </w:tc>
        <w:tc>
          <w:tcPr>
            <w:tcW w:w="1417"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2018</w:t>
            </w:r>
          </w:p>
        </w:tc>
      </w:tr>
    </w:tbl>
    <w:p w:rsidR="00897C11" w:rsidRDefault="003A41E4">
      <w:pPr>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de-DE"/>
        </w:rPr>
        <w:t xml:space="preserve">As announced in the DSM strategy, the Commission plans to propose a revised European Interoperability Framework (EIF) by the end of 2016 and will </w:t>
      </w:r>
      <w:r>
        <w:rPr>
          <w:rFonts w:ascii="Times New Roman" w:eastAsia="Times New Roman" w:hAnsi="Times New Roman" w:cs="Times New Roman"/>
          <w:noProof/>
          <w:sz w:val="24"/>
          <w:szCs w:val="24"/>
          <w:lang w:eastAsia="en-GB"/>
        </w:rPr>
        <w:t xml:space="preserve">support </w:t>
      </w:r>
      <w:r>
        <w:rPr>
          <w:rFonts w:ascii="Times New Roman" w:hAnsi="Times New Roman" w:cs="Times New Roman"/>
          <w:noProof/>
          <w:sz w:val="24"/>
          <w:szCs w:val="24"/>
          <w:lang w:eastAsia="de-DE"/>
        </w:rPr>
        <w:t xml:space="preserve">its take-up by national administrations with the aim to strengthen the interoperability of public services in the EU. </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Further efforts are needed to ensure the take-up of existing European and international standards and technical specifications as well as</w:t>
      </w:r>
      <w:r>
        <w:rPr>
          <w:rFonts w:ascii="Times New Roman" w:hAnsi="Times New Roman" w:cs="Times New Roman"/>
          <w:noProof/>
          <w:sz w:val="24"/>
          <w:szCs w:val="24"/>
          <w:lang w:eastAsia="de-DE"/>
        </w:rPr>
        <w:t xml:space="preserve"> new ones being developed under the Priority ICT Standards Plan. The Commission will coordinate with Member States the development of a prototype for a European Catalogue of ICT standards for public procurement which will support interoperability in the ac</w:t>
      </w:r>
      <w:r>
        <w:rPr>
          <w:rFonts w:ascii="Times New Roman" w:hAnsi="Times New Roman" w:cs="Times New Roman"/>
          <w:noProof/>
          <w:sz w:val="24"/>
          <w:szCs w:val="24"/>
          <w:lang w:eastAsia="de-DE"/>
        </w:rPr>
        <w:t>quisition of digital solutions by encouraging the reference to common sets of ICT standards and profiles in Public Procurers' calls for tenders.</w:t>
      </w:r>
    </w:p>
    <w:tbl>
      <w:tblPr>
        <w:tblStyle w:val="TableGrid"/>
        <w:tblW w:w="9214" w:type="dxa"/>
        <w:tblInd w:w="-34" w:type="dxa"/>
        <w:tblLayout w:type="fixed"/>
        <w:tblLook w:val="04A0" w:firstRow="1" w:lastRow="0" w:firstColumn="1" w:lastColumn="0" w:noHBand="0" w:noVBand="1"/>
      </w:tblPr>
      <w:tblGrid>
        <w:gridCol w:w="7797"/>
        <w:gridCol w:w="1417"/>
      </w:tblGrid>
      <w:tr w:rsidR="00897C11">
        <w:tc>
          <w:tcPr>
            <w:tcW w:w="7797"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Actions</w:t>
            </w:r>
          </w:p>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noProof/>
                <w:sz w:val="24"/>
                <w:szCs w:val="24"/>
                <w:lang w:eastAsia="de-DE"/>
              </w:rPr>
              <w:t>The Commission will</w:t>
            </w:r>
          </w:p>
        </w:tc>
        <w:tc>
          <w:tcPr>
            <w:tcW w:w="1417"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Target date</w:t>
            </w:r>
          </w:p>
        </w:tc>
      </w:tr>
      <w:tr w:rsidR="00897C11">
        <w:tc>
          <w:tcPr>
            <w:tcW w:w="7797" w:type="dxa"/>
          </w:tcPr>
          <w:p w:rsidR="00897C11" w:rsidRDefault="003A41E4">
            <w:pPr>
              <w:pStyle w:val="ListParagraph"/>
              <w:numPr>
                <w:ilvl w:val="0"/>
                <w:numId w:val="2"/>
              </w:numPr>
              <w:spacing w:before="120" w:after="120"/>
              <w:rPr>
                <w:rFonts w:ascii="Times New Roman" w:hAnsi="Times New Roman"/>
                <w:noProof/>
                <w:sz w:val="24"/>
                <w:szCs w:val="24"/>
                <w:lang w:eastAsia="de-DE"/>
              </w:rPr>
            </w:pPr>
            <w:r>
              <w:rPr>
                <w:rFonts w:ascii="Times New Roman" w:hAnsi="Times New Roman"/>
                <w:noProof/>
                <w:sz w:val="24"/>
                <w:szCs w:val="24"/>
                <w:lang w:eastAsia="de-DE"/>
              </w:rPr>
              <w:t>Present a revised version of the European Interoperability Framework (</w:t>
            </w:r>
            <w:r>
              <w:rPr>
                <w:rFonts w:ascii="Times New Roman" w:hAnsi="Times New Roman"/>
                <w:noProof/>
                <w:sz w:val="24"/>
                <w:szCs w:val="24"/>
                <w:lang w:eastAsia="de-DE"/>
              </w:rPr>
              <w:t>EIF) and support its take-up</w:t>
            </w:r>
            <w:r>
              <w:rPr>
                <w:noProof/>
              </w:rPr>
              <w:t xml:space="preserve"> </w:t>
            </w:r>
            <w:r>
              <w:rPr>
                <w:rFonts w:ascii="Times New Roman" w:hAnsi="Times New Roman"/>
                <w:noProof/>
                <w:sz w:val="24"/>
                <w:szCs w:val="24"/>
                <w:lang w:eastAsia="de-DE"/>
              </w:rPr>
              <w:t xml:space="preserve">by national administrations. </w:t>
            </w:r>
          </w:p>
        </w:tc>
        <w:tc>
          <w:tcPr>
            <w:tcW w:w="1417" w:type="dxa"/>
          </w:tcPr>
          <w:p w:rsidR="00897C11" w:rsidRDefault="003A41E4">
            <w:pPr>
              <w:shd w:val="clear" w:color="auto" w:fill="EBEBEB" w:themeFill="background1"/>
              <w:ind w:left="360"/>
              <w:jc w:val="center"/>
              <w:rPr>
                <w:rFonts w:ascii="Times New Roman" w:hAnsi="Times New Roman"/>
                <w:noProof/>
                <w:sz w:val="24"/>
                <w:szCs w:val="24"/>
                <w:lang w:eastAsia="de-DE"/>
              </w:rPr>
            </w:pPr>
            <w:r>
              <w:rPr>
                <w:rFonts w:ascii="Times New Roman" w:hAnsi="Times New Roman"/>
                <w:noProof/>
                <w:sz w:val="24"/>
                <w:szCs w:val="24"/>
                <w:lang w:eastAsia="de-DE"/>
              </w:rPr>
              <w:t>2016-2019</w:t>
            </w:r>
          </w:p>
        </w:tc>
      </w:tr>
      <w:tr w:rsidR="00897C11">
        <w:tc>
          <w:tcPr>
            <w:tcW w:w="7797" w:type="dxa"/>
          </w:tcPr>
          <w:p w:rsidR="00897C11" w:rsidRDefault="003A41E4">
            <w:pPr>
              <w:pStyle w:val="ListParagraph"/>
              <w:numPr>
                <w:ilvl w:val="0"/>
                <w:numId w:val="2"/>
              </w:numPr>
              <w:spacing w:before="120" w:after="120"/>
              <w:rPr>
                <w:rFonts w:ascii="Times New Roman" w:hAnsi="Times New Roman"/>
                <w:noProof/>
                <w:sz w:val="24"/>
                <w:szCs w:val="24"/>
                <w:lang w:eastAsia="de-DE"/>
              </w:rPr>
            </w:pPr>
            <w:r>
              <w:rPr>
                <w:rStyle w:val="CharAttribute3"/>
                <w:rFonts w:eastAsia="Batang"/>
                <w:noProof/>
                <w:szCs w:val="24"/>
              </w:rPr>
              <w:t>Coordinate the development of a prototype for a European Catalogue of ICT standards for public procurement.</w:t>
            </w:r>
          </w:p>
        </w:tc>
        <w:tc>
          <w:tcPr>
            <w:tcW w:w="1417" w:type="dxa"/>
          </w:tcPr>
          <w:p w:rsidR="00897C11" w:rsidRDefault="003A41E4">
            <w:pPr>
              <w:shd w:val="clear" w:color="auto" w:fill="EBEBEB" w:themeFill="background1"/>
              <w:ind w:left="360"/>
              <w:jc w:val="center"/>
              <w:rPr>
                <w:rFonts w:ascii="Times New Roman" w:hAnsi="Times New Roman"/>
                <w:noProof/>
                <w:sz w:val="24"/>
                <w:szCs w:val="24"/>
                <w:lang w:eastAsia="de-DE"/>
              </w:rPr>
            </w:pPr>
            <w:r>
              <w:rPr>
                <w:rFonts w:ascii="Times New Roman" w:hAnsi="Times New Roman"/>
                <w:noProof/>
                <w:sz w:val="24"/>
                <w:szCs w:val="24"/>
                <w:lang w:eastAsia="de-DE"/>
              </w:rPr>
              <w:t>2017</w:t>
            </w:r>
          </w:p>
        </w:tc>
      </w:tr>
    </w:tbl>
    <w:p w:rsidR="00897C11" w:rsidRDefault="003A41E4">
      <w:pPr>
        <w:spacing w:before="120"/>
        <w:rPr>
          <w:rFonts w:ascii="Times New Roman" w:hAnsi="Times New Roman" w:cs="Times New Roman"/>
          <w:noProof/>
          <w:sz w:val="24"/>
          <w:szCs w:val="24"/>
        </w:rPr>
      </w:pPr>
      <w:r>
        <w:rPr>
          <w:rFonts w:ascii="Times New Roman" w:hAnsi="Times New Roman" w:cs="Times New Roman"/>
          <w:noProof/>
          <w:sz w:val="24"/>
          <w:szCs w:val="24"/>
        </w:rPr>
        <w:t xml:space="preserve">In view of its own digital transformation and in order to comply with </w:t>
      </w:r>
      <w:r>
        <w:rPr>
          <w:rFonts w:ascii="Times New Roman" w:hAnsi="Times New Roman" w:cs="Times New Roman"/>
          <w:noProof/>
          <w:sz w:val="24"/>
          <w:szCs w:val="24"/>
        </w:rPr>
        <w:t>the legal obligations set out for EU public administrations, the European Commission will also undertake a number of concrete actions.</w:t>
      </w:r>
      <w:r>
        <w:rPr>
          <w:rFonts w:ascii="Times New Roman" w:hAnsi="Times New Roman" w:cs="Times New Roman"/>
          <w:noProof/>
          <w:sz w:val="24"/>
          <w:szCs w:val="24"/>
          <w:highlight w:val="yellow"/>
        </w:rPr>
        <w:t xml:space="preserve"> </w:t>
      </w:r>
    </w:p>
    <w:p w:rsidR="00897C11" w:rsidRDefault="003A41E4">
      <w:pPr>
        <w:spacing w:before="24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When conducting its </w:t>
      </w:r>
      <w:r>
        <w:rPr>
          <w:rFonts w:ascii="Times New Roman" w:hAnsi="Times New Roman" w:cs="Times New Roman"/>
          <w:noProof/>
          <w:sz w:val="24"/>
          <w:szCs w:val="24"/>
        </w:rPr>
        <w:t xml:space="preserve">regulatory fitness (REFIT) exercises to </w:t>
      </w:r>
      <w:r>
        <w:rPr>
          <w:rFonts w:ascii="Times New Roman" w:hAnsi="Times New Roman" w:cs="Times New Roman"/>
          <w:noProof/>
          <w:sz w:val="24"/>
          <w:szCs w:val="24"/>
          <w:lang w:eastAsia="de-DE"/>
        </w:rPr>
        <w:t xml:space="preserve">review the existing internal market acquis and/or drafting </w:t>
      </w:r>
      <w:r>
        <w:rPr>
          <w:rFonts w:ascii="Times New Roman" w:hAnsi="Times New Roman" w:cs="Times New Roman"/>
          <w:noProof/>
          <w:sz w:val="24"/>
          <w:szCs w:val="24"/>
          <w:lang w:eastAsia="de-DE"/>
        </w:rPr>
        <w:t>new proposals, the Commission will pay particular attention to interoperability and on the benefits that the effective usage of digital technologies can bring. The aim is to</w:t>
      </w:r>
      <w:r>
        <w:rPr>
          <w:rFonts w:ascii="Times New Roman" w:hAnsi="Times New Roman" w:cs="Times New Roman"/>
          <w:noProof/>
          <w:sz w:val="24"/>
          <w:szCs w:val="24"/>
        </w:rPr>
        <w:t xml:space="preserve"> remove unnecessarily complex, paper-based or duplicating processes (e.g. multitude</w:t>
      </w:r>
      <w:r>
        <w:rPr>
          <w:rFonts w:ascii="Times New Roman" w:hAnsi="Times New Roman" w:cs="Times New Roman"/>
          <w:noProof/>
          <w:sz w:val="24"/>
          <w:szCs w:val="24"/>
        </w:rPr>
        <w:t xml:space="preserve"> of contact points, reporting processes, data exchange or systems requirements).</w:t>
      </w:r>
    </w:p>
    <w:p w:rsidR="00897C11" w:rsidRDefault="003A41E4">
      <w:pPr>
        <w:spacing w:before="24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In view of its own digital transformation, the Commission will publish its data </w:t>
      </w:r>
      <w:r>
        <w:rPr>
          <w:rFonts w:ascii="Times New Roman" w:hAnsi="Times New Roman"/>
          <w:noProof/>
          <w:sz w:val="24"/>
          <w:szCs w:val="24"/>
          <w:lang w:eastAsia="de-DE"/>
        </w:rPr>
        <w:t>on the EU Open Data Portal</w:t>
      </w:r>
      <w:r>
        <w:rPr>
          <w:rStyle w:val="FootnoteReference"/>
          <w:noProof/>
          <w:szCs w:val="24"/>
        </w:rPr>
        <w:footnoteReference w:id="21"/>
      </w:r>
      <w:r>
        <w:rPr>
          <w:rFonts w:ascii="Times New Roman" w:hAnsi="Times New Roman"/>
          <w:noProof/>
          <w:sz w:val="24"/>
          <w:szCs w:val="24"/>
          <w:lang w:eastAsia="de-DE"/>
        </w:rPr>
        <w:t>, which will feed into</w:t>
      </w:r>
      <w:r>
        <w:rPr>
          <w:rFonts w:ascii="Times New Roman" w:hAnsi="Times New Roman" w:cs="Times New Roman"/>
          <w:noProof/>
          <w:sz w:val="24"/>
          <w:szCs w:val="24"/>
          <w:lang w:eastAsia="de-DE"/>
        </w:rPr>
        <w:t xml:space="preserve"> the European Open Data Portal</w:t>
      </w:r>
      <w:r>
        <w:rPr>
          <w:rStyle w:val="FootnoteReference"/>
          <w:noProof/>
          <w:szCs w:val="24"/>
        </w:rPr>
        <w:footnoteReference w:id="22"/>
      </w:r>
      <w:r>
        <w:rPr>
          <w:rFonts w:ascii="Times New Roman" w:hAnsi="Times New Roman" w:cs="Times New Roman"/>
          <w:noProof/>
          <w:sz w:val="24"/>
          <w:szCs w:val="24"/>
          <w:lang w:eastAsia="de-DE"/>
        </w:rPr>
        <w:t>, share and reu</w:t>
      </w:r>
      <w:r>
        <w:rPr>
          <w:rFonts w:ascii="Times New Roman" w:hAnsi="Times New Roman" w:cs="Times New Roman"/>
          <w:noProof/>
          <w:sz w:val="24"/>
          <w:szCs w:val="24"/>
          <w:lang w:eastAsia="de-DE"/>
        </w:rPr>
        <w:t>se operational building blocks such as Digital Service Infrastructures (DSIs) where relevant, and apply the revised version of the EIF. The Commission will gradually introduce the 'digital by default' principle when interacting online with external stakeho</w:t>
      </w:r>
      <w:r>
        <w:rPr>
          <w:rFonts w:ascii="Times New Roman" w:hAnsi="Times New Roman" w:cs="Times New Roman"/>
          <w:noProof/>
          <w:sz w:val="24"/>
          <w:szCs w:val="24"/>
          <w:lang w:eastAsia="de-DE"/>
        </w:rPr>
        <w:t>lders, using eIDAS services (in 2018), eInvoicing (in 2018) and eProcurement (in 2019). In order to reduce the administrative burden, the Commission will also gradually roll out the 'once-only' principle in its interactions with suppliers and grants partic</w:t>
      </w:r>
      <w:r>
        <w:rPr>
          <w:rFonts w:ascii="Times New Roman" w:hAnsi="Times New Roman" w:cs="Times New Roman"/>
          <w:noProof/>
          <w:sz w:val="24"/>
          <w:szCs w:val="24"/>
          <w:lang w:eastAsia="de-DE"/>
        </w:rPr>
        <w:t>ipants and examine possibilities to introduce the 'once-only' principle for other stakeholders. The Commission will assess the implication of a possible implementation of the 'no legacy principle' (renew IT systems and technologies after a certain amount o</w:t>
      </w:r>
      <w:r>
        <w:rPr>
          <w:rFonts w:ascii="Times New Roman" w:hAnsi="Times New Roman" w:cs="Times New Roman"/>
          <w:noProof/>
          <w:sz w:val="24"/>
          <w:szCs w:val="24"/>
          <w:lang w:eastAsia="de-DE"/>
        </w:rPr>
        <w:t>f time, to keep in line with the ever-changing environment and development of technology) in public administrations.</w:t>
      </w:r>
    </w:p>
    <w:tbl>
      <w:tblPr>
        <w:tblStyle w:val="TableGrid"/>
        <w:tblW w:w="9214" w:type="dxa"/>
        <w:tblInd w:w="-34" w:type="dxa"/>
        <w:tblLayout w:type="fixed"/>
        <w:tblLook w:val="04A0" w:firstRow="1" w:lastRow="0" w:firstColumn="1" w:lastColumn="0" w:noHBand="0" w:noVBand="1"/>
      </w:tblPr>
      <w:tblGrid>
        <w:gridCol w:w="7797"/>
        <w:gridCol w:w="1417"/>
      </w:tblGrid>
      <w:tr w:rsidR="00897C11">
        <w:tc>
          <w:tcPr>
            <w:tcW w:w="7797" w:type="dxa"/>
          </w:tcPr>
          <w:p w:rsidR="00897C11" w:rsidRDefault="00897C11">
            <w:pPr>
              <w:shd w:val="clear" w:color="auto" w:fill="EBEBEB" w:themeFill="background1"/>
              <w:rPr>
                <w:rFonts w:ascii="Times New Roman" w:hAnsi="Times New Roman" w:cs="Times New Roman"/>
                <w:b/>
                <w:i/>
                <w:noProof/>
                <w:sz w:val="24"/>
                <w:szCs w:val="24"/>
                <w:lang w:eastAsia="de-DE"/>
              </w:rPr>
            </w:pPr>
          </w:p>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Actions</w:t>
            </w:r>
          </w:p>
        </w:tc>
        <w:tc>
          <w:tcPr>
            <w:tcW w:w="1417"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Target date</w:t>
            </w:r>
          </w:p>
        </w:tc>
      </w:tr>
      <w:tr w:rsidR="00897C11">
        <w:tc>
          <w:tcPr>
            <w:tcW w:w="7797" w:type="dxa"/>
          </w:tcPr>
          <w:p w:rsidR="00897C11" w:rsidRDefault="003A41E4">
            <w:pPr>
              <w:pStyle w:val="ListParagraph"/>
              <w:numPr>
                <w:ilvl w:val="0"/>
                <w:numId w:val="2"/>
              </w:numPr>
              <w:spacing w:before="120" w:after="120"/>
              <w:ind w:left="714" w:hanging="357"/>
              <w:rPr>
                <w:rFonts w:ascii="Times New Roman" w:hAnsi="Times New Roman"/>
                <w:noProof/>
                <w:sz w:val="24"/>
                <w:szCs w:val="24"/>
                <w:lang w:eastAsia="de-DE"/>
              </w:rPr>
            </w:pPr>
            <w:r>
              <w:rPr>
                <w:rFonts w:ascii="Times New Roman" w:hAnsi="Times New Roman"/>
                <w:noProof/>
                <w:sz w:val="24"/>
                <w:szCs w:val="24"/>
                <w:lang w:eastAsia="de-DE"/>
              </w:rPr>
              <w:t>The Commission will use the common building blocks such as CEF DSIs and follow the EIF. It will gradually introduce t</w:t>
            </w:r>
            <w:r>
              <w:rPr>
                <w:rFonts w:ascii="Times New Roman" w:hAnsi="Times New Roman"/>
                <w:noProof/>
                <w:sz w:val="24"/>
                <w:szCs w:val="24"/>
                <w:lang w:eastAsia="de-DE"/>
              </w:rPr>
              <w:t>he 'digital by default' and 'once-only' principles, eInvoicing and eProcurement and assess the implication of a possible implementation of the 'no legacy' principle.</w:t>
            </w:r>
          </w:p>
        </w:tc>
        <w:tc>
          <w:tcPr>
            <w:tcW w:w="1417"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2016-2019</w:t>
            </w:r>
          </w:p>
        </w:tc>
      </w:tr>
    </w:tbl>
    <w:p w:rsidR="00897C11" w:rsidRDefault="003A41E4">
      <w:pPr>
        <w:spacing w:before="120"/>
        <w:rPr>
          <w:rFonts w:ascii="Times New Roman" w:hAnsi="Times New Roman" w:cs="Times New Roman"/>
          <w:noProof/>
          <w:sz w:val="24"/>
          <w:szCs w:val="24"/>
          <w:lang w:eastAsia="de-DE"/>
        </w:rPr>
      </w:pPr>
      <w:r>
        <w:rPr>
          <w:rFonts w:ascii="Times New Roman" w:hAnsi="Times New Roman" w:cs="Times New Roman"/>
          <w:noProof/>
          <w:sz w:val="24"/>
          <w:szCs w:val="24"/>
        </w:rPr>
        <w:t>Additional initiatives could aim at r</w:t>
      </w:r>
      <w:r>
        <w:rPr>
          <w:rFonts w:ascii="Times New Roman" w:hAnsi="Times New Roman" w:cs="Times New Roman"/>
          <w:noProof/>
          <w:sz w:val="24"/>
          <w:szCs w:val="24"/>
          <w:lang w:eastAsia="de-DE"/>
        </w:rPr>
        <w:t>educing the administrative burden and impr</w:t>
      </w:r>
      <w:r>
        <w:rPr>
          <w:rFonts w:ascii="Times New Roman" w:hAnsi="Times New Roman" w:cs="Times New Roman"/>
          <w:noProof/>
          <w:sz w:val="24"/>
          <w:szCs w:val="24"/>
          <w:lang w:eastAsia="de-DE"/>
        </w:rPr>
        <w:t xml:space="preserve">oving the efficiency and effectiveness of public administrations, by making digital public services 'needs-based' and user-friendly or by re-using data and services between public administrations (respecting data protection and privacy rules). </w:t>
      </w:r>
    </w:p>
    <w:p w:rsidR="00897C11" w:rsidRDefault="003A41E4">
      <w:pPr>
        <w:rPr>
          <w:rFonts w:ascii="Times New Roman" w:hAnsi="Times New Roman"/>
          <w:noProof/>
          <w:sz w:val="24"/>
          <w:szCs w:val="24"/>
        </w:rPr>
      </w:pPr>
      <w:r>
        <w:rPr>
          <w:rFonts w:ascii="Times New Roman" w:hAnsi="Times New Roman" w:cs="Times New Roman"/>
          <w:noProof/>
          <w:sz w:val="24"/>
          <w:szCs w:val="24"/>
          <w:lang w:eastAsia="de-DE"/>
        </w:rPr>
        <w:t>Other initi</w:t>
      </w:r>
      <w:r>
        <w:rPr>
          <w:rFonts w:ascii="Times New Roman" w:hAnsi="Times New Roman" w:cs="Times New Roman"/>
          <w:noProof/>
          <w:sz w:val="24"/>
          <w:szCs w:val="24"/>
          <w:lang w:eastAsia="de-DE"/>
        </w:rPr>
        <w:t>atives could aim at developing new common building blocks</w:t>
      </w:r>
      <w:r>
        <w:rPr>
          <w:rFonts w:ascii="Times New Roman" w:hAnsi="Times New Roman"/>
          <w:noProof/>
          <w:sz w:val="24"/>
          <w:szCs w:val="24"/>
          <w:lang w:eastAsia="de-DE"/>
        </w:rPr>
        <w:t xml:space="preserve"> in addition to the existing ones</w:t>
      </w:r>
      <w:r>
        <w:rPr>
          <w:rStyle w:val="FootnoteReference"/>
          <w:noProof/>
          <w:szCs w:val="24"/>
        </w:rPr>
        <w:footnoteReference w:id="23"/>
      </w:r>
      <w:r>
        <w:rPr>
          <w:rFonts w:ascii="Times New Roman" w:hAnsi="Times New Roman"/>
          <w:noProof/>
          <w:sz w:val="24"/>
          <w:szCs w:val="24"/>
          <w:lang w:eastAsia="de-DE"/>
        </w:rPr>
        <w:t xml:space="preserve">, </w:t>
      </w:r>
      <w:r>
        <w:rPr>
          <w:rFonts w:ascii="Times New Roman" w:hAnsi="Times New Roman" w:cs="Times New Roman"/>
          <w:noProof/>
          <w:sz w:val="24"/>
          <w:szCs w:val="24"/>
          <w:lang w:eastAsia="de-DE"/>
        </w:rPr>
        <w:t xml:space="preserve">supporting their take-up and encouraging the use and sharing of cloud, data and computing infrastructures. Initiatives could also promote the usage of big data or </w:t>
      </w:r>
      <w:r>
        <w:rPr>
          <w:rFonts w:ascii="Times New Roman" w:hAnsi="Times New Roman" w:cs="Times New Roman"/>
          <w:noProof/>
          <w:sz w:val="24"/>
          <w:szCs w:val="24"/>
          <w:lang w:eastAsia="de-DE"/>
        </w:rPr>
        <w:t>Internet of Things for instance for data-intensive services and evidence-informed policy-making, implementation and enforcement supported by appropriate infrastructure. A shared Cloud Infrastructure to host eGovernment services could help realising importa</w:t>
      </w:r>
      <w:r>
        <w:rPr>
          <w:rFonts w:ascii="Times New Roman" w:hAnsi="Times New Roman" w:cs="Times New Roman"/>
          <w:noProof/>
          <w:sz w:val="24"/>
          <w:szCs w:val="24"/>
          <w:lang w:eastAsia="de-DE"/>
        </w:rPr>
        <w:t>nt savings by economies of scale, improving their time to market, as well as opening up public administrations' data and services. The European Cloud initiative</w:t>
      </w:r>
      <w:r>
        <w:rPr>
          <w:rStyle w:val="FootnoteReference"/>
          <w:rFonts w:ascii="Times New Roman" w:hAnsi="Times New Roman" w:cs="Times New Roman"/>
          <w:noProof/>
          <w:sz w:val="24"/>
          <w:szCs w:val="24"/>
          <w:lang w:eastAsia="de-DE"/>
        </w:rPr>
        <w:footnoteReference w:id="24"/>
      </w:r>
      <w:r>
        <w:rPr>
          <w:rFonts w:ascii="Times New Roman" w:hAnsi="Times New Roman" w:cs="Times New Roman"/>
          <w:noProof/>
          <w:sz w:val="24"/>
          <w:szCs w:val="24"/>
          <w:lang w:eastAsia="de-DE"/>
        </w:rPr>
        <w:t xml:space="preserve"> will offer an infrastructure for science but will also widen it to public administrations givi</w:t>
      </w:r>
      <w:r>
        <w:rPr>
          <w:rFonts w:ascii="Times New Roman" w:hAnsi="Times New Roman" w:cs="Times New Roman"/>
          <w:noProof/>
          <w:sz w:val="24"/>
          <w:szCs w:val="24"/>
          <w:lang w:eastAsia="de-DE"/>
        </w:rPr>
        <w:t>ng access to unprecedented data and computing power to deliver better services at all levels (from local to national to EU level).</w:t>
      </w:r>
    </w:p>
    <w:p w:rsidR="00897C11" w:rsidRDefault="003A41E4">
      <w:pPr>
        <w:pStyle w:val="Heading2"/>
        <w:rPr>
          <w:noProof/>
          <w:szCs w:val="24"/>
        </w:rPr>
      </w:pPr>
      <w:r>
        <w:rPr>
          <w:noProof/>
          <w:szCs w:val="24"/>
        </w:rPr>
        <w:t>Enabling cross-border mobility with interoperable digital public services</w:t>
      </w:r>
    </w:p>
    <w:p w:rsidR="00897C11" w:rsidRDefault="003A41E4">
      <w:pPr>
        <w:rPr>
          <w:noProof/>
        </w:rPr>
      </w:pPr>
      <w:r>
        <w:rPr>
          <w:rFonts w:ascii="Times New Roman" w:hAnsi="Times New Roman" w:cs="Times New Roman"/>
          <w:noProof/>
          <w:sz w:val="24"/>
          <w:szCs w:val="24"/>
          <w:lang w:eastAsia="de-DE"/>
        </w:rPr>
        <w:t xml:space="preserve">The EU Single Market cannot function effectively without cross-border digital public services. Such services facilitate access to markets, increase confidence in and stimulate competition across the Single Market. </w:t>
      </w:r>
      <w:r>
        <w:rPr>
          <w:rFonts w:ascii="Times New Roman" w:hAnsi="Times New Roman" w:cs="Times New Roman"/>
          <w:noProof/>
          <w:sz w:val="24"/>
          <w:szCs w:val="24"/>
        </w:rPr>
        <w:t>Administrations should help businesses ope</w:t>
      </w:r>
      <w:r>
        <w:rPr>
          <w:rFonts w:ascii="Times New Roman" w:hAnsi="Times New Roman" w:cs="Times New Roman"/>
          <w:noProof/>
          <w:sz w:val="24"/>
          <w:szCs w:val="24"/>
        </w:rPr>
        <w:t>rate online across borders within the Single Market, simplify access to information under EU business and company laws and enable businesses to easily start doing business, expand and operate in other Member States through end-to-end public e-services.</w:t>
      </w:r>
      <w:r>
        <w:rPr>
          <w:noProof/>
        </w:rPr>
        <w:t xml:space="preserve"> </w:t>
      </w:r>
    </w:p>
    <w:p w:rsidR="00897C11" w:rsidRDefault="003A41E4">
      <w:pP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 order to move towards these policy priorities, </w:t>
      </w:r>
      <w:r>
        <w:rPr>
          <w:rFonts w:ascii="Times New Roman" w:hAnsi="Times New Roman" w:cs="Times New Roman"/>
          <w:noProof/>
          <w:sz w:val="24"/>
          <w:szCs w:val="24"/>
          <w:lang w:eastAsia="de-DE"/>
        </w:rPr>
        <w:t xml:space="preserve">a number of concrete actions are included in this Action Plan with the aim to </w:t>
      </w:r>
      <w:r>
        <w:rPr>
          <w:rFonts w:ascii="Times New Roman" w:hAnsi="Times New Roman" w:cs="Times New Roman"/>
          <w:noProof/>
          <w:sz w:val="24"/>
          <w:szCs w:val="24"/>
        </w:rPr>
        <w:t>contribute to the creation of business friendly cross-border public administrations and help the mobility of citizens.</w:t>
      </w:r>
    </w:p>
    <w:p w:rsidR="00897C11" w:rsidRDefault="003A41E4">
      <w:pPr>
        <w:pStyle w:val="Default"/>
        <w:spacing w:after="200" w:line="276" w:lineRule="auto"/>
        <w:jc w:val="both"/>
        <w:rPr>
          <w:rStyle w:val="CharAttribute3"/>
          <w:rFonts w:eastAsia="Batang"/>
          <w:noProof/>
          <w:color w:val="auto"/>
        </w:rPr>
      </w:pPr>
      <w:r>
        <w:rPr>
          <w:rFonts w:ascii="Times New Roman" w:hAnsi="Times New Roman" w:cs="Times New Roman"/>
          <w:noProof/>
        </w:rPr>
        <w:t>Currently</w:t>
      </w:r>
      <w:r>
        <w:rPr>
          <w:rFonts w:ascii="Times New Roman" w:hAnsi="Times New Roman" w:cs="Times New Roman"/>
          <w:noProof/>
        </w:rPr>
        <w:t xml:space="preserve"> Single Market-related information, advice, problem-solving mechanisms, contact points and procedures do not operate as a whole but are dispersed, incomplete, not sufficiently inter-connected and not consistently user-friendly – both at EU and national lev</w:t>
      </w:r>
      <w:r>
        <w:rPr>
          <w:rFonts w:ascii="Times New Roman" w:hAnsi="Times New Roman" w:cs="Times New Roman"/>
          <w:noProof/>
        </w:rPr>
        <w:t xml:space="preserve">el. It is therefore difficult for users to find the right information and assistance required. The Commission will </w:t>
      </w:r>
      <w:r>
        <w:rPr>
          <w:rFonts w:ascii="Times New Roman" w:hAnsi="Times New Roman" w:cs="Times New Roman"/>
          <w:noProof/>
          <w:color w:val="auto"/>
        </w:rPr>
        <w:t>therefore p</w:t>
      </w:r>
      <w:r>
        <w:rPr>
          <w:rStyle w:val="CharAttribute3"/>
          <w:rFonts w:eastAsia="Batang"/>
          <w:noProof/>
          <w:color w:val="auto"/>
        </w:rPr>
        <w:t xml:space="preserve">ropose the creation of a Single Digital Gateway, based on existing portals, contact points and networks, expanding, improving and </w:t>
      </w:r>
      <w:r>
        <w:rPr>
          <w:rStyle w:val="CharAttribute3"/>
          <w:rFonts w:eastAsia="Batang"/>
          <w:noProof/>
          <w:color w:val="auto"/>
        </w:rPr>
        <w:t>streamlining all information, assistance and problem solving services needed to operate efficiently across borders, and enabling users to complete the most frequently used national procedures fully on-line.</w:t>
      </w:r>
    </w:p>
    <w:p w:rsidR="00897C11" w:rsidRDefault="003A41E4">
      <w:pPr>
        <w:pStyle w:val="Default"/>
        <w:spacing w:after="200" w:line="276" w:lineRule="auto"/>
        <w:jc w:val="both"/>
        <w:rPr>
          <w:rStyle w:val="CharAttribute3"/>
          <w:rFonts w:eastAsia="Batang"/>
          <w:noProof/>
        </w:rPr>
      </w:pPr>
      <w:r>
        <w:rPr>
          <w:rStyle w:val="CharAttribute3"/>
          <w:rFonts w:eastAsia="Batang"/>
          <w:noProof/>
        </w:rPr>
        <w:t>The Commission will make the European e-Justice P</w:t>
      </w:r>
      <w:r>
        <w:rPr>
          <w:rStyle w:val="CharAttribute3"/>
          <w:rFonts w:eastAsia="Batang"/>
          <w:noProof/>
        </w:rPr>
        <w:t>ortal a one-stop shop for information on European justice and access to judicial procedures in the Member States. For 2016, this will include the go-live of tools for direct communications between citizens and courts in other Member States (e-CODEX), as we</w:t>
      </w:r>
      <w:r>
        <w:rPr>
          <w:rStyle w:val="CharAttribute3"/>
          <w:rFonts w:eastAsia="Batang"/>
          <w:noProof/>
        </w:rPr>
        <w:t xml:space="preserve">ll as the introduction of the European Case Law Identifier (ECLI) search engine. Further developments will follow the Multiannual European e-Justice Action Plan 2014-2018. </w:t>
      </w:r>
    </w:p>
    <w:p w:rsidR="00897C11" w:rsidRDefault="003A41E4">
      <w:pPr>
        <w:pStyle w:val="Default"/>
        <w:spacing w:after="200" w:line="276" w:lineRule="auto"/>
        <w:jc w:val="both"/>
        <w:rPr>
          <w:rFonts w:ascii="Times New Roman" w:eastAsia="Batang" w:hAnsi="Times New Roman"/>
          <w:noProof/>
          <w:kern w:val="2"/>
          <w:lang w:val="en-US" w:eastAsia="ko-KR"/>
        </w:rPr>
      </w:pPr>
      <w:r>
        <w:rPr>
          <w:rFonts w:ascii="Times New Roman" w:eastAsia="Batang" w:hAnsi="Times New Roman"/>
          <w:noProof/>
          <w:kern w:val="2"/>
          <w:lang w:eastAsia="ko-KR"/>
        </w:rPr>
        <w:t>The Commission will c</w:t>
      </w:r>
      <w:r>
        <w:rPr>
          <w:rFonts w:ascii="Times New Roman" w:eastAsia="Batang" w:hAnsi="Times New Roman"/>
          <w:noProof/>
          <w:kern w:val="2"/>
          <w:lang w:val="en-US" w:eastAsia="ko-KR"/>
        </w:rPr>
        <w:t>ontinue its ongoing work together with the Member States on se</w:t>
      </w:r>
      <w:r>
        <w:rPr>
          <w:rFonts w:ascii="Times New Roman" w:eastAsia="Batang" w:hAnsi="Times New Roman"/>
          <w:noProof/>
          <w:kern w:val="2"/>
          <w:lang w:val="en-US" w:eastAsia="ko-KR"/>
        </w:rPr>
        <w:t>tting up the mandatory interconnection of all Member States' business registers</w:t>
      </w:r>
      <w:r>
        <w:rPr>
          <w:rStyle w:val="FootnoteReference"/>
          <w:rFonts w:asciiTheme="minorHAnsi" w:hAnsiTheme="minorHAnsi" w:cstheme="minorBidi"/>
          <w:noProof/>
          <w:color w:val="auto"/>
          <w:sz w:val="22"/>
        </w:rPr>
        <w:footnoteReference w:id="25"/>
      </w:r>
      <w:r>
        <w:rPr>
          <w:rFonts w:ascii="Times New Roman" w:eastAsia="Batang" w:hAnsi="Times New Roman"/>
          <w:noProof/>
          <w:kern w:val="2"/>
          <w:lang w:val="en-US" w:eastAsia="ko-KR"/>
        </w:rPr>
        <w:t xml:space="preserve">, in order to allow access via the European e-Justice portal to certain information on companies registered in Member States and to ensure that all EU business registers </w:t>
      </w:r>
      <w:r>
        <w:rPr>
          <w:rFonts w:ascii="Times New Roman" w:eastAsia="Batang" w:hAnsi="Times New Roman"/>
          <w:noProof/>
          <w:kern w:val="2"/>
          <w:lang w:val="en-US" w:eastAsia="ko-KR"/>
        </w:rPr>
        <w:t>concerned can communicate with each other electronically in a safe and secure way. This will enhance confidence in the Single Market through transparency and up-to-date information on companies and reduce burdens on companies.</w:t>
      </w:r>
    </w:p>
    <w:p w:rsidR="00897C11" w:rsidRDefault="003A41E4">
      <w:pPr>
        <w:pStyle w:val="Default"/>
        <w:spacing w:after="200" w:line="276" w:lineRule="auto"/>
        <w:jc w:val="both"/>
        <w:rPr>
          <w:rStyle w:val="CharAttribute3"/>
          <w:rFonts w:eastAsia="Batang"/>
          <w:noProof/>
        </w:rPr>
      </w:pPr>
      <w:r>
        <w:rPr>
          <w:rFonts w:ascii="Times New Roman" w:hAnsi="Times New Roman"/>
          <w:noProof/>
          <w:lang w:eastAsia="de-DE"/>
        </w:rPr>
        <w:t>The Commission will also furt</w:t>
      </w:r>
      <w:r>
        <w:rPr>
          <w:rFonts w:ascii="Times New Roman" w:hAnsi="Times New Roman"/>
          <w:noProof/>
          <w:lang w:eastAsia="de-DE"/>
        </w:rPr>
        <w:t>her develop an electronic interconnection of insolvency registers to enhance transparency and legal certainty in the internal market</w:t>
      </w:r>
      <w:r>
        <w:rPr>
          <w:rStyle w:val="FootnoteReference"/>
          <w:rFonts w:asciiTheme="minorHAnsi" w:hAnsiTheme="minorHAnsi" w:cstheme="minorBidi"/>
          <w:noProof/>
          <w:color w:val="auto"/>
          <w:sz w:val="22"/>
        </w:rPr>
        <w:footnoteReference w:id="26"/>
      </w:r>
      <w:r>
        <w:rPr>
          <w:rFonts w:ascii="Times New Roman" w:hAnsi="Times New Roman"/>
          <w:noProof/>
          <w:lang w:eastAsia="de-DE"/>
        </w:rPr>
        <w:t>. Regulation 2015/848 obliges Member States to set up their own domestic insolvency electronic registers by 2018, while the</w:t>
      </w:r>
      <w:r>
        <w:rPr>
          <w:rFonts w:ascii="Times New Roman" w:hAnsi="Times New Roman"/>
          <w:noProof/>
          <w:lang w:eastAsia="de-DE"/>
        </w:rPr>
        <w:t xml:space="preserve"> establishment of the interconnection of insolvency registers is set for 2019. </w:t>
      </w:r>
      <w:r>
        <w:rPr>
          <w:rStyle w:val="CharAttribute3"/>
          <w:rFonts w:eastAsia="Batang"/>
          <w:noProof/>
        </w:rPr>
        <w:t>This will become available on the European e-Justice Portal.</w:t>
      </w:r>
    </w:p>
    <w:p w:rsidR="00897C11" w:rsidRDefault="003A41E4">
      <w:pPr>
        <w:pStyle w:val="Default"/>
        <w:spacing w:after="200" w:line="276" w:lineRule="auto"/>
        <w:jc w:val="both"/>
        <w:rPr>
          <w:rStyle w:val="CharAttribute3"/>
          <w:rFonts w:eastAsia="Calibri"/>
          <w:noProof/>
        </w:rPr>
      </w:pPr>
      <w:r>
        <w:rPr>
          <w:rFonts w:ascii="Times New Roman" w:hAnsi="Times New Roman" w:cs="Times New Roman"/>
          <w:noProof/>
        </w:rPr>
        <w:t xml:space="preserve">Improving the use of digital tools when complying with company-law related requirements throughout different phases </w:t>
      </w:r>
      <w:r>
        <w:rPr>
          <w:rFonts w:ascii="Times New Roman" w:hAnsi="Times New Roman" w:cs="Times New Roman"/>
          <w:noProof/>
        </w:rPr>
        <w:t xml:space="preserve">of a company's lifecycle </w:t>
      </w:r>
      <w:r>
        <w:rPr>
          <w:rFonts w:ascii="Times New Roman" w:hAnsi="Times New Roman" w:cs="Times New Roman"/>
          <w:noProof/>
          <w:lang w:eastAsia="de-DE"/>
        </w:rPr>
        <w:t>would achieve simpler and less burdensome solutions for companies</w:t>
      </w:r>
      <w:r>
        <w:rPr>
          <w:rFonts w:ascii="Times New Roman" w:hAnsi="Times New Roman" w:cs="Times New Roman"/>
          <w:noProof/>
          <w:color w:val="auto"/>
          <w:lang w:eastAsia="de-DE"/>
        </w:rPr>
        <w:t>. Beyond the Single Member Company proposal, t</w:t>
      </w:r>
      <w:r>
        <w:rPr>
          <w:rFonts w:ascii="Times New Roman" w:eastAsia="Batang" w:hAnsi="Times New Roman"/>
          <w:noProof/>
          <w:kern w:val="2"/>
          <w:lang w:val="en-US" w:eastAsia="ko-KR"/>
        </w:rPr>
        <w:t>he Commission will consider within an initiative as outlined in the Single Market Strategy further ways</w:t>
      </w:r>
      <w:r>
        <w:rPr>
          <w:rStyle w:val="FootnoteReference"/>
          <w:rFonts w:asciiTheme="minorHAnsi" w:hAnsiTheme="minorHAnsi" w:cstheme="minorBidi"/>
          <w:noProof/>
          <w:color w:val="auto"/>
          <w:sz w:val="22"/>
        </w:rPr>
        <w:footnoteReference w:id="27"/>
      </w:r>
      <w:r>
        <w:rPr>
          <w:rFonts w:ascii="Times New Roman" w:eastAsia="Batang" w:hAnsi="Times New Roman"/>
          <w:noProof/>
          <w:kern w:val="2"/>
          <w:lang w:val="en-US" w:eastAsia="ko-KR"/>
        </w:rPr>
        <w:t xml:space="preserve"> to facilitate t</w:t>
      </w:r>
      <w:r>
        <w:rPr>
          <w:rFonts w:ascii="Times New Roman" w:eastAsia="Batang" w:hAnsi="Times New Roman"/>
          <w:noProof/>
          <w:kern w:val="2"/>
          <w:lang w:val="en-US" w:eastAsia="ko-KR"/>
        </w:rPr>
        <w:t>he use of digital solutions throughout a company's lifecycle, in particular in relation to the online registration procedures and to the electronic filing of company documents and information</w:t>
      </w:r>
      <w:r>
        <w:rPr>
          <w:rStyle w:val="FootnoteReference"/>
          <w:rFonts w:asciiTheme="minorHAnsi" w:hAnsiTheme="minorHAnsi" w:cstheme="minorBidi"/>
          <w:noProof/>
          <w:color w:val="auto"/>
          <w:sz w:val="22"/>
        </w:rPr>
        <w:footnoteReference w:id="28"/>
      </w:r>
      <w:r>
        <w:rPr>
          <w:rFonts w:ascii="Times New Roman" w:eastAsia="Batang" w:hAnsi="Times New Roman"/>
          <w:noProof/>
          <w:kern w:val="2"/>
          <w:lang w:val="en-US" w:eastAsia="ko-KR"/>
        </w:rPr>
        <w:t xml:space="preserve"> in business registers, also in a cross-border context.</w:t>
      </w:r>
    </w:p>
    <w:p w:rsidR="00897C11" w:rsidRDefault="003A41E4">
      <w:pPr>
        <w:rPr>
          <w:rStyle w:val="CharAttribute3"/>
          <w:rFonts w:eastAsia="Batang"/>
          <w:noProof/>
          <w:szCs w:val="24"/>
        </w:rPr>
      </w:pPr>
      <w:r>
        <w:rPr>
          <w:rStyle w:val="CharAttribute3"/>
          <w:rFonts w:eastAsia="Batang"/>
          <w:noProof/>
          <w:szCs w:val="24"/>
        </w:rPr>
        <w:t>The Comm</w:t>
      </w:r>
      <w:r>
        <w:rPr>
          <w:rStyle w:val="CharAttribute3"/>
          <w:rFonts w:eastAsia="Batang"/>
          <w:noProof/>
          <w:szCs w:val="24"/>
        </w:rPr>
        <w:t>ission will propose legislation to extend the Single Electronic Mechanism for registration and payment of VAT to cross-border business to consumers online sales of physical goods, in order to reduce the administrative burden, one of the main barriers busin</w:t>
      </w:r>
      <w:r>
        <w:rPr>
          <w:rStyle w:val="CharAttribute3"/>
          <w:rFonts w:eastAsia="Batang"/>
          <w:noProof/>
          <w:szCs w:val="24"/>
        </w:rPr>
        <w:t>esses face operating cross-border.</w:t>
      </w:r>
    </w:p>
    <w:p w:rsidR="00897C11" w:rsidRDefault="003A41E4">
      <w:pPr>
        <w:rPr>
          <w:rStyle w:val="CharAttribute3"/>
          <w:rFonts w:eastAsia="Batang"/>
          <w:noProof/>
        </w:rPr>
      </w:pPr>
      <w:r>
        <w:rPr>
          <w:rStyle w:val="CharAttribute3"/>
          <w:rFonts w:eastAsia="Batang"/>
          <w:noProof/>
        </w:rPr>
        <w:t xml:space="preserve">As announced in the DSM, a large scale pilot project on implementing the once-only principle across borders in the business-to-government area will be launched in 2016 with the participation of Member States. </w:t>
      </w:r>
    </w:p>
    <w:p w:rsidR="00897C11" w:rsidRDefault="003A41E4">
      <w:pPr>
        <w:rPr>
          <w:rStyle w:val="CharAttribute3"/>
          <w:rFonts w:eastAsia="Batang"/>
          <w:noProof/>
          <w:szCs w:val="24"/>
        </w:rPr>
      </w:pPr>
      <w:r>
        <w:rPr>
          <w:rStyle w:val="CharAttribute3"/>
          <w:rFonts w:eastAsia="Batang"/>
          <w:noProof/>
        </w:rPr>
        <w:t>In addition</w:t>
      </w:r>
      <w:r>
        <w:rPr>
          <w:rStyle w:val="CharAttribute3"/>
          <w:rFonts w:eastAsia="Batang"/>
          <w:noProof/>
        </w:rPr>
        <w:t xml:space="preserve">, the Commission will establish a European single window addressing also the </w:t>
      </w:r>
      <w:r>
        <w:rPr>
          <w:rStyle w:val="CharAttribute3"/>
          <w:rFonts w:eastAsia="Batang"/>
          <w:noProof/>
          <w:szCs w:val="24"/>
        </w:rPr>
        <w:t xml:space="preserve">once-only principle for reporting purposes in maritime transport. In a wider context, the Commission is working on the digitalisation of transport documents for all modes and the </w:t>
      </w:r>
      <w:r>
        <w:rPr>
          <w:rStyle w:val="CharAttribute3"/>
          <w:rFonts w:eastAsia="Batang"/>
          <w:noProof/>
          <w:szCs w:val="24"/>
        </w:rPr>
        <w:t xml:space="preserve">promotion of their acceptance by public authorities. </w:t>
      </w:r>
    </w:p>
    <w:tbl>
      <w:tblPr>
        <w:tblStyle w:val="TableGrid"/>
        <w:tblW w:w="9039" w:type="dxa"/>
        <w:tblLayout w:type="fixed"/>
        <w:tblLook w:val="04A0" w:firstRow="1" w:lastRow="0" w:firstColumn="1" w:lastColumn="0" w:noHBand="0" w:noVBand="1"/>
      </w:tblPr>
      <w:tblGrid>
        <w:gridCol w:w="7763"/>
        <w:gridCol w:w="1276"/>
      </w:tblGrid>
      <w:tr w:rsidR="00897C11">
        <w:tc>
          <w:tcPr>
            <w:tcW w:w="7763"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Actions</w:t>
            </w:r>
          </w:p>
          <w:p w:rsidR="00897C11" w:rsidRDefault="003A41E4">
            <w:pPr>
              <w:shd w:val="clear" w:color="auto" w:fill="EBEBEB" w:themeFill="background1"/>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Commission will</w:t>
            </w:r>
          </w:p>
        </w:tc>
        <w:tc>
          <w:tcPr>
            <w:tcW w:w="1276"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Target date</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Fonts w:ascii="Times New Roman" w:hAnsi="Times New Roman"/>
                <w:noProof/>
                <w:sz w:val="24"/>
                <w:szCs w:val="24"/>
                <w:lang w:eastAsia="de-DE"/>
              </w:rPr>
            </w:pPr>
            <w:r>
              <w:rPr>
                <w:rFonts w:ascii="Times New Roman" w:hAnsi="Times New Roman"/>
                <w:noProof/>
                <w:sz w:val="24"/>
                <w:szCs w:val="24"/>
                <w:lang w:eastAsia="de-DE"/>
              </w:rPr>
              <w:t>Submit a proposal for a Single Digital Gateway.</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2017</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Style w:val="CharAttribute3"/>
                <w:rFonts w:eastAsia="Batang" w:hAnsiTheme="minorHAnsi" w:cstheme="minorBidi"/>
                <w:noProof/>
              </w:rPr>
            </w:pPr>
            <w:r>
              <w:rPr>
                <w:rFonts w:ascii="Times New Roman" w:hAnsi="Times New Roman"/>
                <w:noProof/>
                <w:sz w:val="24"/>
                <w:szCs w:val="24"/>
                <w:lang w:eastAsia="de-DE"/>
              </w:rPr>
              <w:t>Make the European e-Justice Portal a one-stop shop for information on European justice issues.</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2016</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Fonts w:ascii="Times New Roman" w:hAnsi="Times New Roman"/>
                <w:noProof/>
                <w:sz w:val="24"/>
                <w:szCs w:val="24"/>
                <w:lang w:eastAsia="de-DE"/>
              </w:rPr>
            </w:pPr>
            <w:r>
              <w:rPr>
                <w:rFonts w:ascii="Times New Roman" w:eastAsia="Batang" w:hAnsi="Times New Roman"/>
                <w:noProof/>
                <w:kern w:val="2"/>
                <w:sz w:val="24"/>
                <w:szCs w:val="24"/>
                <w:lang w:eastAsia="ko-KR"/>
              </w:rPr>
              <w:t>Set up</w:t>
            </w:r>
            <w:r>
              <w:rPr>
                <w:rFonts w:ascii="Times New Roman" w:eastAsia="Batang" w:hAnsi="Times New Roman"/>
                <w:noProof/>
                <w:kern w:val="2"/>
                <w:sz w:val="24"/>
                <w:szCs w:val="24"/>
                <w:lang w:eastAsia="ko-KR"/>
              </w:rPr>
              <w:t xml:space="preserve"> in cooperation with the Member States, the mandatory interconnection of all Member States' business registers.</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2017</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Fonts w:ascii="Times New Roman" w:hAnsi="Times New Roman"/>
                <w:i/>
                <w:noProof/>
                <w:sz w:val="24"/>
                <w:szCs w:val="24"/>
                <w:lang w:eastAsia="de-DE"/>
              </w:rPr>
            </w:pPr>
            <w:r>
              <w:rPr>
                <w:rFonts w:ascii="Times New Roman" w:hAnsi="Times New Roman"/>
                <w:noProof/>
                <w:sz w:val="24"/>
                <w:szCs w:val="24"/>
                <w:lang w:eastAsia="de-DE"/>
              </w:rPr>
              <w:t>Further develop the electronic interconnection of insolvency registers.</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2019</w:t>
            </w:r>
          </w:p>
        </w:tc>
      </w:tr>
      <w:tr w:rsidR="00897C11">
        <w:tc>
          <w:tcPr>
            <w:tcW w:w="7763" w:type="dxa"/>
          </w:tcPr>
          <w:p w:rsidR="00897C11" w:rsidRDefault="003A41E4">
            <w:pPr>
              <w:pStyle w:val="ListParagraph"/>
              <w:numPr>
                <w:ilvl w:val="0"/>
                <w:numId w:val="2"/>
              </w:numPr>
              <w:spacing w:before="120" w:after="120"/>
              <w:rPr>
                <w:rFonts w:ascii="Times New Roman" w:hAnsi="Times New Roman"/>
                <w:noProof/>
                <w:sz w:val="24"/>
                <w:szCs w:val="24"/>
                <w:lang w:eastAsia="de-DE"/>
              </w:rPr>
            </w:pPr>
            <w:r>
              <w:rPr>
                <w:rFonts w:ascii="Times New Roman" w:eastAsia="Batang" w:hAnsi="Times New Roman"/>
                <w:noProof/>
                <w:kern w:val="2"/>
                <w:sz w:val="24"/>
                <w:szCs w:val="24"/>
                <w:lang w:eastAsia="ko-KR"/>
              </w:rPr>
              <w:t>Present</w:t>
            </w:r>
            <w:r>
              <w:rPr>
                <w:rFonts w:ascii="Times New Roman" w:eastAsia="Batang" w:hAnsi="Times New Roman"/>
                <w:noProof/>
                <w:kern w:val="2"/>
                <w:sz w:val="24"/>
                <w:szCs w:val="24"/>
                <w:lang w:val="en-US" w:eastAsia="ko-KR"/>
              </w:rPr>
              <w:t xml:space="preserve"> an initiative to facilitate the use of digital solut</w:t>
            </w:r>
            <w:r>
              <w:rPr>
                <w:rFonts w:ascii="Times New Roman" w:eastAsia="Batang" w:hAnsi="Times New Roman"/>
                <w:noProof/>
                <w:kern w:val="2"/>
                <w:sz w:val="24"/>
                <w:szCs w:val="24"/>
                <w:lang w:val="en-US" w:eastAsia="ko-KR"/>
              </w:rPr>
              <w:t>ions throughout a company's lifecycle.</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2017</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Fonts w:ascii="Times New Roman" w:hAnsi="Times New Roman"/>
                <w:noProof/>
                <w:sz w:val="24"/>
                <w:szCs w:val="24"/>
                <w:lang w:eastAsia="de-DE"/>
              </w:rPr>
            </w:pPr>
            <w:r>
              <w:rPr>
                <w:rStyle w:val="CharAttribute3"/>
                <w:rFonts w:eastAsia="Batang"/>
                <w:noProof/>
                <w:szCs w:val="24"/>
              </w:rPr>
              <w:t>Present a legislative proposal to extend the Single Electronic Mechanism for registration and payment of VAT.</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2016</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Style w:val="CharAttribute3"/>
                <w:rFonts w:eastAsia="Batang"/>
                <w:noProof/>
              </w:rPr>
            </w:pPr>
            <w:r>
              <w:rPr>
                <w:rStyle w:val="CharAttribute3"/>
                <w:rFonts w:eastAsia="Batang"/>
                <w:noProof/>
              </w:rPr>
              <w:t>Launch a pilot on the Once Only Principle for business.</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2016</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Style w:val="CharAttribute3"/>
                <w:rFonts w:eastAsia="Batang"/>
                <w:noProof/>
              </w:rPr>
            </w:pPr>
            <w:r>
              <w:rPr>
                <w:rStyle w:val="CharAttribute3"/>
                <w:rFonts w:eastAsia="Batang"/>
                <w:noProof/>
                <w:szCs w:val="24"/>
              </w:rPr>
              <w:t xml:space="preserve">Establish a single window for </w:t>
            </w:r>
            <w:r>
              <w:rPr>
                <w:rStyle w:val="CharAttribute3"/>
                <w:rFonts w:eastAsia="Batang"/>
                <w:noProof/>
                <w:szCs w:val="24"/>
              </w:rPr>
              <w:t>reporting purposes in maritime transport and digitalise transport e-documents</w:t>
            </w:r>
            <w:r>
              <w:rPr>
                <w:rStyle w:val="CharAttribute3"/>
                <w:rFonts w:eastAsia="Batang"/>
                <w:noProof/>
              </w:rPr>
              <w:t>.</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2018</w:t>
            </w:r>
          </w:p>
        </w:tc>
      </w:tr>
    </w:tbl>
    <w:p w:rsidR="00897C11" w:rsidRDefault="003A41E4">
      <w:pPr>
        <w:spacing w:before="120"/>
        <w:rPr>
          <w:rFonts w:ascii="Times New Roman" w:hAnsi="Times New Roman" w:cs="Times New Roman"/>
          <w:noProof/>
          <w:sz w:val="24"/>
          <w:szCs w:val="24"/>
        </w:rPr>
      </w:pPr>
      <w:r>
        <w:rPr>
          <w:rStyle w:val="CharAttribute3"/>
          <w:rFonts w:eastAsia="Batang"/>
          <w:noProof/>
        </w:rPr>
        <w:t xml:space="preserve">In support of the cross-border mobility of citizens, the Commission will set up </w:t>
      </w:r>
      <w:r>
        <w:rPr>
          <w:rStyle w:val="CharAttribute3"/>
          <w:rFonts w:eastAsia="Batang"/>
          <w:noProof/>
          <w:szCs w:val="24"/>
        </w:rPr>
        <w:t>the</w:t>
      </w:r>
      <w:r>
        <w:rPr>
          <w:rStyle w:val="CharAttribute3"/>
          <w:rFonts w:eastAsia="Batang"/>
          <w:noProof/>
        </w:rPr>
        <w:t xml:space="preserve"> Electronic Exchange of Social Security Information (EESSI), allowing </w:t>
      </w:r>
      <w:r>
        <w:rPr>
          <w:rStyle w:val="CharAttribute3"/>
          <w:rFonts w:eastAsia="Batang"/>
          <w:noProof/>
          <w:szCs w:val="24"/>
        </w:rPr>
        <w:t>the interconnectio</w:t>
      </w:r>
      <w:r>
        <w:rPr>
          <w:rStyle w:val="CharAttribute3"/>
          <w:rFonts w:eastAsia="Batang"/>
          <w:noProof/>
          <w:szCs w:val="24"/>
        </w:rPr>
        <w:t>n between administrations in charge of social security for electronic data exchanges across 32 countries</w:t>
      </w:r>
      <w:r>
        <w:rPr>
          <w:rStyle w:val="FootnoteReference"/>
          <w:noProof/>
          <w:szCs w:val="24"/>
        </w:rPr>
        <w:footnoteReference w:id="29"/>
      </w:r>
      <w:r>
        <w:rPr>
          <w:rStyle w:val="CharAttribute3"/>
          <w:rFonts w:eastAsia="Batang"/>
          <w:noProof/>
          <w:szCs w:val="24"/>
        </w:rPr>
        <w:t xml:space="preserve">. The purpose of EESSI is to strengthen the protection of citizens' rights by </w:t>
      </w:r>
      <w:r>
        <w:rPr>
          <w:rFonts w:ascii="Times New Roman" w:eastAsia="Batang"/>
          <w:noProof/>
          <w:sz w:val="24"/>
          <w:szCs w:val="24"/>
        </w:rPr>
        <w:t xml:space="preserve">enabling the electronic exchange of personal social security information </w:t>
      </w:r>
      <w:r>
        <w:rPr>
          <w:rFonts w:ascii="Times New Roman" w:eastAsia="Batang"/>
          <w:noProof/>
          <w:sz w:val="24"/>
          <w:szCs w:val="24"/>
        </w:rPr>
        <w:t xml:space="preserve">in the EU among Member States' competent administrations. </w:t>
      </w:r>
    </w:p>
    <w:p w:rsidR="00897C11" w:rsidRDefault="003A41E4">
      <w:pPr>
        <w:widowControl w:val="0"/>
        <w:autoSpaceDE w:val="0"/>
        <w:autoSpaceDN w:val="0"/>
        <w:spacing w:before="120" w:after="120"/>
        <w:rPr>
          <w:rStyle w:val="CharAttribute3"/>
          <w:rFonts w:eastAsia="Batang"/>
          <w:noProof/>
          <w:szCs w:val="24"/>
        </w:rPr>
      </w:pPr>
      <w:r>
        <w:rPr>
          <w:rStyle w:val="CharAttribute3"/>
          <w:rFonts w:eastAsia="Batang"/>
          <w:noProof/>
          <w:szCs w:val="24"/>
        </w:rPr>
        <w:t>The Commission will further develop the EURES European Job Mobility portal, offering more services for job seekers and employers, increasing the integration between Public Employment Services syste</w:t>
      </w:r>
      <w:r>
        <w:rPr>
          <w:rStyle w:val="CharAttribute3"/>
          <w:rFonts w:eastAsia="Batang"/>
          <w:noProof/>
          <w:szCs w:val="24"/>
        </w:rPr>
        <w:t>ms and the portal by also exchanging Jobseeker Profiles (CV's)</w:t>
      </w:r>
      <w:r>
        <w:rPr>
          <w:rStyle w:val="FootnoteReference"/>
          <w:noProof/>
          <w:szCs w:val="24"/>
        </w:rPr>
        <w:footnoteReference w:id="30"/>
      </w:r>
      <w:r>
        <w:rPr>
          <w:rStyle w:val="CharAttribute3"/>
          <w:rFonts w:eastAsia="Batang"/>
          <w:noProof/>
          <w:szCs w:val="24"/>
        </w:rPr>
        <w:t>. This will facilitate the mobility of job seekers in the EU.</w:t>
      </w:r>
    </w:p>
    <w:p w:rsidR="00897C11" w:rsidRDefault="003A41E4">
      <w:pPr>
        <w:widowControl w:val="0"/>
        <w:autoSpaceDE w:val="0"/>
        <w:autoSpaceDN w:val="0"/>
        <w:spacing w:before="120" w:after="120"/>
        <w:rPr>
          <w:rFonts w:ascii="Times New Roman" w:hAnsi="Times New Roman" w:cs="Times New Roman"/>
          <w:noProof/>
          <w:sz w:val="24"/>
          <w:szCs w:val="24"/>
        </w:rPr>
      </w:pPr>
      <w:r>
        <w:rPr>
          <w:rStyle w:val="CharAttribute3"/>
          <w:rFonts w:eastAsia="Batang"/>
          <w:noProof/>
          <w:szCs w:val="24"/>
        </w:rPr>
        <w:t>The Commission will support Member States in the development of eHealth services that also enable cross-border exchange of e-prescr</w:t>
      </w:r>
      <w:r>
        <w:rPr>
          <w:rStyle w:val="CharAttribute3"/>
          <w:rFonts w:eastAsia="Batang"/>
          <w:noProof/>
          <w:szCs w:val="24"/>
        </w:rPr>
        <w:t>iptions, based on the e-prescription guidelines adopted by the eHealth Network</w:t>
      </w:r>
      <w:r>
        <w:rPr>
          <w:rStyle w:val="FootnoteReference"/>
          <w:noProof/>
          <w:szCs w:val="24"/>
        </w:rPr>
        <w:footnoteReference w:id="31"/>
      </w:r>
      <w:r>
        <w:rPr>
          <w:rStyle w:val="CharAttribute3"/>
          <w:rFonts w:eastAsia="Batang"/>
          <w:noProof/>
          <w:szCs w:val="24"/>
        </w:rPr>
        <w:t xml:space="preserve"> </w:t>
      </w:r>
      <w:r>
        <w:rPr>
          <w:rFonts w:ascii="Times New Roman" w:hAnsi="Times New Roman" w:cs="Times New Roman"/>
          <w:noProof/>
          <w:sz w:val="24"/>
          <w:szCs w:val="24"/>
        </w:rPr>
        <w:t>and telemedicine and tele-monitoring solutions, in particular for the successful provision of treatment by European Reference Networks</w:t>
      </w:r>
      <w:r>
        <w:rPr>
          <w:rStyle w:val="FootnoteReference"/>
          <w:noProof/>
          <w:szCs w:val="24"/>
        </w:rPr>
        <w:footnoteReference w:id="32"/>
      </w:r>
      <w:r>
        <w:rPr>
          <w:rFonts w:ascii="Times New Roman" w:hAnsi="Times New Roman" w:cs="Times New Roman"/>
          <w:noProof/>
          <w:sz w:val="24"/>
          <w:szCs w:val="24"/>
        </w:rPr>
        <w:t xml:space="preserve">. </w:t>
      </w:r>
      <w:r>
        <w:rPr>
          <w:rStyle w:val="CharAttribute3"/>
          <w:rFonts w:eastAsia="Batang"/>
          <w:noProof/>
          <w:szCs w:val="24"/>
        </w:rPr>
        <w:t>In addition, it will support the develo</w:t>
      </w:r>
      <w:r>
        <w:rPr>
          <w:rStyle w:val="CharAttribute3"/>
          <w:rFonts w:eastAsia="Batang"/>
          <w:noProof/>
          <w:szCs w:val="24"/>
        </w:rPr>
        <w:t xml:space="preserve">pment of a report and </w:t>
      </w:r>
      <w:r>
        <w:rPr>
          <w:rStyle w:val="CharAttribute3"/>
          <w:rFonts w:eastAsia="Calibri"/>
          <w:noProof/>
          <w:szCs w:val="24"/>
        </w:rPr>
        <w:t xml:space="preserve">guidelines </w:t>
      </w:r>
      <w:r>
        <w:rPr>
          <w:rStyle w:val="CharAttribute3"/>
          <w:rFonts w:eastAsia="Batang"/>
          <w:noProof/>
          <w:szCs w:val="24"/>
        </w:rPr>
        <w:t>by the eHealth Network on citizens' electronic access to their health data.</w:t>
      </w:r>
    </w:p>
    <w:tbl>
      <w:tblPr>
        <w:tblStyle w:val="TableGrid"/>
        <w:tblW w:w="9039" w:type="dxa"/>
        <w:tblLayout w:type="fixed"/>
        <w:tblLook w:val="04A0" w:firstRow="1" w:lastRow="0" w:firstColumn="1" w:lastColumn="0" w:noHBand="0" w:noVBand="1"/>
      </w:tblPr>
      <w:tblGrid>
        <w:gridCol w:w="7763"/>
        <w:gridCol w:w="1276"/>
      </w:tblGrid>
      <w:tr w:rsidR="00897C11">
        <w:tc>
          <w:tcPr>
            <w:tcW w:w="7763"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Actions</w:t>
            </w:r>
          </w:p>
          <w:p w:rsidR="00897C11" w:rsidRDefault="003A41E4">
            <w:pPr>
              <w:shd w:val="clear" w:color="auto" w:fill="EBEBEB" w:themeFill="background1"/>
              <w:rPr>
                <w:rFonts w:ascii="Times New Roman" w:hAnsi="Times New Roman" w:cs="Times New Roman"/>
                <w:b/>
                <w:i/>
                <w:noProof/>
                <w:sz w:val="24"/>
                <w:szCs w:val="24"/>
                <w:lang w:eastAsia="de-DE"/>
              </w:rPr>
            </w:pPr>
            <w:r>
              <w:rPr>
                <w:rStyle w:val="CharAttribute3"/>
                <w:rFonts w:eastAsia="Batang"/>
                <w:noProof/>
              </w:rPr>
              <w:t>The Commission will</w:t>
            </w:r>
          </w:p>
        </w:tc>
        <w:tc>
          <w:tcPr>
            <w:tcW w:w="1276"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Target date</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Fonts w:ascii="Times New Roman" w:eastAsia="Batang"/>
                <w:noProof/>
                <w:sz w:val="24"/>
                <w:szCs w:val="24"/>
              </w:rPr>
            </w:pPr>
            <w:r>
              <w:rPr>
                <w:rStyle w:val="CharAttribute3"/>
                <w:rFonts w:eastAsia="Batang"/>
                <w:noProof/>
              </w:rPr>
              <w:t>Complete the setup of the Electronic Exchange of Social Security Information.</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2019</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Style w:val="CharAttribute3"/>
                <w:rFonts w:eastAsia="Batang" w:hAnsiTheme="minorHAnsi" w:cstheme="minorBidi"/>
                <w:noProof/>
              </w:rPr>
            </w:pPr>
            <w:r>
              <w:rPr>
                <w:rStyle w:val="CharAttribute3"/>
                <w:rFonts w:eastAsia="Batang"/>
                <w:noProof/>
                <w:szCs w:val="24"/>
              </w:rPr>
              <w:t xml:space="preserve">Further develop the </w:t>
            </w:r>
            <w:r>
              <w:rPr>
                <w:rStyle w:val="CharAttribute3"/>
                <w:rFonts w:eastAsia="Batang"/>
                <w:noProof/>
                <w:szCs w:val="24"/>
              </w:rPr>
              <w:t>EURES European Job Mobility portal.</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2017</w:t>
            </w:r>
          </w:p>
        </w:tc>
      </w:tr>
      <w:tr w:rsidR="00897C11">
        <w:tc>
          <w:tcPr>
            <w:tcW w:w="7763" w:type="dxa"/>
          </w:tcPr>
          <w:p w:rsidR="00897C11" w:rsidRDefault="003A41E4">
            <w:pPr>
              <w:pStyle w:val="ListParagraph"/>
              <w:numPr>
                <w:ilvl w:val="0"/>
                <w:numId w:val="2"/>
              </w:numPr>
              <w:shd w:val="clear" w:color="auto" w:fill="EBEBEB" w:themeFill="background1"/>
              <w:spacing w:before="120" w:after="120"/>
              <w:rPr>
                <w:rStyle w:val="CharAttribute3"/>
                <w:rFonts w:eastAsia="Batang"/>
                <w:noProof/>
                <w:szCs w:val="24"/>
              </w:rPr>
            </w:pPr>
            <w:r>
              <w:rPr>
                <w:rStyle w:val="CharAttribute3"/>
                <w:rFonts w:eastAsia="Batang"/>
                <w:noProof/>
                <w:szCs w:val="24"/>
              </w:rPr>
              <w:t>Support Member States in the development of cross-border eHealth services.</w:t>
            </w:r>
          </w:p>
        </w:tc>
        <w:tc>
          <w:tcPr>
            <w:tcW w:w="1276" w:type="dxa"/>
          </w:tcPr>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2016-</w:t>
            </w:r>
          </w:p>
          <w:p w:rsidR="00897C11" w:rsidRDefault="003A41E4">
            <w:pPr>
              <w:shd w:val="clear" w:color="auto" w:fill="EBEBEB" w:themeFill="background1"/>
              <w:ind w:left="360"/>
              <w:rPr>
                <w:rFonts w:ascii="Times New Roman" w:hAnsi="Times New Roman"/>
                <w:noProof/>
                <w:sz w:val="24"/>
                <w:szCs w:val="24"/>
                <w:lang w:eastAsia="de-DE"/>
              </w:rPr>
            </w:pPr>
            <w:r>
              <w:rPr>
                <w:rFonts w:ascii="Times New Roman" w:hAnsi="Times New Roman"/>
                <w:noProof/>
                <w:sz w:val="24"/>
                <w:szCs w:val="24"/>
                <w:lang w:eastAsia="de-DE"/>
              </w:rPr>
              <w:t>2018</w:t>
            </w:r>
          </w:p>
        </w:tc>
      </w:tr>
    </w:tbl>
    <w:p w:rsidR="00897C11" w:rsidRDefault="003A41E4">
      <w:pPr>
        <w:spacing w:before="120"/>
        <w:rPr>
          <w:rFonts w:ascii="Times New Roman" w:hAnsi="Times New Roman" w:cs="Times New Roman"/>
          <w:noProof/>
          <w:sz w:val="24"/>
          <w:szCs w:val="24"/>
        </w:rPr>
      </w:pPr>
      <w:r>
        <w:rPr>
          <w:rFonts w:ascii="Times New Roman" w:hAnsi="Times New Roman" w:cs="Times New Roman"/>
          <w:noProof/>
          <w:sz w:val="24"/>
          <w:szCs w:val="24"/>
        </w:rPr>
        <w:t xml:space="preserve">Future initiatives proposed under this </w:t>
      </w:r>
      <w:r>
        <w:rPr>
          <w:rFonts w:ascii="Times New Roman" w:hAnsi="Times New Roman" w:cs="Times New Roman"/>
          <w:noProof/>
          <w:sz w:val="24"/>
          <w:szCs w:val="24"/>
          <w:lang w:eastAsia="de-DE"/>
        </w:rPr>
        <w:t xml:space="preserve">priority </w:t>
      </w:r>
      <w:r>
        <w:rPr>
          <w:rFonts w:ascii="Times New Roman" w:hAnsi="Times New Roman" w:cs="Times New Roman"/>
          <w:noProof/>
          <w:sz w:val="24"/>
          <w:szCs w:val="24"/>
        </w:rPr>
        <w:t xml:space="preserve">could aim at </w:t>
      </w:r>
      <w:r>
        <w:rPr>
          <w:rFonts w:ascii="Times New Roman" w:hAnsi="Times New Roman" w:cs="Times New Roman"/>
          <w:noProof/>
          <w:sz w:val="24"/>
          <w:szCs w:val="24"/>
          <w:lang w:eastAsia="de-DE"/>
        </w:rPr>
        <w:t xml:space="preserve">providing seamless cross-border services provided to citizens for their 'life events' (such as changing jobs, moving or getting married) and businesses, </w:t>
      </w:r>
      <w:r>
        <w:rPr>
          <w:rFonts w:ascii="Times New Roman" w:eastAsia="Calibri" w:hAnsi="Times New Roman" w:cs="Times New Roman"/>
          <w:noProof/>
          <w:sz w:val="24"/>
          <w:szCs w:val="24"/>
          <w:lang w:eastAsia="de-DE"/>
        </w:rPr>
        <w:t xml:space="preserve">making it easier for them </w:t>
      </w:r>
      <w:r>
        <w:rPr>
          <w:rFonts w:ascii="Times New Roman" w:hAnsi="Times New Roman" w:cs="Times New Roman"/>
          <w:noProof/>
          <w:sz w:val="24"/>
          <w:szCs w:val="24"/>
          <w:lang w:eastAsia="de-DE"/>
        </w:rPr>
        <w:t>to start doing business, expand and operate in other Member States. Additiona</w:t>
      </w:r>
      <w:r>
        <w:rPr>
          <w:rFonts w:ascii="Times New Roman" w:hAnsi="Times New Roman" w:cs="Times New Roman"/>
          <w:noProof/>
          <w:sz w:val="24"/>
          <w:szCs w:val="24"/>
          <w:lang w:eastAsia="de-DE"/>
        </w:rPr>
        <w:t>l initiatives under this priority could also aim at improving the quality of existing eGovernment services offered to citizens and businesses of other Member States.</w:t>
      </w:r>
      <w:r>
        <w:rPr>
          <w:rFonts w:ascii="Times New Roman" w:hAnsi="Times New Roman" w:cs="Times New Roman"/>
          <w:noProof/>
          <w:sz w:val="24"/>
          <w:szCs w:val="24"/>
        </w:rPr>
        <w:t xml:space="preserve"> </w:t>
      </w:r>
    </w:p>
    <w:p w:rsidR="00897C11" w:rsidRDefault="003A41E4">
      <w:pPr>
        <w:pStyle w:val="Heading2"/>
        <w:rPr>
          <w:noProof/>
        </w:rPr>
      </w:pPr>
      <w:r>
        <w:rPr>
          <w:noProof/>
        </w:rPr>
        <w:t xml:space="preserve">Facilitating digital interaction between administrations and citizens/businesses </w:t>
      </w:r>
      <w:r>
        <w:rPr>
          <w:noProof/>
          <w:szCs w:val="24"/>
        </w:rPr>
        <w:t>for high</w:t>
      </w:r>
      <w:r>
        <w:rPr>
          <w:noProof/>
          <w:szCs w:val="24"/>
        </w:rPr>
        <w:t>-quality public services</w:t>
      </w:r>
      <w:r>
        <w:rPr>
          <w:noProof/>
        </w:rPr>
        <w:t xml:space="preserve"> </w:t>
      </w:r>
    </w:p>
    <w:p w:rsidR="00897C11" w:rsidRDefault="003A41E4">
      <w:pPr>
        <w:rPr>
          <w:rFonts w:ascii="Times New Roman" w:hAnsi="Times New Roman" w:cs="Times New Roman"/>
          <w:noProof/>
          <w:sz w:val="24"/>
          <w:szCs w:val="24"/>
          <w:lang w:eastAsia="de-DE"/>
        </w:rPr>
      </w:pPr>
      <w:r>
        <w:rPr>
          <w:rFonts w:ascii="Times New Roman" w:hAnsi="Times New Roman" w:cs="Times New Roman"/>
          <w:bCs/>
          <w:noProof/>
          <w:sz w:val="24"/>
          <w:szCs w:val="24"/>
        </w:rPr>
        <w:t>The new digital environment offers opportunities to facilitate the interaction of citizens, business and non-governmental organisations with public administrations.</w:t>
      </w:r>
      <w:r>
        <w:rPr>
          <w:rFonts w:ascii="Times New Roman" w:hAnsi="Times New Roman" w:cs="Times New Roman"/>
          <w:noProof/>
          <w:sz w:val="24"/>
          <w:szCs w:val="24"/>
          <w:lang w:eastAsia="de-DE"/>
        </w:rPr>
        <w:t xml:space="preserve"> High quality public services are linked with competitiveness and </w:t>
      </w:r>
      <w:r>
        <w:rPr>
          <w:rFonts w:ascii="Times New Roman" w:hAnsi="Times New Roman" w:cs="Times New Roman"/>
          <w:noProof/>
          <w:sz w:val="24"/>
          <w:szCs w:val="24"/>
          <w:lang w:eastAsia="de-DE"/>
        </w:rPr>
        <w:t>have an influence on where investments are being made. Recent experiences show that there is a promising potential to deliver such high quality public services, by stepping up the involvement of businesses and citizens as well as researchers in their desig</w:t>
      </w:r>
      <w:r>
        <w:rPr>
          <w:rFonts w:ascii="Times New Roman" w:hAnsi="Times New Roman" w:cs="Times New Roman"/>
          <w:noProof/>
          <w:sz w:val="24"/>
          <w:szCs w:val="24"/>
          <w:lang w:eastAsia="de-DE"/>
        </w:rPr>
        <w:t xml:space="preserve">n and delivery, and by ensuring feedback for improvement where necessary. This leads to further reducing red tape, easing use, lowering delivery costs. </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Furthermore, by opening up public sector data and services and facilitating their re-use by third parti</w:t>
      </w:r>
      <w:r>
        <w:rPr>
          <w:rFonts w:ascii="Times New Roman" w:hAnsi="Times New Roman" w:cs="Times New Roman"/>
          <w:noProof/>
          <w:sz w:val="24"/>
          <w:szCs w:val="24"/>
          <w:lang w:eastAsia="de-DE"/>
        </w:rPr>
        <w:t>es in due respect of the '</w:t>
      </w:r>
      <w:r>
        <w:rPr>
          <w:rFonts w:ascii="Times New Roman" w:eastAsia="Calibri" w:hAnsi="Times New Roman" w:cs="Times New Roman"/>
          <w:noProof/>
          <w:sz w:val="24"/>
          <w:szCs w:val="24"/>
        </w:rPr>
        <w:t>Trustworthiness &amp; Security' principle</w:t>
      </w:r>
      <w:r>
        <w:rPr>
          <w:rFonts w:ascii="Times New Roman" w:hAnsi="Times New Roman" w:cs="Times New Roman"/>
          <w:noProof/>
          <w:sz w:val="24"/>
          <w:szCs w:val="24"/>
          <w:lang w:eastAsia="de-DE"/>
        </w:rPr>
        <w:t>, public administrations can foster new opportunities for knowledge, growth and jobs. When opening their data, public administrations become more transparent, increasing their accountability wh</w:t>
      </w:r>
      <w:r>
        <w:rPr>
          <w:rFonts w:ascii="Times New Roman" w:hAnsi="Times New Roman" w:cs="Times New Roman"/>
          <w:noProof/>
          <w:sz w:val="24"/>
          <w:szCs w:val="24"/>
          <w:lang w:eastAsia="de-DE"/>
        </w:rPr>
        <w:t>ile getting closer to their citizens.</w:t>
      </w:r>
    </w:p>
    <w:p w:rsidR="00897C11" w:rsidRDefault="003A41E4">
      <w:pPr>
        <w:rPr>
          <w:rFonts w:ascii="Times New Roman" w:hAnsi="Times New Roman" w:cs="Times New Roman"/>
          <w:noProof/>
          <w:sz w:val="24"/>
          <w:szCs w:val="24"/>
          <w:lang w:eastAsia="de-DE"/>
        </w:rPr>
      </w:pPr>
      <w:r>
        <w:rPr>
          <w:rFonts w:ascii="Times New Roman" w:eastAsia="Times New Roman" w:hAnsi="Times New Roman" w:cs="Times New Roman"/>
          <w:noProof/>
          <w:sz w:val="24"/>
          <w:szCs w:val="24"/>
          <w:lang w:eastAsia="en-GB"/>
        </w:rPr>
        <w:t>In view of these policy priorities, t</w:t>
      </w:r>
      <w:r>
        <w:rPr>
          <w:rFonts w:ascii="Times New Roman" w:hAnsi="Times New Roman"/>
          <w:noProof/>
          <w:sz w:val="24"/>
          <w:szCs w:val="24"/>
          <w:lang w:eastAsia="de-DE"/>
        </w:rPr>
        <w:t>he Commission will provide high quality, accessible online services to citizens and businesses in the EU by transforming websites managed by the Commission into a thematic, user-cen</w:t>
      </w:r>
      <w:r>
        <w:rPr>
          <w:rFonts w:ascii="Times New Roman" w:hAnsi="Times New Roman"/>
          <w:noProof/>
          <w:sz w:val="24"/>
          <w:szCs w:val="24"/>
          <w:lang w:eastAsia="de-DE"/>
        </w:rPr>
        <w:t xml:space="preserve">tred web presence. </w:t>
      </w:r>
      <w:r>
        <w:rPr>
          <w:rFonts w:ascii="Times New Roman" w:hAnsi="Times New Roman" w:cs="Times New Roman"/>
          <w:noProof/>
          <w:sz w:val="24"/>
          <w:szCs w:val="24"/>
          <w:lang w:eastAsia="de-DE"/>
        </w:rPr>
        <w:t xml:space="preserve">This will significantly change the way the Commission interacts with citizens online by providing a relevant, coherent and cost-effective web presence. This will increase transparency as well as enabling the engagement and participation </w:t>
      </w:r>
      <w:r>
        <w:rPr>
          <w:rFonts w:ascii="Times New Roman" w:hAnsi="Times New Roman" w:cs="Times New Roman"/>
          <w:noProof/>
          <w:sz w:val="24"/>
          <w:szCs w:val="24"/>
          <w:lang w:eastAsia="de-DE"/>
        </w:rPr>
        <w:t>of citizens and businesses in EU programmes and policy making.</w:t>
      </w:r>
    </w:p>
    <w:p w:rsidR="00897C11" w:rsidRDefault="003A41E4">
      <w:pPr>
        <w:rPr>
          <w:rStyle w:val="CharAttribute3"/>
          <w:rFonts w:eastAsia="Batang"/>
          <w:noProof/>
        </w:rPr>
      </w:pPr>
      <w:r>
        <w:rPr>
          <w:rFonts w:ascii="Times New Roman" w:hAnsi="Times New Roman"/>
          <w:noProof/>
          <w:sz w:val="24"/>
          <w:szCs w:val="24"/>
          <w:lang w:eastAsia="de-DE"/>
        </w:rPr>
        <w:t>In order to facilitate interaction of citizens</w:t>
      </w:r>
      <w:r>
        <w:rPr>
          <w:rFonts w:ascii="Times New Roman" w:hAnsi="Times New Roman" w:cs="Times New Roman"/>
          <w:noProof/>
          <w:sz w:val="24"/>
          <w:szCs w:val="24"/>
        </w:rPr>
        <w:t xml:space="preserve"> with public administration, </w:t>
      </w:r>
      <w:r>
        <w:rPr>
          <w:rStyle w:val="CharAttribute3"/>
          <w:rFonts w:eastAsia="Batang"/>
          <w:noProof/>
        </w:rPr>
        <w:t>the Commission will assess the possibility of applying the once-only principle for citizens in a cross-border context,</w:t>
      </w:r>
      <w:r>
        <w:rPr>
          <w:rStyle w:val="CharAttribute3"/>
          <w:rFonts w:eastAsia="Batang"/>
          <w:noProof/>
        </w:rPr>
        <w:t xml:space="preserve"> in due respect of the legal framework on personal data protection and privacy.</w:t>
      </w:r>
    </w:p>
    <w:p w:rsidR="00897C11" w:rsidRDefault="003A41E4">
      <w:pPr>
        <w:rPr>
          <w:rStyle w:val="CharAttribute3"/>
          <w:rFonts w:eastAsia="Batang"/>
          <w:noProof/>
        </w:rPr>
      </w:pPr>
      <w:r>
        <w:rPr>
          <w:rStyle w:val="CharAttribute3"/>
          <w:rFonts w:eastAsia="Batang"/>
          <w:noProof/>
        </w:rPr>
        <w:t>As part of the European Cloud Initiative</w:t>
      </w:r>
      <w:r>
        <w:rPr>
          <w:rStyle w:val="FootnoteReference"/>
          <w:rFonts w:ascii="Times New Roman" w:hAnsi="Times New Roman" w:cs="Times New Roman"/>
          <w:noProof/>
          <w:sz w:val="24"/>
          <w:szCs w:val="24"/>
          <w:lang w:eastAsia="de-DE"/>
        </w:rPr>
        <w:footnoteReference w:id="33"/>
      </w:r>
      <w:r>
        <w:rPr>
          <w:rStyle w:val="CharAttribute3"/>
          <w:rFonts w:eastAsia="Batang"/>
          <w:noProof/>
        </w:rPr>
        <w:t>, the Commission will create a platform for public authorities to open their data and services, creating a "Government as a Service (Ga</w:t>
      </w:r>
      <w:r>
        <w:rPr>
          <w:rStyle w:val="CharAttribute3"/>
          <w:rFonts w:eastAsia="Batang"/>
          <w:noProof/>
        </w:rPr>
        <w:t>aS)" base for the EU.</w:t>
      </w:r>
    </w:p>
    <w:p w:rsidR="00897C11" w:rsidRDefault="003A41E4">
      <w:pPr>
        <w:rPr>
          <w:rFonts w:ascii="Times New Roman" w:hAnsi="Times New Roman" w:cs="Times New Roman"/>
          <w:noProof/>
          <w:sz w:val="24"/>
          <w:szCs w:val="24"/>
        </w:rPr>
      </w:pPr>
      <w:r>
        <w:rPr>
          <w:rFonts w:ascii="Times New Roman" w:hAnsi="Times New Roman"/>
          <w:noProof/>
          <w:sz w:val="24"/>
          <w:szCs w:val="24"/>
          <w:lang w:eastAsia="de-DE"/>
        </w:rPr>
        <w:t xml:space="preserve">There is a growing demand from business and citizens to have access to high quality, interoperable and re-usable data to provide new services, in particular the area of spatial data. The use of spatial data for urban, land-use, </w:t>
      </w:r>
      <w:r>
        <w:rPr>
          <w:rFonts w:ascii="Times New Roman" w:hAnsi="Times New Roman"/>
          <w:noProof/>
          <w:sz w:val="24"/>
          <w:szCs w:val="24"/>
          <w:lang w:eastAsia="de-DE"/>
        </w:rPr>
        <w:t>traffic planning and for scientific purposes can unleash new innovations that respond to societal needs such as reducing the negative impact on the environment. In this regard, t</w:t>
      </w:r>
      <w:r>
        <w:rPr>
          <w:rFonts w:ascii="Times New Roman" w:hAnsi="Times New Roman"/>
          <w:noProof/>
          <w:sz w:val="24"/>
          <w:szCs w:val="24"/>
        </w:rPr>
        <w:t>he Commission will promote the development of end-user applications, including</w:t>
      </w:r>
      <w:r>
        <w:rPr>
          <w:rFonts w:ascii="Times New Roman" w:hAnsi="Times New Roman"/>
          <w:noProof/>
          <w:sz w:val="24"/>
          <w:szCs w:val="24"/>
        </w:rPr>
        <w:t xml:space="preserve"> specific EU-level applications, so as to harvest from citizens and business more efficiently the data provided through Spatial Data (INSPIRE) for EU-level policy making and implementation, in particular in relation to reporting and compliance promotion</w:t>
      </w:r>
      <w:r>
        <w:rPr>
          <w:rStyle w:val="FootnoteReference"/>
          <w:noProof/>
        </w:rPr>
        <w:footnoteReference w:id="34"/>
      </w:r>
      <w:r>
        <w:rPr>
          <w:rFonts w:ascii="Times New Roman" w:hAnsi="Times New Roman"/>
          <w:noProof/>
          <w:sz w:val="24"/>
          <w:szCs w:val="24"/>
          <w:lang w:eastAsia="de-DE"/>
        </w:rPr>
        <w:t xml:space="preserve">. </w:t>
      </w:r>
      <w:r>
        <w:rPr>
          <w:rFonts w:ascii="Times New Roman" w:hAnsi="Times New Roman"/>
          <w:noProof/>
          <w:sz w:val="24"/>
          <w:szCs w:val="24"/>
          <w:lang w:eastAsia="de-DE"/>
        </w:rPr>
        <w:t>This will improve the evidence based policy making and support eGovernment processes where high quality spatial data (e.g. cadastres, maps, addresses, buildings, parks, protected sites, natural risk zones, etc.) is needed.</w:t>
      </w:r>
    </w:p>
    <w:tbl>
      <w:tblPr>
        <w:tblStyle w:val="TableGrid"/>
        <w:tblW w:w="9039" w:type="dxa"/>
        <w:tblLayout w:type="fixed"/>
        <w:tblLook w:val="04A0" w:firstRow="1" w:lastRow="0" w:firstColumn="1" w:lastColumn="0" w:noHBand="0" w:noVBand="1"/>
      </w:tblPr>
      <w:tblGrid>
        <w:gridCol w:w="7479"/>
        <w:gridCol w:w="1560"/>
      </w:tblGrid>
      <w:tr w:rsidR="00897C11">
        <w:tc>
          <w:tcPr>
            <w:tcW w:w="7479"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Actions</w:t>
            </w:r>
          </w:p>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noProof/>
                <w:sz w:val="24"/>
                <w:szCs w:val="24"/>
                <w:lang w:eastAsia="de-DE"/>
              </w:rPr>
              <w:t>The Commission will</w:t>
            </w:r>
          </w:p>
        </w:tc>
        <w:tc>
          <w:tcPr>
            <w:tcW w:w="1560" w:type="dxa"/>
          </w:tcPr>
          <w:p w:rsidR="00897C11" w:rsidRDefault="003A41E4">
            <w:pPr>
              <w:shd w:val="clear" w:color="auto" w:fill="EBEBEB" w:themeFill="background1"/>
              <w:rPr>
                <w:rFonts w:ascii="Times New Roman" w:hAnsi="Times New Roman" w:cs="Times New Roman"/>
                <w:b/>
                <w:i/>
                <w:noProof/>
                <w:sz w:val="24"/>
                <w:szCs w:val="24"/>
                <w:lang w:eastAsia="de-DE"/>
              </w:rPr>
            </w:pPr>
            <w:r>
              <w:rPr>
                <w:rFonts w:ascii="Times New Roman" w:hAnsi="Times New Roman" w:cs="Times New Roman"/>
                <w:b/>
                <w:i/>
                <w:noProof/>
                <w:sz w:val="24"/>
                <w:szCs w:val="24"/>
                <w:lang w:eastAsia="de-DE"/>
              </w:rPr>
              <w:t>Target date</w:t>
            </w:r>
          </w:p>
        </w:tc>
      </w:tr>
      <w:tr w:rsidR="00897C11">
        <w:tc>
          <w:tcPr>
            <w:tcW w:w="7479" w:type="dxa"/>
          </w:tcPr>
          <w:p w:rsidR="00897C11" w:rsidRDefault="003A41E4">
            <w:pPr>
              <w:pStyle w:val="ListParagraph"/>
              <w:numPr>
                <w:ilvl w:val="0"/>
                <w:numId w:val="2"/>
              </w:numPr>
              <w:shd w:val="clear" w:color="auto" w:fill="EBEBEB" w:themeFill="background1"/>
              <w:spacing w:before="120" w:after="120"/>
              <w:rPr>
                <w:rFonts w:ascii="Times New Roman" w:hAnsi="Times New Roman"/>
                <w:noProof/>
                <w:sz w:val="24"/>
                <w:szCs w:val="24"/>
                <w:lang w:eastAsia="de-DE"/>
              </w:rPr>
            </w:pPr>
            <w:r>
              <w:rPr>
                <w:rStyle w:val="CharAttribute3"/>
                <w:rFonts w:eastAsia="Batang"/>
                <w:noProof/>
              </w:rPr>
              <w:t>Assess the possibility of applying the once-only principle for citizens in a cross-border context.</w:t>
            </w:r>
          </w:p>
        </w:tc>
        <w:tc>
          <w:tcPr>
            <w:tcW w:w="1560" w:type="dxa"/>
          </w:tcPr>
          <w:p w:rsidR="00897C11" w:rsidRDefault="003A41E4">
            <w:pPr>
              <w:shd w:val="clear" w:color="auto" w:fill="EBEBEB" w:themeFill="background1"/>
              <w:ind w:left="360"/>
              <w:jc w:val="center"/>
              <w:rPr>
                <w:rFonts w:ascii="Times New Roman" w:hAnsi="Times New Roman"/>
                <w:noProof/>
                <w:sz w:val="24"/>
                <w:szCs w:val="24"/>
                <w:lang w:eastAsia="de-DE"/>
              </w:rPr>
            </w:pPr>
            <w:r>
              <w:rPr>
                <w:rFonts w:ascii="Times New Roman" w:hAnsi="Times New Roman"/>
                <w:noProof/>
                <w:sz w:val="24"/>
                <w:szCs w:val="24"/>
                <w:lang w:eastAsia="de-DE"/>
              </w:rPr>
              <w:t>2019</w:t>
            </w:r>
          </w:p>
        </w:tc>
      </w:tr>
      <w:tr w:rsidR="00897C11">
        <w:tc>
          <w:tcPr>
            <w:tcW w:w="7479" w:type="dxa"/>
          </w:tcPr>
          <w:p w:rsidR="00897C11" w:rsidRDefault="003A41E4">
            <w:pPr>
              <w:pStyle w:val="ListParagraph"/>
              <w:numPr>
                <w:ilvl w:val="0"/>
                <w:numId w:val="2"/>
              </w:numPr>
              <w:shd w:val="clear" w:color="auto" w:fill="EBEBEB" w:themeFill="background1"/>
              <w:spacing w:before="120" w:after="120"/>
              <w:rPr>
                <w:rStyle w:val="CharAttribute3"/>
                <w:rFonts w:eastAsia="Batang" w:hAnsi="Times New Roman"/>
                <w:noProof/>
              </w:rPr>
            </w:pPr>
            <w:r>
              <w:rPr>
                <w:rFonts w:ascii="Times New Roman" w:hAnsi="Times New Roman"/>
                <w:noProof/>
                <w:sz w:val="24"/>
                <w:szCs w:val="24"/>
              </w:rPr>
              <w:t>Accelerate the deployment and take-up of the INSPIRE Directive data infrastructure.</w:t>
            </w:r>
          </w:p>
        </w:tc>
        <w:tc>
          <w:tcPr>
            <w:tcW w:w="1560" w:type="dxa"/>
          </w:tcPr>
          <w:p w:rsidR="00897C11" w:rsidRDefault="003A41E4">
            <w:pPr>
              <w:shd w:val="clear" w:color="auto" w:fill="EBEBEB" w:themeFill="background1"/>
              <w:ind w:left="360"/>
              <w:jc w:val="cente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2016-2020</w:t>
            </w:r>
          </w:p>
        </w:tc>
      </w:tr>
      <w:tr w:rsidR="00897C11">
        <w:tc>
          <w:tcPr>
            <w:tcW w:w="7479" w:type="dxa"/>
          </w:tcPr>
          <w:p w:rsidR="00897C11" w:rsidRDefault="003A41E4">
            <w:pPr>
              <w:pStyle w:val="ListParagraph"/>
              <w:numPr>
                <w:ilvl w:val="0"/>
                <w:numId w:val="2"/>
              </w:numPr>
              <w:shd w:val="clear" w:color="auto" w:fill="EBEBEB" w:themeFill="background1"/>
              <w:spacing w:before="120" w:after="120"/>
              <w:rPr>
                <w:rFonts w:ascii="Times New Roman" w:hAnsi="Times New Roman"/>
                <w:noProof/>
                <w:sz w:val="24"/>
                <w:szCs w:val="24"/>
                <w:lang w:eastAsia="de-DE"/>
              </w:rPr>
            </w:pPr>
            <w:r>
              <w:rPr>
                <w:rFonts w:ascii="Times New Roman" w:hAnsi="Times New Roman"/>
                <w:noProof/>
                <w:sz w:val="24"/>
                <w:szCs w:val="24"/>
                <w:lang w:eastAsia="de-DE"/>
              </w:rPr>
              <w:t>Transform its websites to support increasin</w:t>
            </w:r>
            <w:r>
              <w:rPr>
                <w:rFonts w:ascii="Times New Roman" w:hAnsi="Times New Roman"/>
                <w:noProof/>
                <w:sz w:val="24"/>
                <w:szCs w:val="24"/>
                <w:lang w:eastAsia="de-DE"/>
              </w:rPr>
              <w:t xml:space="preserve">g </w:t>
            </w:r>
            <w:r>
              <w:rPr>
                <w:rStyle w:val="CharAttribute3"/>
                <w:rFonts w:eastAsia="Batang"/>
                <w:noProof/>
              </w:rPr>
              <w:t>engagement</w:t>
            </w:r>
            <w:r>
              <w:rPr>
                <w:rFonts w:ascii="Times New Roman" w:hAnsi="Times New Roman"/>
                <w:noProof/>
                <w:sz w:val="24"/>
                <w:szCs w:val="24"/>
                <w:lang w:eastAsia="de-DE"/>
              </w:rPr>
              <w:t xml:space="preserve"> and participation of citizens and businesses in EU programmes and policy making.</w:t>
            </w:r>
          </w:p>
        </w:tc>
        <w:tc>
          <w:tcPr>
            <w:tcW w:w="1560" w:type="dxa"/>
          </w:tcPr>
          <w:p w:rsidR="00897C11" w:rsidRDefault="003A41E4">
            <w:pPr>
              <w:shd w:val="clear" w:color="auto" w:fill="EBEBEB" w:themeFill="background1"/>
              <w:ind w:left="360"/>
              <w:jc w:val="center"/>
              <w:rPr>
                <w:rFonts w:ascii="Times New Roman" w:hAnsi="Times New Roman"/>
                <w:noProof/>
                <w:sz w:val="24"/>
                <w:szCs w:val="24"/>
                <w:lang w:eastAsia="de-DE"/>
              </w:rPr>
            </w:pPr>
            <w:r>
              <w:rPr>
                <w:rFonts w:ascii="Times New Roman" w:hAnsi="Times New Roman"/>
                <w:noProof/>
                <w:sz w:val="24"/>
                <w:szCs w:val="24"/>
                <w:lang w:eastAsia="de-DE"/>
              </w:rPr>
              <w:t>2018</w:t>
            </w:r>
          </w:p>
        </w:tc>
      </w:tr>
    </w:tbl>
    <w:p w:rsidR="00897C11" w:rsidRDefault="003A41E4">
      <w:pPr>
        <w:spacing w:before="120"/>
        <w:rPr>
          <w:rFonts w:ascii="Times New Roman" w:hAnsi="Times New Roman"/>
          <w:noProof/>
          <w:sz w:val="24"/>
          <w:szCs w:val="24"/>
        </w:rPr>
      </w:pPr>
      <w:r>
        <w:rPr>
          <w:rFonts w:ascii="Times New Roman" w:hAnsi="Times New Roman"/>
          <w:noProof/>
          <w:sz w:val="24"/>
          <w:szCs w:val="24"/>
        </w:rPr>
        <w:t xml:space="preserve">Future initiatives that could be proposed under this priority should contribute to engaging citizens, businesses and civil society in the collaborative design, production and delivery of public </w:t>
      </w:r>
      <w:r>
        <w:rPr>
          <w:rFonts w:ascii="Times New Roman" w:hAnsi="Times New Roman" w:cs="Times New Roman"/>
          <w:noProof/>
          <w:sz w:val="24"/>
          <w:szCs w:val="24"/>
        </w:rPr>
        <w:t>services and to</w:t>
      </w:r>
      <w:r>
        <w:rPr>
          <w:rFonts w:ascii="Times New Roman" w:hAnsi="Times New Roman"/>
          <w:noProof/>
          <w:sz w:val="24"/>
          <w:szCs w:val="24"/>
        </w:rPr>
        <w:t xml:space="preserve"> </w:t>
      </w:r>
      <w:r>
        <w:rPr>
          <w:rFonts w:ascii="Times New Roman" w:hAnsi="Times New Roman" w:cs="Times New Roman"/>
          <w:noProof/>
          <w:sz w:val="24"/>
          <w:szCs w:val="24"/>
        </w:rPr>
        <w:t>facilitate interaction between public administ</w:t>
      </w:r>
      <w:r>
        <w:rPr>
          <w:rFonts w:ascii="Times New Roman" w:hAnsi="Times New Roman" w:cs="Times New Roman"/>
          <w:noProof/>
          <w:sz w:val="24"/>
          <w:szCs w:val="24"/>
        </w:rPr>
        <w:t>rations and businesses and citizens</w:t>
      </w:r>
      <w:r>
        <w:rPr>
          <w:rFonts w:ascii="Times New Roman" w:hAnsi="Times New Roman"/>
          <w:noProof/>
          <w:sz w:val="24"/>
          <w:szCs w:val="24"/>
        </w:rPr>
        <w:t>. Other new initiatives could include the harvesting of data from any source and the re-use of public sector data and services for the creation of new, innovative services by other actors (whether public or private). In a</w:t>
      </w:r>
      <w:r>
        <w:rPr>
          <w:rFonts w:ascii="Times New Roman" w:hAnsi="Times New Roman"/>
          <w:noProof/>
          <w:sz w:val="24"/>
          <w:szCs w:val="24"/>
        </w:rPr>
        <w:t>ddition, initiatives may focus on increasing the transparency of public administrations, as engagement with and participation of stakeholders is also expected to increase accountability and trust and reduce opportunities for corruption.</w:t>
      </w:r>
    </w:p>
    <w:bookmarkEnd w:id="1"/>
    <w:p w:rsidR="00897C11" w:rsidRDefault="003A41E4">
      <w:pPr>
        <w:pStyle w:val="Heading1"/>
        <w:rPr>
          <w:noProof/>
          <w:szCs w:val="24"/>
        </w:rPr>
      </w:pPr>
      <w:r>
        <w:rPr>
          <w:noProof/>
          <w:szCs w:val="24"/>
        </w:rPr>
        <w:t>Delivering the Acti</w:t>
      </w:r>
      <w:r>
        <w:rPr>
          <w:noProof/>
          <w:szCs w:val="24"/>
        </w:rPr>
        <w:t>on Plan</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This Action Plan includes actions to be launched in 2016 and 2017. Further actions may be needed to achieve the objectives set out within each of the above policy priorities, and in order to adapt to the rapidly changing technological environment. </w:t>
      </w:r>
    </w:p>
    <w:p w:rsidR="00897C11" w:rsidRDefault="003A41E4">
      <w:pPr>
        <w:rPr>
          <w:rFonts w:ascii="Times New Roman" w:hAnsi="Times New Roman" w:cs="Times New Roman"/>
          <w:noProof/>
          <w:sz w:val="24"/>
          <w:szCs w:val="24"/>
          <w:lang w:eastAsia="de-DE"/>
        </w:rPr>
      </w:pPr>
      <w:r>
        <w:rPr>
          <w:rFonts w:ascii="Times New Roman" w:hAnsi="Times New Roman" w:cs="Times New Roman"/>
          <w:noProof/>
          <w:sz w:val="24"/>
          <w:szCs w:val="24"/>
          <w:lang w:eastAsia="de-DE"/>
        </w:rPr>
        <w:t>New actions may be proposed by the Commission in order to implement EU legislation or to initiate joint action</w:t>
      </w:r>
      <w:r>
        <w:rPr>
          <w:rFonts w:ascii="Times New Roman" w:hAnsi="Times New Roman" w:cs="Times New Roman"/>
          <w:noProof/>
          <w:sz w:val="24"/>
          <w:szCs w:val="24"/>
        </w:rPr>
        <w:t xml:space="preserve">. Stakeholders (including a group of Member States) </w:t>
      </w:r>
      <w:r>
        <w:rPr>
          <w:rFonts w:ascii="Times New Roman" w:hAnsi="Times New Roman" w:cs="Times New Roman"/>
          <w:noProof/>
          <w:sz w:val="24"/>
          <w:szCs w:val="24"/>
          <w:lang w:eastAsia="de-DE"/>
        </w:rPr>
        <w:t xml:space="preserve">may also propose actions for implementation under the eGovernment Action Plan, in particular for different life events through an interactive digital engagement platform. </w:t>
      </w:r>
    </w:p>
    <w:p w:rsidR="00897C11" w:rsidRDefault="003A41E4">
      <w:pPr>
        <w:rPr>
          <w:rFonts w:ascii="Times New Roman" w:hAnsi="Times New Roman" w:cs="Times New Roman"/>
          <w:noProof/>
          <w:sz w:val="24"/>
          <w:szCs w:val="24"/>
        </w:rPr>
      </w:pPr>
      <w:r>
        <w:rPr>
          <w:rFonts w:ascii="Times New Roman" w:hAnsi="Times New Roman" w:cs="Times New Roman"/>
          <w:noProof/>
          <w:sz w:val="24"/>
          <w:szCs w:val="24"/>
        </w:rPr>
        <w:t>The Commission will also set up and chair an "eGovernment Action Plan Steering Board</w:t>
      </w:r>
      <w:r>
        <w:rPr>
          <w:rFonts w:ascii="Times New Roman" w:hAnsi="Times New Roman" w:cs="Times New Roman"/>
          <w:noProof/>
          <w:sz w:val="24"/>
          <w:szCs w:val="24"/>
        </w:rPr>
        <w:t>" composed of Member States' representatives responsible for their national eGovernment strategies. The Steering board will be in charge of governing the Action Plan (but not the individual actions in the Action Plan), in particular to assess and select ne</w:t>
      </w:r>
      <w:r>
        <w:rPr>
          <w:rFonts w:ascii="Times New Roman" w:hAnsi="Times New Roman" w:cs="Times New Roman"/>
          <w:noProof/>
          <w:sz w:val="24"/>
          <w:szCs w:val="24"/>
        </w:rPr>
        <w:t>wly identified actions during the entire duration of the Action Plan and to coordinate the effective implementation and monitoring of the Action Plan measures. If a proposed action results in a Commission initiative, it will be subject to its Better Regula</w:t>
      </w:r>
      <w:r>
        <w:rPr>
          <w:rFonts w:ascii="Times New Roman" w:hAnsi="Times New Roman" w:cs="Times New Roman"/>
          <w:noProof/>
          <w:sz w:val="24"/>
          <w:szCs w:val="24"/>
        </w:rPr>
        <w:t>tion requirements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w:t>
      </w:r>
    </w:p>
    <w:p w:rsidR="00897C11" w:rsidRDefault="003A41E4">
      <w:pPr>
        <w:rPr>
          <w:rFonts w:ascii="Times New Roman" w:hAnsi="Times New Roman" w:cs="Times New Roman"/>
          <w:noProof/>
          <w:sz w:val="24"/>
          <w:szCs w:val="24"/>
        </w:rPr>
      </w:pPr>
      <w:r>
        <w:rPr>
          <w:rFonts w:ascii="Times New Roman" w:hAnsi="Times New Roman" w:cs="Times New Roman"/>
          <w:noProof/>
          <w:sz w:val="24"/>
          <w:szCs w:val="24"/>
        </w:rPr>
        <w:t>Delivering on the measures proposed in this eGovernment Action Plan will be possible only through a joint commitment and joint ownership between the Commission and the Member States, at all levels of administration.</w:t>
      </w:r>
    </w:p>
    <w:p w:rsidR="00897C11" w:rsidRDefault="00897C11">
      <w:pPr>
        <w:rPr>
          <w:rFonts w:ascii="Times New Roman" w:hAnsi="Times New Roman" w:cs="Times New Roman"/>
          <w:noProof/>
          <w:sz w:val="24"/>
          <w:szCs w:val="24"/>
        </w:rPr>
      </w:pPr>
      <w:bookmarkStart w:id="5" w:name="_GoBack"/>
      <w:bookmarkEnd w:id="5"/>
    </w:p>
    <w:sectPr w:rsidR="00897C1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11" w:rsidRDefault="003A41E4">
      <w:pPr>
        <w:spacing w:after="0" w:line="240" w:lineRule="auto"/>
      </w:pPr>
      <w:r>
        <w:separator/>
      </w:r>
    </w:p>
  </w:endnote>
  <w:endnote w:type="continuationSeparator" w:id="0">
    <w:p w:rsidR="00897C11" w:rsidRDefault="003A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3A41E4">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17180693"/>
      <w:docPartObj>
        <w:docPartGallery w:val="Page Numbers (Bottom of Page)"/>
        <w:docPartUnique/>
      </w:docPartObj>
    </w:sdtPr>
    <w:sdtEndPr>
      <w:rPr>
        <w:noProof/>
      </w:rPr>
    </w:sdtEndPr>
    <w:sdtContent>
      <w:p w:rsidR="00897C11" w:rsidRDefault="003A41E4">
        <w:pPr>
          <w:pStyle w:val="Footer"/>
          <w:jc w:val="center"/>
          <w:rPr>
            <w:sz w:val="20"/>
            <w:szCs w:val="20"/>
          </w:rPr>
        </w:pPr>
        <w:r>
          <w:rPr>
            <w:sz w:val="20"/>
            <w:szCs w:val="20"/>
          </w:rPr>
          <w:fldChar w:fldCharType="begin"/>
        </w:r>
        <w:r>
          <w:rPr>
            <w:sz w:val="20"/>
            <w:szCs w:val="20"/>
          </w:rPr>
          <w:instrText xml:space="preserve"> PAGE   \* MERGE</w:instrText>
        </w:r>
        <w:r>
          <w:rPr>
            <w:sz w:val="20"/>
            <w:szCs w:val="20"/>
          </w:rPr>
          <w:instrText xml:space="preserve">FORMAT </w:instrText>
        </w:r>
        <w:r>
          <w:rPr>
            <w:sz w:val="20"/>
            <w:szCs w:val="20"/>
          </w:rPr>
          <w:fldChar w:fldCharType="separate"/>
        </w:r>
        <w:r>
          <w:rPr>
            <w:noProof/>
            <w:sz w:val="20"/>
            <w:szCs w:val="20"/>
          </w:rPr>
          <w:t>12</w:t>
        </w:r>
        <w:r>
          <w:rPr>
            <w:noProof/>
            <w:sz w:val="20"/>
            <w:szCs w:val="20"/>
          </w:rPr>
          <w:fldChar w:fldCharType="end"/>
        </w:r>
      </w:p>
    </w:sdtContent>
  </w:sdt>
  <w:p w:rsidR="00897C11" w:rsidRDefault="00897C11">
    <w:pPr>
      <w:pStyle w:val="Foo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11" w:rsidRDefault="003A41E4">
      <w:pPr>
        <w:spacing w:after="0" w:line="240" w:lineRule="auto"/>
      </w:pPr>
      <w:r>
        <w:separator/>
      </w:r>
    </w:p>
  </w:footnote>
  <w:footnote w:type="continuationSeparator" w:id="0">
    <w:p w:rsidR="00897C11" w:rsidRDefault="003A41E4">
      <w:pPr>
        <w:spacing w:after="0" w:line="240" w:lineRule="auto"/>
      </w:pPr>
      <w:r>
        <w:continuationSeparator/>
      </w:r>
    </w:p>
  </w:footnote>
  <w:footnote w:id="1">
    <w:p w:rsidR="00897C11" w:rsidRDefault="003A41E4">
      <w:pPr>
        <w:pStyle w:val="FootnoteText"/>
        <w:rPr>
          <w:lang w:val="en-GB"/>
        </w:rPr>
      </w:pPr>
      <w:r>
        <w:rPr>
          <w:rStyle w:val="FootnoteReference"/>
        </w:rPr>
        <w:footnoteRef/>
      </w:r>
      <w:r>
        <w:rPr>
          <w:lang w:val="en-GB"/>
        </w:rPr>
        <w:t xml:space="preserve"> </w:t>
      </w:r>
      <w:r>
        <w:rPr>
          <w:lang w:val="en-GB"/>
        </w:rPr>
        <w:tab/>
        <w:t>Recommendation of the Council on Digital Government Strategies, OECD, 2014</w:t>
      </w:r>
    </w:p>
  </w:footnote>
  <w:footnote w:id="2">
    <w:p w:rsidR="00897C11" w:rsidRDefault="003A41E4">
      <w:pPr>
        <w:pStyle w:val="FootnoteText"/>
        <w:rPr>
          <w:lang w:val="en-GB"/>
        </w:rPr>
      </w:pPr>
      <w:r>
        <w:rPr>
          <w:rStyle w:val="FootnoteReference"/>
        </w:rPr>
        <w:footnoteRef/>
      </w:r>
      <w:r>
        <w:rPr>
          <w:lang w:val="en-GB"/>
        </w:rPr>
        <w:t xml:space="preserve"> </w:t>
      </w:r>
      <w:r>
        <w:rPr>
          <w:lang w:val="en-GB"/>
        </w:rPr>
        <w:tab/>
        <w:t>i2010 eGovernment Action Plan 2006-2010 and eGovernment Action Plan 2011-2015</w:t>
      </w:r>
    </w:p>
  </w:footnote>
  <w:footnote w:id="3">
    <w:p w:rsidR="00897C11" w:rsidRDefault="003A41E4">
      <w:pPr>
        <w:pStyle w:val="FootnoteText"/>
        <w:rPr>
          <w:rStyle w:val="FootnoteReference"/>
          <w:vertAlign w:val="baseline"/>
        </w:rPr>
      </w:pPr>
      <w:r>
        <w:rPr>
          <w:rStyle w:val="FootnoteReference"/>
        </w:rPr>
        <w:footnoteRef/>
      </w:r>
      <w:r>
        <w:rPr>
          <w:rStyle w:val="FootnoteReference"/>
          <w:vertAlign w:val="baseline"/>
        </w:rPr>
        <w:t xml:space="preserve"> </w:t>
      </w:r>
      <w:r>
        <w:tab/>
      </w:r>
      <w:hyperlink r:id="rId1" w:history="1">
        <w:r>
          <w:rPr>
            <w:rStyle w:val="FootnoteReference"/>
            <w:vertAlign w:val="baseline"/>
          </w:rPr>
          <w:t>https://ec.europa.eu/digital-agenda/en/news/mid-term-evaluation-e-government-action-plan-2011-2015-implementat</w:t>
        </w:r>
        <w:r>
          <w:rPr>
            <w:rStyle w:val="FootnoteReference"/>
            <w:vertAlign w:val="baseline"/>
          </w:rPr>
          <w:t>ion-smart-2012-006020</w:t>
        </w:r>
      </w:hyperlink>
    </w:p>
  </w:footnote>
  <w:footnote w:id="4">
    <w:p w:rsidR="00897C11" w:rsidRDefault="003A41E4">
      <w:pPr>
        <w:pStyle w:val="FootnoteText"/>
        <w:rPr>
          <w:rStyle w:val="FootnoteReference"/>
          <w:vertAlign w:val="baseline"/>
          <w:lang w:val="en-GB"/>
        </w:rPr>
      </w:pPr>
      <w:r>
        <w:rPr>
          <w:rStyle w:val="FootnoteReference"/>
        </w:rPr>
        <w:footnoteRef/>
      </w:r>
      <w:r>
        <w:rPr>
          <w:rStyle w:val="FootnoteReference"/>
          <w:lang w:val="en-GB"/>
        </w:rPr>
        <w:t xml:space="preserve"> </w:t>
      </w:r>
      <w:r>
        <w:rPr>
          <w:lang w:val="en-GB"/>
        </w:rPr>
        <w:tab/>
        <w:t>Staff Working Document for Evaluation accompanying the EU eGovernment Action Plan 2016-2020 Communication</w:t>
      </w:r>
    </w:p>
  </w:footnote>
  <w:footnote w:id="5">
    <w:p w:rsidR="00897C11" w:rsidRDefault="003A41E4">
      <w:pPr>
        <w:pStyle w:val="FootnoteText"/>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COM(2010) 743 final</w:t>
      </w:r>
    </w:p>
  </w:footnote>
  <w:footnote w:id="6">
    <w:p w:rsidR="00897C11" w:rsidRDefault="003A41E4">
      <w:pPr>
        <w:pStyle w:val="FootnoteText"/>
        <w:rPr>
          <w:lang w:val="en-GB"/>
        </w:rPr>
      </w:pPr>
      <w:r>
        <w:rPr>
          <w:rStyle w:val="FootnoteReference"/>
        </w:rPr>
        <w:footnoteRef/>
      </w:r>
      <w:r>
        <w:rPr>
          <w:lang w:val="en-GB"/>
        </w:rPr>
        <w:t xml:space="preserve">  </w:t>
      </w:r>
      <w:r>
        <w:rPr>
          <w:lang w:val="en-GB"/>
        </w:rPr>
        <w:tab/>
        <w:t>I</w:t>
      </w:r>
      <w:r>
        <w:rPr>
          <w:rFonts w:cs="Times New Roman"/>
          <w:lang w:val="en-GB"/>
        </w:rPr>
        <w:t>n line with the Investment Plan for Europe, http://ec.europa.eu/priorities/jobs-growth-and-invest</w:t>
      </w:r>
      <w:r>
        <w:rPr>
          <w:rFonts w:cs="Times New Roman"/>
          <w:lang w:val="en-GB"/>
        </w:rPr>
        <w:t>ment_en</w:t>
      </w:r>
    </w:p>
  </w:footnote>
  <w:footnote w:id="7">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COM(2015) 192 final</w:t>
      </w:r>
    </w:p>
  </w:footnote>
  <w:footnote w:id="8">
    <w:p w:rsidR="00897C11" w:rsidRDefault="003A41E4">
      <w:pPr>
        <w:pStyle w:val="FootnoteText"/>
        <w:rPr>
          <w:rStyle w:val="FootnoteReference"/>
          <w:vertAlign w:val="baseline"/>
        </w:rPr>
      </w:pPr>
      <w:r>
        <w:rPr>
          <w:rStyle w:val="FootnoteReference"/>
        </w:rPr>
        <w:footnoteRef/>
      </w:r>
      <w:r>
        <w:rPr>
          <w:rStyle w:val="FootnoteReference"/>
          <w:vertAlign w:val="baseline"/>
        </w:rPr>
        <w:t xml:space="preserve"> </w:t>
      </w:r>
      <w:r>
        <w:tab/>
      </w:r>
      <w:hyperlink r:id="rId2" w:history="1">
        <w:r>
          <w:rPr>
            <w:rStyle w:val="FootnoteReference"/>
            <w:vertAlign w:val="baseline"/>
          </w:rPr>
          <w:t>https://ec.europa.eu/digital-agenda/en/news/mid-term-evaluation-e-governme</w:t>
        </w:r>
        <w:r>
          <w:rPr>
            <w:rStyle w:val="FootnoteReference"/>
            <w:vertAlign w:val="baseline"/>
          </w:rPr>
          <w:t>nt-action-plan-2011-2015-implementation-smart-2012-006020</w:t>
        </w:r>
      </w:hyperlink>
    </w:p>
  </w:footnote>
  <w:footnote w:id="9">
    <w:p w:rsidR="00897C11" w:rsidRDefault="003A41E4">
      <w:pPr>
        <w:pStyle w:val="FootnoteText"/>
        <w:rPr>
          <w:lang w:val="en-GB"/>
        </w:rPr>
      </w:pPr>
      <w:r>
        <w:rPr>
          <w:rStyle w:val="FootnoteReference"/>
        </w:rPr>
        <w:footnoteRef/>
      </w:r>
      <w:r>
        <w:rPr>
          <w:rStyle w:val="FootnoteReference"/>
          <w:vertAlign w:val="baseline"/>
          <w:lang w:val="en-GB"/>
        </w:rPr>
        <w:t xml:space="preserve"> </w:t>
      </w:r>
      <w:r>
        <w:rPr>
          <w:lang w:val="en-GB"/>
        </w:rPr>
        <w:tab/>
      </w:r>
      <w:r>
        <w:rPr>
          <w:rStyle w:val="FootnoteReference"/>
          <w:vertAlign w:val="baseline"/>
          <w:lang w:val="en-GB"/>
        </w:rPr>
        <w:t>Including Connecting Europe Facility (CEF), ISA² programme (Interoperability solutions for European Public Administrations)</w:t>
      </w:r>
      <w:r>
        <w:rPr>
          <w:lang w:val="en-GB"/>
        </w:rPr>
        <w:t>,</w:t>
      </w:r>
      <w:r>
        <w:rPr>
          <w:rStyle w:val="FootnoteReference"/>
          <w:vertAlign w:val="baseline"/>
          <w:lang w:val="en-GB"/>
        </w:rPr>
        <w:t xml:space="preserve"> Horizon</w:t>
      </w:r>
      <w:r>
        <w:rPr>
          <w:lang w:val="en-GB"/>
        </w:rPr>
        <w:t xml:space="preserve"> 2020, European Structural and Investment Funds (ESIF), the Jus</w:t>
      </w:r>
      <w:r>
        <w:rPr>
          <w:lang w:val="en-GB"/>
        </w:rPr>
        <w:t>tice Programme and the Structural Reform Support Programme (SRSP).</w:t>
      </w:r>
    </w:p>
  </w:footnote>
  <w:footnote w:id="10">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Malmö Ministerial Declaration on eGovernment, 2009</w:t>
      </w:r>
    </w:p>
  </w:footnote>
  <w:footnote w:id="11">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EU eGovernment Benchmark Report 2014</w:t>
      </w:r>
    </w:p>
  </w:footnote>
  <w:footnote w:id="12">
    <w:p w:rsidR="00897C11" w:rsidRDefault="003A41E4">
      <w:pPr>
        <w:pStyle w:val="FootnoteText"/>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EU eGovernment Benchmark Report 2015</w:t>
      </w:r>
    </w:p>
  </w:footnote>
  <w:footnote w:id="13">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 xml:space="preserve">Recommendation of the Council on Digital Government </w:t>
      </w:r>
      <w:r>
        <w:rPr>
          <w:rStyle w:val="FootnoteReference"/>
          <w:vertAlign w:val="baseline"/>
        </w:rPr>
        <w:t>Strategies, OECD, 2014</w:t>
      </w:r>
    </w:p>
  </w:footnote>
  <w:footnote w:id="14">
    <w:p w:rsidR="00897C11" w:rsidRDefault="003A41E4">
      <w:pPr>
        <w:pStyle w:val="FootnoteText"/>
        <w:rPr>
          <w:rStyle w:val="FootnoteReference"/>
          <w:vertAlign w:val="baseline"/>
        </w:rPr>
      </w:pPr>
      <w:r>
        <w:rPr>
          <w:rStyle w:val="FootnoteReference"/>
        </w:rPr>
        <w:footnoteRef/>
      </w:r>
      <w:r>
        <w:rPr>
          <w:rStyle w:val="FootnoteReference"/>
          <w:vertAlign w:val="baseline"/>
        </w:rPr>
        <w:tab/>
      </w:r>
      <w:hyperlink r:id="rId3" w:history="1">
        <w:r>
          <w:rPr>
            <w:rStyle w:val="Hyperlink"/>
          </w:rPr>
          <w:t>https://ec.europa.eu/digital-agenda/en/news/contributions-and-preliminary-trends</w:t>
        </w:r>
        <w:r>
          <w:rPr>
            <w:rStyle w:val="Hyperlink"/>
          </w:rPr>
          <w:t>-public-consultation-egovernment-action-plan-2016-2020</w:t>
        </w:r>
      </w:hyperlink>
      <w:r>
        <w:t xml:space="preserve"> </w:t>
      </w:r>
    </w:p>
  </w:footnote>
  <w:footnote w:id="15">
    <w:p w:rsidR="00897C11" w:rsidRDefault="003A41E4">
      <w:pPr>
        <w:pStyle w:val="FootnoteText"/>
        <w:rPr>
          <w:lang w:val="en-GB"/>
        </w:rPr>
      </w:pPr>
      <w:r>
        <w:rPr>
          <w:rStyle w:val="FootnoteReference"/>
        </w:rPr>
        <w:footnoteRef/>
      </w:r>
      <w:r>
        <w:rPr>
          <w:lang w:val="en-GB"/>
        </w:rPr>
        <w:t xml:space="preserve"> </w:t>
      </w:r>
      <w:r>
        <w:rPr>
          <w:lang w:val="en-GB"/>
        </w:rPr>
        <w:tab/>
        <w:t>A proposal for a directive on web accessibility is currently pending with the co-legislators, COM (2012)721.</w:t>
      </w:r>
    </w:p>
  </w:footnote>
  <w:footnote w:id="16">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Annual Growth Survey 2015 and 2016</w:t>
      </w:r>
    </w:p>
  </w:footnote>
  <w:footnote w:id="17">
    <w:p w:rsidR="00897C11" w:rsidRDefault="003A41E4">
      <w:pPr>
        <w:pStyle w:val="FootnoteText"/>
        <w:rPr>
          <w:rStyle w:val="FootnoteReference"/>
          <w:vertAlign w:val="baseline"/>
          <w:lang w:val="en-GB"/>
        </w:rPr>
      </w:pPr>
      <w:r>
        <w:rPr>
          <w:rStyle w:val="FootnoteReference"/>
        </w:rPr>
        <w:footnoteRef/>
      </w:r>
      <w:r>
        <w:rPr>
          <w:rStyle w:val="FootnoteReference"/>
          <w:lang w:val="en-GB"/>
        </w:rPr>
        <w:t xml:space="preserve"> </w:t>
      </w:r>
      <w:r>
        <w:rPr>
          <w:rStyle w:val="FootnoteReference"/>
          <w:vertAlign w:val="baseline"/>
          <w:lang w:val="en-GB"/>
        </w:rPr>
        <w:tab/>
      </w:r>
      <w:r>
        <w:rPr>
          <w:lang w:val="en-GB"/>
        </w:rPr>
        <w:t xml:space="preserve">Revised EIF to </w:t>
      </w:r>
      <w:r>
        <w:rPr>
          <w:rStyle w:val="FootnoteReference"/>
          <w:vertAlign w:val="baseline"/>
          <w:lang w:val="en-GB"/>
        </w:rPr>
        <w:t>be published in 2016</w:t>
      </w:r>
    </w:p>
  </w:footnote>
  <w:footnote w:id="18">
    <w:p w:rsidR="00897C11" w:rsidRDefault="003A41E4">
      <w:pPr>
        <w:pStyle w:val="FootnoteText"/>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r>
      <w:r>
        <w:rPr>
          <w:rStyle w:val="FootnoteReference"/>
          <w:vertAlign w:val="baseline"/>
        </w:rPr>
        <w:t>COM(2015) 192 final, http://eur-lex.europa.eu/legal-content/EN/TXT/?qid=1447773803386&amp;uri=CELEX:52015DC0192</w:t>
      </w:r>
    </w:p>
  </w:footnote>
  <w:footnote w:id="19">
    <w:p w:rsidR="00897C11" w:rsidRDefault="003A41E4">
      <w:pPr>
        <w:pStyle w:val="FootnoteText"/>
        <w:rPr>
          <w:lang w:val="pt-PT"/>
        </w:rPr>
      </w:pPr>
      <w:r>
        <w:rPr>
          <w:rStyle w:val="FootnoteReference"/>
        </w:rPr>
        <w:footnoteRef/>
      </w:r>
      <w:r>
        <w:rPr>
          <w:lang w:val="pt-PT"/>
        </w:rPr>
        <w:t xml:space="preserve"> </w:t>
      </w:r>
      <w:r>
        <w:rPr>
          <w:lang w:val="pt-PT"/>
        </w:rPr>
        <w:tab/>
        <w:t>Regulation (EU) No 910/2014</w:t>
      </w:r>
    </w:p>
  </w:footnote>
  <w:footnote w:id="20">
    <w:p w:rsidR="00897C11" w:rsidRDefault="003A41E4">
      <w:pPr>
        <w:pStyle w:val="FootnoteText"/>
        <w:rPr>
          <w:lang w:val="pt-PT"/>
        </w:rPr>
      </w:pPr>
      <w:r>
        <w:rPr>
          <w:rStyle w:val="FootnoteReference"/>
        </w:rPr>
        <w:footnoteRef/>
      </w:r>
      <w:r>
        <w:rPr>
          <w:lang w:val="pt-PT"/>
        </w:rPr>
        <w:t xml:space="preserve"> </w:t>
      </w:r>
      <w:r>
        <w:rPr>
          <w:lang w:val="pt-PT"/>
        </w:rPr>
        <w:tab/>
        <w:t>http://ec.europa.eu/finance/consultations/2015/retail-financial-services/index_en.htm</w:t>
      </w:r>
    </w:p>
  </w:footnote>
  <w:footnote w:id="21">
    <w:p w:rsidR="00897C11" w:rsidRDefault="003A41E4">
      <w:pPr>
        <w:pStyle w:val="FootnoteText"/>
        <w:rPr>
          <w:lang w:val="pt-PT"/>
        </w:rPr>
      </w:pPr>
      <w:r>
        <w:rPr>
          <w:rStyle w:val="FootnoteReference"/>
        </w:rPr>
        <w:footnoteRef/>
      </w:r>
      <w:r>
        <w:rPr>
          <w:lang w:val="pt-PT"/>
        </w:rPr>
        <w:t xml:space="preserve"> </w:t>
      </w:r>
      <w:r>
        <w:rPr>
          <w:lang w:val="pt-PT"/>
        </w:rPr>
        <w:tab/>
      </w:r>
      <w:hyperlink r:id="rId4" w:history="1">
        <w:r>
          <w:rPr>
            <w:rStyle w:val="Hyperlink"/>
            <w:lang w:val="pt-PT"/>
          </w:rPr>
          <w:t>http://open-data.europa.eu</w:t>
        </w:r>
      </w:hyperlink>
      <w:r>
        <w:rPr>
          <w:lang w:val="pt-PT"/>
        </w:rPr>
        <w:t xml:space="preserve"> </w:t>
      </w:r>
    </w:p>
  </w:footnote>
  <w:footnote w:id="22">
    <w:p w:rsidR="00897C11" w:rsidRDefault="003A41E4">
      <w:pPr>
        <w:pStyle w:val="FootnoteText"/>
        <w:rPr>
          <w:rStyle w:val="FootnoteReference"/>
          <w:vertAlign w:val="baseline"/>
          <w:lang w:val="pt-PT"/>
        </w:rPr>
      </w:pPr>
      <w:r>
        <w:rPr>
          <w:rStyle w:val="FootnoteReference"/>
        </w:rPr>
        <w:footnoteRef/>
      </w:r>
      <w:r>
        <w:rPr>
          <w:lang w:val="pt-PT"/>
        </w:rPr>
        <w:t xml:space="preserve"> </w:t>
      </w:r>
      <w:r>
        <w:rPr>
          <w:lang w:val="pt-PT"/>
        </w:rPr>
        <w:tab/>
      </w:r>
      <w:hyperlink r:id="rId5" w:history="1">
        <w:r>
          <w:rPr>
            <w:rStyle w:val="FootnoteReference"/>
            <w:vertAlign w:val="baseline"/>
            <w:lang w:val="pt-PT"/>
          </w:rPr>
          <w:t>http://data.europa.e/europeandataportal</w:t>
        </w:r>
      </w:hyperlink>
      <w:r>
        <w:rPr>
          <w:rStyle w:val="FootnoteReference"/>
          <w:vertAlign w:val="baseline"/>
          <w:lang w:val="pt-PT"/>
        </w:rPr>
        <w:t xml:space="preserve"> </w:t>
      </w:r>
    </w:p>
  </w:footnote>
  <w:footnote w:id="23">
    <w:p w:rsidR="00897C11" w:rsidRDefault="003A41E4">
      <w:pPr>
        <w:pStyle w:val="FootnoteText"/>
        <w:rPr>
          <w:lang w:val="pt-PT"/>
        </w:rPr>
      </w:pPr>
      <w:r>
        <w:rPr>
          <w:rStyle w:val="FootnoteReference"/>
        </w:rPr>
        <w:footnoteRef/>
      </w:r>
      <w:r>
        <w:rPr>
          <w:lang w:val="pt-PT"/>
        </w:rPr>
        <w:t xml:space="preserve"> </w:t>
      </w:r>
      <w:r>
        <w:rPr>
          <w:lang w:val="pt-PT"/>
        </w:rPr>
        <w:tab/>
      </w:r>
      <w:r>
        <w:rPr>
          <w:rStyle w:val="FootnoteReference"/>
          <w:vertAlign w:val="baseline"/>
          <w:lang w:val="pt-PT"/>
        </w:rPr>
        <w:t>such as eID, eSignature, eDelivery, eInvoicing and eTranslation</w:t>
      </w:r>
    </w:p>
  </w:footnote>
  <w:footnote w:id="24">
    <w:p w:rsidR="00897C11" w:rsidRDefault="003A41E4">
      <w:pPr>
        <w:pStyle w:val="FootnoteText"/>
        <w:rPr>
          <w:lang w:val="en-GB"/>
        </w:rPr>
      </w:pPr>
      <w:r>
        <w:rPr>
          <w:rStyle w:val="FootnoteReference"/>
        </w:rPr>
        <w:footnoteRef/>
      </w:r>
      <w:r>
        <w:rPr>
          <w:lang w:val="en-GB"/>
        </w:rPr>
        <w:t xml:space="preserve"> </w:t>
      </w:r>
      <w:r>
        <w:rPr>
          <w:lang w:val="en-GB"/>
        </w:rPr>
        <w:tab/>
        <w:t>European Cloud Initiative – Building a c</w:t>
      </w:r>
      <w:r>
        <w:rPr>
          <w:lang w:val="en-GB"/>
        </w:rPr>
        <w:t>ompetitive data and knowledge economy in Europe</w:t>
      </w:r>
    </w:p>
  </w:footnote>
  <w:footnote w:id="25">
    <w:p w:rsidR="00897C11" w:rsidRDefault="003A41E4">
      <w:pPr>
        <w:pStyle w:val="FootnoteText"/>
        <w:jc w:val="left"/>
        <w:rPr>
          <w:rStyle w:val="FootnoteReference"/>
          <w:vertAlign w:val="baseline"/>
        </w:rPr>
      </w:pPr>
      <w:r>
        <w:rPr>
          <w:rStyle w:val="FootnoteReference"/>
        </w:rPr>
        <w:footnoteRef/>
      </w:r>
      <w:r>
        <w:rPr>
          <w:rStyle w:val="FootnoteReference"/>
        </w:rPr>
        <w:t xml:space="preserve"> </w:t>
      </w:r>
      <w:r>
        <w:rPr>
          <w:rStyle w:val="FootnoteReference"/>
          <w:vertAlign w:val="baseline"/>
        </w:rPr>
        <w:tab/>
        <w:t>Directive 2012/17/EU of the European Parliament and of the Council of 13 June 2012 amending Council Directive 89/666/EEC and Directives 2005/56/EC and 2009/101/EC of the European Parliament and of the Coun</w:t>
      </w:r>
      <w:r>
        <w:rPr>
          <w:rStyle w:val="FootnoteReference"/>
          <w:vertAlign w:val="baseline"/>
        </w:rPr>
        <w:t>cil as regards the interconnection of central, commercial and companies registers (OJ L 156, 16.6.2012, p. 1)</w:t>
      </w:r>
      <w:r>
        <w:rPr>
          <w:rStyle w:val="FootnoteReference"/>
          <w:vertAlign w:val="baseline"/>
        </w:rPr>
        <w:br/>
        <w:t>COM(2015) 192 final, http://eur-lex.europa.eu/legal-content/EN/TXT/?qid=1447773803386&amp;uri=CELEX:52015DC0192</w:t>
      </w:r>
    </w:p>
  </w:footnote>
  <w:footnote w:id="26">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 xml:space="preserve">as required by Regulation (EU) </w:t>
      </w:r>
      <w:r>
        <w:rPr>
          <w:rStyle w:val="FootnoteReference"/>
          <w:vertAlign w:val="baseline"/>
        </w:rPr>
        <w:t>2015/848 on insolvency proceedings (recast)</w:t>
      </w:r>
    </w:p>
  </w:footnote>
  <w:footnote w:id="27">
    <w:p w:rsidR="00897C11" w:rsidRDefault="003A41E4">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rPr>
        <w:tab/>
        <w:t>As defined in the Commission Communication "Upgrading the Single Market: more opportunities for people and business" (COM(2015) 550, p. 5.</w:t>
      </w:r>
    </w:p>
  </w:footnote>
  <w:footnote w:id="28">
    <w:p w:rsidR="00897C11" w:rsidRDefault="003A41E4">
      <w:pPr>
        <w:pStyle w:val="FootnoteText"/>
        <w:rPr>
          <w:rStyle w:val="FootnoteReference"/>
          <w:vertAlign w:val="baseline"/>
          <w:lang w:val="pt-PT"/>
        </w:rPr>
      </w:pPr>
      <w:r>
        <w:rPr>
          <w:rStyle w:val="FootnoteReference"/>
        </w:rPr>
        <w:footnoteRef/>
      </w:r>
      <w:r>
        <w:rPr>
          <w:rStyle w:val="FootnoteReference"/>
        </w:rPr>
        <w:t xml:space="preserve"> </w:t>
      </w:r>
      <w:r>
        <w:rPr>
          <w:rFonts w:ascii="Times New Roman" w:hAnsi="Times New Roman" w:cs="Times New Roman"/>
          <w:sz w:val="20"/>
          <w:szCs w:val="20"/>
          <w:lang w:val="pt-PT"/>
        </w:rPr>
        <w:tab/>
      </w:r>
      <w:r>
        <w:rPr>
          <w:rStyle w:val="FootnoteReference"/>
          <w:vertAlign w:val="baseline"/>
          <w:lang w:val="pt-PT"/>
        </w:rPr>
        <w:t xml:space="preserve">See </w:t>
      </w:r>
      <w:r>
        <w:rPr>
          <w:lang w:val="pt-PT"/>
        </w:rPr>
        <w:t>also COM(2015) 550, p. 5.</w:t>
      </w:r>
    </w:p>
  </w:footnote>
  <w:footnote w:id="29">
    <w:p w:rsidR="00897C11" w:rsidRDefault="003A41E4">
      <w:pPr>
        <w:pStyle w:val="FootnoteText"/>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28 European Union (EU) Member Stat</w:t>
      </w:r>
      <w:r>
        <w:rPr>
          <w:rStyle w:val="FootnoteReference"/>
          <w:vertAlign w:val="baseline"/>
        </w:rPr>
        <w:t>es (MS), Switzerland and 3 European Economic Area (EEA) countries: Norway, Iceland, Lichtenstein</w:t>
      </w:r>
    </w:p>
  </w:footnote>
  <w:footnote w:id="30">
    <w:p w:rsidR="00897C11" w:rsidRDefault="003A41E4">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rPr>
        <w:tab/>
        <w:t>The purpose of EURES is to provide information, advice and recruitment/placement (job-matching) services for the benefit of workers and employers as well as</w:t>
      </w:r>
      <w:r>
        <w:rPr>
          <w:rStyle w:val="FootnoteReference"/>
          <w:vertAlign w:val="baseline"/>
        </w:rPr>
        <w:t xml:space="preserve"> any citizen wishing to benefit from the principle of the free movement of persons.</w:t>
      </w:r>
    </w:p>
  </w:footnote>
  <w:footnote w:id="31">
    <w:p w:rsidR="00897C11" w:rsidRDefault="003A41E4">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 xml:space="preserve">Guidelines on ePrescriptions Dataset for electronic exchange under cross-border Directive 2011/24/EU </w:t>
      </w:r>
    </w:p>
  </w:footnote>
  <w:footnote w:id="32">
    <w:p w:rsidR="00897C11" w:rsidRDefault="003A41E4">
      <w:pPr>
        <w:pStyle w:val="FootnoteText"/>
        <w:rPr>
          <w:lang w:val="en-GB"/>
        </w:rPr>
      </w:pPr>
      <w:r>
        <w:rPr>
          <w:rStyle w:val="FootnoteReference"/>
        </w:rPr>
        <w:footnoteRef/>
      </w:r>
      <w:r>
        <w:rPr>
          <w:lang w:val="en-GB"/>
        </w:rPr>
        <w:t xml:space="preserve"> </w:t>
      </w:r>
      <w:r>
        <w:rPr>
          <w:lang w:val="en-GB"/>
        </w:rPr>
        <w:tab/>
        <w:t>According to Article 12 of Directive 2011/24/EU on the applicati</w:t>
      </w:r>
      <w:r>
        <w:rPr>
          <w:lang w:val="en-GB"/>
        </w:rPr>
        <w:t>on of patients' rights in cross-border care</w:t>
      </w:r>
    </w:p>
  </w:footnote>
  <w:footnote w:id="33">
    <w:p w:rsidR="00897C11" w:rsidRDefault="003A41E4">
      <w:pPr>
        <w:pStyle w:val="FootnoteText"/>
        <w:rPr>
          <w:lang w:val="en-GB"/>
        </w:rPr>
      </w:pPr>
      <w:r>
        <w:rPr>
          <w:rStyle w:val="FootnoteReference"/>
        </w:rPr>
        <w:footnoteRef/>
      </w:r>
      <w:r>
        <w:rPr>
          <w:lang w:val="en-GB"/>
        </w:rPr>
        <w:t xml:space="preserve"> </w:t>
      </w:r>
      <w:r>
        <w:rPr>
          <w:lang w:val="en-GB"/>
        </w:rPr>
        <w:tab/>
        <w:t>European Cloud Initiative – Building a competitive data and knowledge economy in Europe</w:t>
      </w:r>
    </w:p>
  </w:footnote>
  <w:footnote w:id="34">
    <w:p w:rsidR="00897C11" w:rsidRDefault="003A41E4">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lang w:val="en-GB"/>
        </w:rPr>
        <w:tab/>
      </w:r>
      <w:hyperlink r:id="rId6" w:history="1">
        <w:r>
          <w:rPr>
            <w:rStyle w:val="FootnoteReference"/>
            <w:vertAlign w:val="baseline"/>
          </w:rPr>
          <w:t>Directive 2007/2/</w:t>
        </w:r>
        <w:r>
          <w:rPr>
            <w:rStyle w:val="FootnoteReference"/>
            <w:vertAlign w:val="baseline"/>
          </w:rPr>
          <w:t>EC OF THE EUROPEAN PARLIAMENT AND OF THE COUNCIL of 14 March 2007 establishing an Infrastructure for Spatial Information in the European Community, OJ</w:t>
        </w:r>
      </w:hyperlink>
      <w:r>
        <w:rPr>
          <w:rStyle w:val="FootnoteReference"/>
          <w:vertAlign w:val="baseline"/>
        </w:rPr>
        <w:t xml:space="preserve"> L 108, 25.4.2007, p. 1. (The report will be made available soon at the following web page: http://inspire</w:t>
      </w:r>
      <w:r>
        <w:rPr>
          <w:rStyle w:val="FootnoteReference"/>
          <w:vertAlign w:val="baseline"/>
        </w:rPr>
        <w:t>.ec.europa.eu/)</w:t>
      </w:r>
    </w:p>
  </w:footnote>
  <w:footnote w:id="35">
    <w:p w:rsidR="00897C11" w:rsidRDefault="003A41E4">
      <w:pPr>
        <w:pStyle w:val="FootnoteText"/>
        <w:rPr>
          <w:lang w:val="en-GB"/>
        </w:rPr>
      </w:pPr>
      <w:r>
        <w:rPr>
          <w:rStyle w:val="FootnoteReference"/>
        </w:rPr>
        <w:footnoteRef/>
      </w:r>
      <w:r>
        <w:rPr>
          <w:lang w:val="en-GB"/>
        </w:rPr>
        <w:t xml:space="preserve">  </w:t>
      </w:r>
      <w:r>
        <w:rPr>
          <w:lang w:val="en-GB"/>
        </w:rPr>
        <w:tab/>
      </w:r>
      <w:r w:rsidRPr="003A41E4">
        <w:rPr>
          <w:lang w:val="en-GB"/>
        </w:rPr>
        <w:t>In line with Commission’s Better Regulation Guidelines, SWD(2015)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1" w:rsidRDefault="00897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475249"/>
    <w:lvl w:ilvl="0" w:tplc="8FCAA1BE">
      <w:start w:val="1"/>
      <w:numFmt w:val="decimal"/>
      <w:lvlText w:val="%1."/>
      <w:lvlJc w:val="left"/>
      <w:pPr>
        <w:ind w:left="720" w:hanging="360"/>
      </w:pPr>
      <w:rPr>
        <w:rFonts w:ascii="Times New Roman" w:eastAsia="Times New Roman" w:hAnsi="Times New Roman" w:hint="default"/>
        <w:b w:val="0"/>
        <w:i/>
        <w:color w:val="000000"/>
        <w:sz w:val="24"/>
        <w:szCs w:val="24"/>
      </w:rPr>
    </w:lvl>
    <w:lvl w:ilvl="1" w:tplc="A63CC3EA">
      <w:start w:val="1"/>
      <w:numFmt w:val="lowerLetter"/>
      <w:lvlText w:val="%2."/>
      <w:lvlJc w:val="left"/>
      <w:pPr>
        <w:ind w:left="1440" w:hanging="360"/>
      </w:pPr>
      <w:rPr>
        <w:rFonts w:ascii="Times New Roman" w:eastAsia="Times New Roman" w:hAnsi="Times New Roman" w:hint="default"/>
        <w:b w:val="0"/>
        <w:color w:val="000000"/>
        <w:sz w:val="24"/>
        <w:szCs w:val="24"/>
      </w:rPr>
    </w:lvl>
    <w:lvl w:ilvl="2" w:tplc="A036BC66">
      <w:start w:val="1"/>
      <w:numFmt w:val="lowerRoman"/>
      <w:lvlText w:val="%3."/>
      <w:lvlJc w:val="left"/>
      <w:pPr>
        <w:ind w:left="2160" w:hanging="180"/>
      </w:pPr>
      <w:rPr>
        <w:rFonts w:ascii="Times New Roman" w:eastAsia="Times New Roman" w:hAnsi="Times New Roman" w:hint="default"/>
        <w:b w:val="0"/>
        <w:color w:val="000000"/>
        <w:sz w:val="24"/>
        <w:szCs w:val="24"/>
      </w:rPr>
    </w:lvl>
    <w:lvl w:ilvl="3" w:tplc="3BC41DAE">
      <w:start w:val="1"/>
      <w:numFmt w:val="decimal"/>
      <w:lvlText w:val="%4."/>
      <w:lvlJc w:val="left"/>
      <w:pPr>
        <w:ind w:left="2880" w:hanging="360"/>
      </w:pPr>
      <w:rPr>
        <w:rFonts w:ascii="Times New Roman" w:eastAsia="Times New Roman" w:hAnsi="Times New Roman" w:hint="default"/>
        <w:b w:val="0"/>
        <w:color w:val="000000"/>
        <w:sz w:val="24"/>
        <w:szCs w:val="24"/>
      </w:rPr>
    </w:lvl>
    <w:lvl w:ilvl="4" w:tplc="18EEBE42">
      <w:start w:val="1"/>
      <w:numFmt w:val="lowerLetter"/>
      <w:lvlText w:val="%5."/>
      <w:lvlJc w:val="left"/>
      <w:pPr>
        <w:ind w:left="3600" w:hanging="360"/>
      </w:pPr>
      <w:rPr>
        <w:rFonts w:ascii="Times New Roman" w:eastAsia="Times New Roman" w:hAnsi="Times New Roman" w:hint="default"/>
        <w:b w:val="0"/>
        <w:color w:val="000000"/>
        <w:sz w:val="24"/>
        <w:szCs w:val="24"/>
      </w:rPr>
    </w:lvl>
    <w:lvl w:ilvl="5" w:tplc="9C365166">
      <w:start w:val="1"/>
      <w:numFmt w:val="lowerRoman"/>
      <w:lvlText w:val="%6."/>
      <w:lvlJc w:val="left"/>
      <w:pPr>
        <w:ind w:left="4320" w:hanging="180"/>
      </w:pPr>
      <w:rPr>
        <w:rFonts w:ascii="Times New Roman" w:eastAsia="Times New Roman" w:hAnsi="Times New Roman" w:hint="default"/>
        <w:b w:val="0"/>
        <w:color w:val="000000"/>
        <w:sz w:val="24"/>
        <w:szCs w:val="24"/>
      </w:rPr>
    </w:lvl>
    <w:lvl w:ilvl="6" w:tplc="465CA626">
      <w:start w:val="1"/>
      <w:numFmt w:val="decimal"/>
      <w:lvlText w:val="%7."/>
      <w:lvlJc w:val="left"/>
      <w:pPr>
        <w:ind w:left="5040" w:hanging="360"/>
      </w:pPr>
      <w:rPr>
        <w:rFonts w:ascii="Times New Roman" w:eastAsia="Times New Roman" w:hAnsi="Times New Roman" w:hint="default"/>
        <w:b w:val="0"/>
        <w:color w:val="000000"/>
        <w:sz w:val="24"/>
        <w:szCs w:val="24"/>
      </w:rPr>
    </w:lvl>
    <w:lvl w:ilvl="7" w:tplc="B2563A3A">
      <w:start w:val="1"/>
      <w:numFmt w:val="lowerLetter"/>
      <w:lvlText w:val="%8."/>
      <w:lvlJc w:val="left"/>
      <w:pPr>
        <w:ind w:left="5760" w:hanging="360"/>
      </w:pPr>
      <w:rPr>
        <w:rFonts w:ascii="Times New Roman" w:eastAsia="Times New Roman" w:hAnsi="Times New Roman" w:hint="default"/>
        <w:b w:val="0"/>
        <w:color w:val="000000"/>
        <w:sz w:val="24"/>
        <w:szCs w:val="24"/>
      </w:rPr>
    </w:lvl>
    <w:lvl w:ilvl="8" w:tplc="16CAC458">
      <w:start w:val="1"/>
      <w:numFmt w:val="lowerRoman"/>
      <w:lvlText w:val="%9."/>
      <w:lvlJc w:val="left"/>
      <w:pPr>
        <w:ind w:left="6480" w:hanging="180"/>
      </w:pPr>
      <w:rPr>
        <w:rFonts w:ascii="Times New Roman" w:eastAsia="Times New Roman" w:hAnsi="Times New Roman" w:hint="default"/>
        <w:b w:val="0"/>
        <w:color w:val="000000"/>
        <w:sz w:val="24"/>
        <w:szCs w:val="24"/>
      </w:rPr>
    </w:lvl>
  </w:abstractNum>
  <w:abstractNum w:abstractNumId="1">
    <w:nsid w:val="00DE7D3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0229B0"/>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92A1B"/>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7A34F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F1C6A"/>
    <w:multiLevelType w:val="hybridMultilevel"/>
    <w:tmpl w:val="11EE4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EB02C54"/>
    <w:multiLevelType w:val="hybridMultilevel"/>
    <w:tmpl w:val="9378C70C"/>
    <w:lvl w:ilvl="0" w:tplc="94E47F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D21A2"/>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0914C7"/>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5E4FD3"/>
    <w:multiLevelType w:val="hybridMultilevel"/>
    <w:tmpl w:val="426481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4C64D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44362F"/>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6B35D9"/>
    <w:multiLevelType w:val="hybridMultilevel"/>
    <w:tmpl w:val="062E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C4853"/>
    <w:multiLevelType w:val="hybridMultilevel"/>
    <w:tmpl w:val="D158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777B6"/>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8E1B23"/>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4D36E0"/>
    <w:multiLevelType w:val="hybridMultilevel"/>
    <w:tmpl w:val="C29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EF7B75"/>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E73CD4"/>
    <w:multiLevelType w:val="hybridMultilevel"/>
    <w:tmpl w:val="A54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B75868"/>
    <w:multiLevelType w:val="hybridMultilevel"/>
    <w:tmpl w:val="36A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CA31BA"/>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0D3DD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B65225"/>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5006E5"/>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BA49EA"/>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9458A0"/>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A21031"/>
    <w:multiLevelType w:val="hybridMultilevel"/>
    <w:tmpl w:val="CC7EA65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nsid w:val="519053A7"/>
    <w:multiLevelType w:val="hybridMultilevel"/>
    <w:tmpl w:val="FED8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CB74B4"/>
    <w:multiLevelType w:val="multilevel"/>
    <w:tmpl w:val="EA264F84"/>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7655"/>
        </w:tabs>
        <w:ind w:left="7655"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9097226"/>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8C7B27"/>
    <w:multiLevelType w:val="hybridMultilevel"/>
    <w:tmpl w:val="9DBE1A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D926CB2"/>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8E4D2F"/>
    <w:multiLevelType w:val="hybridMultilevel"/>
    <w:tmpl w:val="BD0C1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7A2AF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77700E"/>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7C3223"/>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9C1051"/>
    <w:multiLevelType w:val="hybridMultilevel"/>
    <w:tmpl w:val="D91C8BFE"/>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7E4722"/>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C427B0"/>
    <w:multiLevelType w:val="hybridMultilevel"/>
    <w:tmpl w:val="9D5445DA"/>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E6356D"/>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C34C8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9"/>
  </w:num>
  <w:num w:numId="3">
    <w:abstractNumId w:val="25"/>
  </w:num>
  <w:num w:numId="4">
    <w:abstractNumId w:val="8"/>
  </w:num>
  <w:num w:numId="5">
    <w:abstractNumId w:val="35"/>
  </w:num>
  <w:num w:numId="6">
    <w:abstractNumId w:val="23"/>
  </w:num>
  <w:num w:numId="7">
    <w:abstractNumId w:val="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18"/>
  </w:num>
  <w:num w:numId="12">
    <w:abstractNumId w:val="12"/>
  </w:num>
  <w:num w:numId="13">
    <w:abstractNumId w:val="5"/>
  </w:num>
  <w:num w:numId="14">
    <w:abstractNumId w:val="37"/>
  </w:num>
  <w:num w:numId="15">
    <w:abstractNumId w:val="20"/>
  </w:num>
  <w:num w:numId="16">
    <w:abstractNumId w:val="40"/>
  </w:num>
  <w:num w:numId="17">
    <w:abstractNumId w:val="22"/>
  </w:num>
  <w:num w:numId="18">
    <w:abstractNumId w:val="24"/>
  </w:num>
  <w:num w:numId="19">
    <w:abstractNumId w:val="3"/>
  </w:num>
  <w:num w:numId="20">
    <w:abstractNumId w:val="10"/>
  </w:num>
  <w:num w:numId="21">
    <w:abstractNumId w:val="33"/>
  </w:num>
  <w:num w:numId="22">
    <w:abstractNumId w:val="0"/>
  </w:num>
  <w:num w:numId="23">
    <w:abstractNumId w:val="30"/>
  </w:num>
  <w:num w:numId="24">
    <w:abstractNumId w:val="32"/>
  </w:num>
  <w:num w:numId="25">
    <w:abstractNumId w:val="36"/>
  </w:num>
  <w:num w:numId="26">
    <w:abstractNumId w:val="34"/>
  </w:num>
  <w:num w:numId="27">
    <w:abstractNumId w:val="4"/>
  </w:num>
  <w:num w:numId="28">
    <w:abstractNumId w:val="2"/>
  </w:num>
  <w:num w:numId="29">
    <w:abstractNumId w:val="21"/>
  </w:num>
  <w:num w:numId="30">
    <w:abstractNumId w:val="39"/>
  </w:num>
  <w:num w:numId="31">
    <w:abstractNumId w:val="17"/>
  </w:num>
  <w:num w:numId="32">
    <w:abstractNumId w:val="14"/>
  </w:num>
  <w:num w:numId="33">
    <w:abstractNumId w:val="6"/>
  </w:num>
  <w:num w:numId="34">
    <w:abstractNumId w:val="19"/>
  </w:num>
  <w:num w:numId="35">
    <w:abstractNumId w:val="16"/>
  </w:num>
  <w:num w:numId="36">
    <w:abstractNumId w:val="38"/>
  </w:num>
  <w:num w:numId="37">
    <w:abstractNumId w:val="11"/>
  </w:num>
  <w:num w:numId="38">
    <w:abstractNumId w:val="7"/>
  </w:num>
  <w:num w:numId="39">
    <w:abstractNumId w:val="1"/>
  </w:num>
  <w:num w:numId="40">
    <w:abstractNumId w:val="15"/>
  </w:num>
  <w:num w:numId="4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7EBE21E468A4A03A2930BD0109816D2"/>
    <w:docVar w:name="LW_CROSSREFERENCE" w:val="{SWD(2016) 108 final}_x000b_{SWD(2016) 109 final}"/>
    <w:docVar w:name="LW_DocType" w:val="NORMAL"/>
    <w:docVar w:name="LW_EMISSION" w:val="19.4.2016"/>
    <w:docVar w:name="LW_EMISSION_ISODATE" w:val="2016-04-19"/>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79"/>
    <w:docVar w:name="LW_REF.INTERNE" w:val="&lt;UNUSED&gt;"/>
    <w:docVar w:name="LW_SOUS.TITRE.OBJ" w:val="Accelerating the digital transformation of government_x000b__x000b__x000b__x000b_"/>
    <w:docVar w:name="LW_SOUS.TITRE.OBJ.CP" w:val="Accelerating the digital transformation of government_x000b__x000b__x000b__x000b_"/>
    <w:docVar w:name="LW_SUPERTITRE" w:val="&lt;UNUSED&gt;"/>
    <w:docVar w:name="LW_TITRE.OBJ.CP" w:val="EU eGovernment Action Plan 2016-2020"/>
    <w:docVar w:name="LW_TYPE.DOC.CP" w:val="COMMUNICATION FROM THE COMMISSION TO THE EUROPEAN PARLIAMENT, THE COUNCIL, THE EUROPEAN ECONOMIC AND SOCIAL COMMITTEE AND THE COMMITTEE OF THE REGIONS"/>
    <w:docVar w:name="LW_TYPE.DOC.CP.USERTEXT" w:val="&lt;EMPTY&gt;"/>
  </w:docVars>
  <w:rsids>
    <w:rsidRoot w:val="00897C11"/>
    <w:rsid w:val="003A41E4"/>
    <w:rsid w:val="0089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keepNext/>
      <w:numPr>
        <w:numId w:val="1"/>
      </w:numPr>
      <w:spacing w:before="360" w:after="120" w:line="240" w:lineRule="auto"/>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9"/>
    <w:qFormat/>
    <w:pPr>
      <w:keepNext/>
      <w:numPr>
        <w:ilvl w:val="1"/>
        <w:numId w:val="1"/>
      </w:numPr>
      <w:tabs>
        <w:tab w:val="clear" w:pos="7655"/>
        <w:tab w:val="num" w:pos="850"/>
      </w:tabs>
      <w:spacing w:before="120" w:after="120" w:line="240" w:lineRule="auto"/>
      <w:ind w:left="850"/>
      <w:outlineLvl w:val="1"/>
    </w:pPr>
    <w:rPr>
      <w:rFonts w:ascii="Times New Roman" w:eastAsia="Times New Roman" w:hAnsi="Times New Roman" w:cs="Times New Roman"/>
      <w:bCs/>
      <w:i/>
      <w:iCs/>
      <w:sz w:val="24"/>
      <w:szCs w:val="28"/>
      <w:lang w:eastAsia="de-DE"/>
    </w:rPr>
  </w:style>
  <w:style w:type="paragraph" w:styleId="Heading3">
    <w:name w:val="heading 3"/>
    <w:basedOn w:val="Normal"/>
    <w:next w:val="Normal"/>
    <w:link w:val="Heading3Char"/>
    <w:uiPriority w:val="9"/>
    <w:qFormat/>
    <w:pPr>
      <w:keepNext/>
      <w:numPr>
        <w:ilvl w:val="2"/>
        <w:numId w:val="1"/>
      </w:numPr>
      <w:spacing w:before="120" w:after="120" w:line="240" w:lineRule="auto"/>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uiPriority w:val="9"/>
    <w:qFormat/>
    <w:pPr>
      <w:keepNext/>
      <w:numPr>
        <w:ilvl w:val="3"/>
        <w:numId w:val="1"/>
      </w:numPr>
      <w:spacing w:before="120" w:after="120" w:line="240" w:lineRule="auto"/>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spacing w:after="0" w:line="240" w:lineRule="auto"/>
      <w:ind w:left="357" w:hanging="357"/>
    </w:pPr>
    <w:rPr>
      <w:sz w:val="16"/>
      <w:szCs w:val="16"/>
      <w:lang w:val="pl-PL"/>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sz w:val="16"/>
      <w:szCs w:val="16"/>
      <w:lang w:val="pl-PL"/>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ListParagraph">
    <w:name w:val="List Paragraph"/>
    <w:aliases w:val="Fiche 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Fiche List Paragraph Char"/>
    <w:basedOn w:val="DefaultParagraphFont"/>
    <w:link w:val="ListParagraph"/>
    <w:uiPriority w:val="34"/>
    <w:locked/>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Cs/>
      <w:i/>
      <w:iCs/>
      <w:sz w:val="24"/>
      <w:szCs w:val="28"/>
      <w:lang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lang w:eastAsia="de-DE"/>
    </w:rPr>
  </w:style>
  <w:style w:type="paragraph" w:styleId="CommentText">
    <w:name w:val="annotation text"/>
    <w:basedOn w:val="Normal"/>
    <w:link w:val="CommentTextChar"/>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pPr>
      <w:spacing w:after="120" w:line="240" w:lineRule="auto"/>
    </w:pPr>
    <w:rPr>
      <w:rFonts w:ascii="Times New Roman" w:eastAsia="Times New Roman" w:hAnsi="Times New Roman" w:cs="Times New Roman"/>
      <w:szCs w:val="20"/>
    </w:rPr>
  </w:style>
  <w:style w:type="character" w:customStyle="1" w:styleId="CharAttribute3">
    <w:name w:val="CharAttribute3"/>
    <w:rPr>
      <w:rFonts w:ascii="Times New Roman" w:eastAsia="Times New Roman"/>
      <w:sz w:val="24"/>
    </w:rPr>
  </w:style>
  <w:style w:type="character" w:customStyle="1" w:styleId="CharAttribute58">
    <w:name w:val="CharAttribute58"/>
    <w:rPr>
      <w:rFonts w:ascii="Times New Roman" w:eastAsia="Times New Roman"/>
      <w:sz w:val="24"/>
    </w:rPr>
  </w:style>
  <w:style w:type="table" w:customStyle="1" w:styleId="DefaultTable">
    <w:name w:val="Default Table"/>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20">
    <w:name w:val="ParaAttribute20"/>
    <w:pPr>
      <w:wordWrap w:val="0"/>
      <w:spacing w:after="0" w:line="240" w:lineRule="auto"/>
      <w:ind w:left="720"/>
      <w:jc w:val="both"/>
    </w:pPr>
    <w:rPr>
      <w:rFonts w:ascii="Times New Roman" w:eastAsia="Batang" w:hAnsi="Times New Roman" w:cs="Times New Roman"/>
      <w:sz w:val="20"/>
      <w:szCs w:val="20"/>
      <w:lang w:eastAsia="en-GB"/>
    </w:rPr>
  </w:style>
  <w:style w:type="paragraph" w:customStyle="1" w:styleId="ParaAttribute22">
    <w:name w:val="ParaAttribute22"/>
    <w:pPr>
      <w:wordWrap w:val="0"/>
      <w:spacing w:after="0" w:line="240" w:lineRule="auto"/>
      <w:ind w:left="360"/>
      <w:jc w:val="both"/>
    </w:pPr>
    <w:rPr>
      <w:rFonts w:ascii="Times New Roman" w:eastAsia="Batang" w:hAnsi="Times New Roman" w:cs="Times New Roman"/>
      <w:sz w:val="20"/>
      <w:szCs w:val="20"/>
      <w:lang w:eastAsia="en-GB"/>
    </w:rPr>
  </w:style>
  <w:style w:type="character" w:customStyle="1" w:styleId="CharAttribute36">
    <w:name w:val="CharAttribute36"/>
    <w:rPr>
      <w:rFonts w:ascii="Times New Roman" w:eastAsia="Times New Roman"/>
      <w:b/>
      <w:i/>
      <w:sz w:val="24"/>
    </w:rPr>
  </w:style>
  <w:style w:type="character" w:customStyle="1" w:styleId="CharAttribute37">
    <w:name w:val="CharAttribute37"/>
    <w:rPr>
      <w:rFonts w:ascii="Calibri" w:eastAsia="Calibri"/>
      <w:sz w:val="24"/>
    </w:rPr>
  </w:style>
  <w:style w:type="paragraph" w:customStyle="1" w:styleId="ParaAttribute6">
    <w:name w:val="ParaAttribute6"/>
    <w:pPr>
      <w:tabs>
        <w:tab w:val="center" w:pos="4513"/>
        <w:tab w:val="right" w:pos="9026"/>
      </w:tabs>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34">
    <w:name w:val="CharAttribute34"/>
    <w:rPr>
      <w:rFonts w:ascii="Times New Roman" w:eastAsia="Times New Roman"/>
      <w:sz w:val="24"/>
      <w:shd w:val="clear" w:color="auto" w:fill="FFFF0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keepNext/>
      <w:numPr>
        <w:numId w:val="1"/>
      </w:numPr>
      <w:spacing w:before="360" w:after="120" w:line="240" w:lineRule="auto"/>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9"/>
    <w:qFormat/>
    <w:pPr>
      <w:keepNext/>
      <w:numPr>
        <w:ilvl w:val="1"/>
        <w:numId w:val="1"/>
      </w:numPr>
      <w:tabs>
        <w:tab w:val="clear" w:pos="7655"/>
        <w:tab w:val="num" w:pos="850"/>
      </w:tabs>
      <w:spacing w:before="120" w:after="120" w:line="240" w:lineRule="auto"/>
      <w:ind w:left="850"/>
      <w:outlineLvl w:val="1"/>
    </w:pPr>
    <w:rPr>
      <w:rFonts w:ascii="Times New Roman" w:eastAsia="Times New Roman" w:hAnsi="Times New Roman" w:cs="Times New Roman"/>
      <w:bCs/>
      <w:i/>
      <w:iCs/>
      <w:sz w:val="24"/>
      <w:szCs w:val="28"/>
      <w:lang w:eastAsia="de-DE"/>
    </w:rPr>
  </w:style>
  <w:style w:type="paragraph" w:styleId="Heading3">
    <w:name w:val="heading 3"/>
    <w:basedOn w:val="Normal"/>
    <w:next w:val="Normal"/>
    <w:link w:val="Heading3Char"/>
    <w:uiPriority w:val="9"/>
    <w:qFormat/>
    <w:pPr>
      <w:keepNext/>
      <w:numPr>
        <w:ilvl w:val="2"/>
        <w:numId w:val="1"/>
      </w:numPr>
      <w:spacing w:before="120" w:after="120" w:line="240" w:lineRule="auto"/>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uiPriority w:val="9"/>
    <w:qFormat/>
    <w:pPr>
      <w:keepNext/>
      <w:numPr>
        <w:ilvl w:val="3"/>
        <w:numId w:val="1"/>
      </w:numPr>
      <w:spacing w:before="120" w:after="120" w:line="240" w:lineRule="auto"/>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spacing w:after="0" w:line="240" w:lineRule="auto"/>
      <w:ind w:left="357" w:hanging="357"/>
    </w:pPr>
    <w:rPr>
      <w:sz w:val="16"/>
      <w:szCs w:val="16"/>
      <w:lang w:val="pl-PL"/>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sz w:val="16"/>
      <w:szCs w:val="16"/>
      <w:lang w:val="pl-PL"/>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ListParagraph">
    <w:name w:val="List Paragraph"/>
    <w:aliases w:val="Fiche 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Fiche List Paragraph Char"/>
    <w:basedOn w:val="DefaultParagraphFont"/>
    <w:link w:val="ListParagraph"/>
    <w:uiPriority w:val="34"/>
    <w:locked/>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Cs/>
      <w:i/>
      <w:iCs/>
      <w:sz w:val="24"/>
      <w:szCs w:val="28"/>
      <w:lang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lang w:eastAsia="de-DE"/>
    </w:rPr>
  </w:style>
  <w:style w:type="paragraph" w:styleId="CommentText">
    <w:name w:val="annotation text"/>
    <w:basedOn w:val="Normal"/>
    <w:link w:val="CommentTextChar"/>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pPr>
      <w:spacing w:after="120" w:line="240" w:lineRule="auto"/>
    </w:pPr>
    <w:rPr>
      <w:rFonts w:ascii="Times New Roman" w:eastAsia="Times New Roman" w:hAnsi="Times New Roman" w:cs="Times New Roman"/>
      <w:szCs w:val="20"/>
    </w:rPr>
  </w:style>
  <w:style w:type="character" w:customStyle="1" w:styleId="CharAttribute3">
    <w:name w:val="CharAttribute3"/>
    <w:rPr>
      <w:rFonts w:ascii="Times New Roman" w:eastAsia="Times New Roman"/>
      <w:sz w:val="24"/>
    </w:rPr>
  </w:style>
  <w:style w:type="character" w:customStyle="1" w:styleId="CharAttribute58">
    <w:name w:val="CharAttribute58"/>
    <w:rPr>
      <w:rFonts w:ascii="Times New Roman" w:eastAsia="Times New Roman"/>
      <w:sz w:val="24"/>
    </w:rPr>
  </w:style>
  <w:style w:type="table" w:customStyle="1" w:styleId="DefaultTable">
    <w:name w:val="Default Table"/>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20">
    <w:name w:val="ParaAttribute20"/>
    <w:pPr>
      <w:wordWrap w:val="0"/>
      <w:spacing w:after="0" w:line="240" w:lineRule="auto"/>
      <w:ind w:left="720"/>
      <w:jc w:val="both"/>
    </w:pPr>
    <w:rPr>
      <w:rFonts w:ascii="Times New Roman" w:eastAsia="Batang" w:hAnsi="Times New Roman" w:cs="Times New Roman"/>
      <w:sz w:val="20"/>
      <w:szCs w:val="20"/>
      <w:lang w:eastAsia="en-GB"/>
    </w:rPr>
  </w:style>
  <w:style w:type="paragraph" w:customStyle="1" w:styleId="ParaAttribute22">
    <w:name w:val="ParaAttribute22"/>
    <w:pPr>
      <w:wordWrap w:val="0"/>
      <w:spacing w:after="0" w:line="240" w:lineRule="auto"/>
      <w:ind w:left="360"/>
      <w:jc w:val="both"/>
    </w:pPr>
    <w:rPr>
      <w:rFonts w:ascii="Times New Roman" w:eastAsia="Batang" w:hAnsi="Times New Roman" w:cs="Times New Roman"/>
      <w:sz w:val="20"/>
      <w:szCs w:val="20"/>
      <w:lang w:eastAsia="en-GB"/>
    </w:rPr>
  </w:style>
  <w:style w:type="character" w:customStyle="1" w:styleId="CharAttribute36">
    <w:name w:val="CharAttribute36"/>
    <w:rPr>
      <w:rFonts w:ascii="Times New Roman" w:eastAsia="Times New Roman"/>
      <w:b/>
      <w:i/>
      <w:sz w:val="24"/>
    </w:rPr>
  </w:style>
  <w:style w:type="character" w:customStyle="1" w:styleId="CharAttribute37">
    <w:name w:val="CharAttribute37"/>
    <w:rPr>
      <w:rFonts w:ascii="Calibri" w:eastAsia="Calibri"/>
      <w:sz w:val="24"/>
    </w:rPr>
  </w:style>
  <w:style w:type="paragraph" w:customStyle="1" w:styleId="ParaAttribute6">
    <w:name w:val="ParaAttribute6"/>
    <w:pPr>
      <w:tabs>
        <w:tab w:val="center" w:pos="4513"/>
        <w:tab w:val="right" w:pos="9026"/>
      </w:tabs>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34">
    <w:name w:val="CharAttribute34"/>
    <w:rPr>
      <w:rFonts w:ascii="Times New Roman" w:eastAsia="Times New Roman"/>
      <w:sz w:val="24"/>
      <w:shd w:val="clear" w:color="auto" w:fill="FFFF0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569">
      <w:bodyDiv w:val="1"/>
      <w:marLeft w:val="0"/>
      <w:marRight w:val="0"/>
      <w:marTop w:val="0"/>
      <w:marBottom w:val="0"/>
      <w:divBdr>
        <w:top w:val="none" w:sz="0" w:space="0" w:color="auto"/>
        <w:left w:val="none" w:sz="0" w:space="0" w:color="auto"/>
        <w:bottom w:val="none" w:sz="0" w:space="0" w:color="auto"/>
        <w:right w:val="none" w:sz="0" w:space="0" w:color="auto"/>
      </w:divBdr>
    </w:div>
    <w:div w:id="110325114">
      <w:bodyDiv w:val="1"/>
      <w:marLeft w:val="0"/>
      <w:marRight w:val="0"/>
      <w:marTop w:val="0"/>
      <w:marBottom w:val="0"/>
      <w:divBdr>
        <w:top w:val="none" w:sz="0" w:space="0" w:color="auto"/>
        <w:left w:val="none" w:sz="0" w:space="0" w:color="auto"/>
        <w:bottom w:val="none" w:sz="0" w:space="0" w:color="auto"/>
        <w:right w:val="none" w:sz="0" w:space="0" w:color="auto"/>
      </w:divBdr>
    </w:div>
    <w:div w:id="390230370">
      <w:bodyDiv w:val="1"/>
      <w:marLeft w:val="0"/>
      <w:marRight w:val="0"/>
      <w:marTop w:val="0"/>
      <w:marBottom w:val="0"/>
      <w:divBdr>
        <w:top w:val="none" w:sz="0" w:space="0" w:color="auto"/>
        <w:left w:val="none" w:sz="0" w:space="0" w:color="auto"/>
        <w:bottom w:val="none" w:sz="0" w:space="0" w:color="auto"/>
        <w:right w:val="none" w:sz="0" w:space="0" w:color="auto"/>
      </w:divBdr>
    </w:div>
    <w:div w:id="407656186">
      <w:bodyDiv w:val="1"/>
      <w:marLeft w:val="0"/>
      <w:marRight w:val="0"/>
      <w:marTop w:val="0"/>
      <w:marBottom w:val="0"/>
      <w:divBdr>
        <w:top w:val="none" w:sz="0" w:space="0" w:color="auto"/>
        <w:left w:val="none" w:sz="0" w:space="0" w:color="auto"/>
        <w:bottom w:val="none" w:sz="0" w:space="0" w:color="auto"/>
        <w:right w:val="none" w:sz="0" w:space="0" w:color="auto"/>
      </w:divBdr>
    </w:div>
    <w:div w:id="491261271">
      <w:bodyDiv w:val="1"/>
      <w:marLeft w:val="0"/>
      <w:marRight w:val="0"/>
      <w:marTop w:val="0"/>
      <w:marBottom w:val="0"/>
      <w:divBdr>
        <w:top w:val="none" w:sz="0" w:space="0" w:color="auto"/>
        <w:left w:val="none" w:sz="0" w:space="0" w:color="auto"/>
        <w:bottom w:val="none" w:sz="0" w:space="0" w:color="auto"/>
        <w:right w:val="none" w:sz="0" w:space="0" w:color="auto"/>
      </w:divBdr>
    </w:div>
    <w:div w:id="494999252">
      <w:bodyDiv w:val="1"/>
      <w:marLeft w:val="0"/>
      <w:marRight w:val="0"/>
      <w:marTop w:val="0"/>
      <w:marBottom w:val="0"/>
      <w:divBdr>
        <w:top w:val="none" w:sz="0" w:space="0" w:color="auto"/>
        <w:left w:val="none" w:sz="0" w:space="0" w:color="auto"/>
        <w:bottom w:val="none" w:sz="0" w:space="0" w:color="auto"/>
        <w:right w:val="none" w:sz="0" w:space="0" w:color="auto"/>
      </w:divBdr>
    </w:div>
    <w:div w:id="668219950">
      <w:bodyDiv w:val="1"/>
      <w:marLeft w:val="0"/>
      <w:marRight w:val="0"/>
      <w:marTop w:val="0"/>
      <w:marBottom w:val="0"/>
      <w:divBdr>
        <w:top w:val="none" w:sz="0" w:space="0" w:color="auto"/>
        <w:left w:val="none" w:sz="0" w:space="0" w:color="auto"/>
        <w:bottom w:val="none" w:sz="0" w:space="0" w:color="auto"/>
        <w:right w:val="none" w:sz="0" w:space="0" w:color="auto"/>
      </w:divBdr>
    </w:div>
    <w:div w:id="790365795">
      <w:bodyDiv w:val="1"/>
      <w:marLeft w:val="0"/>
      <w:marRight w:val="0"/>
      <w:marTop w:val="0"/>
      <w:marBottom w:val="0"/>
      <w:divBdr>
        <w:top w:val="none" w:sz="0" w:space="0" w:color="auto"/>
        <w:left w:val="none" w:sz="0" w:space="0" w:color="auto"/>
        <w:bottom w:val="none" w:sz="0" w:space="0" w:color="auto"/>
        <w:right w:val="none" w:sz="0" w:space="0" w:color="auto"/>
      </w:divBdr>
    </w:div>
    <w:div w:id="849609354">
      <w:bodyDiv w:val="1"/>
      <w:marLeft w:val="0"/>
      <w:marRight w:val="0"/>
      <w:marTop w:val="0"/>
      <w:marBottom w:val="0"/>
      <w:divBdr>
        <w:top w:val="none" w:sz="0" w:space="0" w:color="auto"/>
        <w:left w:val="none" w:sz="0" w:space="0" w:color="auto"/>
        <w:bottom w:val="none" w:sz="0" w:space="0" w:color="auto"/>
        <w:right w:val="none" w:sz="0" w:space="0" w:color="auto"/>
      </w:divBdr>
    </w:div>
    <w:div w:id="1001547736">
      <w:bodyDiv w:val="1"/>
      <w:marLeft w:val="0"/>
      <w:marRight w:val="0"/>
      <w:marTop w:val="0"/>
      <w:marBottom w:val="0"/>
      <w:divBdr>
        <w:top w:val="none" w:sz="0" w:space="0" w:color="auto"/>
        <w:left w:val="none" w:sz="0" w:space="0" w:color="auto"/>
        <w:bottom w:val="none" w:sz="0" w:space="0" w:color="auto"/>
        <w:right w:val="none" w:sz="0" w:space="0" w:color="auto"/>
      </w:divBdr>
      <w:divsChild>
        <w:div w:id="168755885">
          <w:marLeft w:val="0"/>
          <w:marRight w:val="0"/>
          <w:marTop w:val="0"/>
          <w:marBottom w:val="0"/>
          <w:divBdr>
            <w:top w:val="none" w:sz="0" w:space="0" w:color="auto"/>
            <w:left w:val="none" w:sz="0" w:space="0" w:color="auto"/>
            <w:bottom w:val="none" w:sz="0" w:space="0" w:color="auto"/>
            <w:right w:val="none" w:sz="0" w:space="0" w:color="auto"/>
          </w:divBdr>
          <w:divsChild>
            <w:div w:id="505945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67414687">
      <w:bodyDiv w:val="1"/>
      <w:marLeft w:val="0"/>
      <w:marRight w:val="0"/>
      <w:marTop w:val="0"/>
      <w:marBottom w:val="0"/>
      <w:divBdr>
        <w:top w:val="none" w:sz="0" w:space="0" w:color="auto"/>
        <w:left w:val="none" w:sz="0" w:space="0" w:color="auto"/>
        <w:bottom w:val="none" w:sz="0" w:space="0" w:color="auto"/>
        <w:right w:val="none" w:sz="0" w:space="0" w:color="auto"/>
      </w:divBdr>
    </w:div>
    <w:div w:id="1096443755">
      <w:bodyDiv w:val="1"/>
      <w:marLeft w:val="0"/>
      <w:marRight w:val="0"/>
      <w:marTop w:val="0"/>
      <w:marBottom w:val="0"/>
      <w:divBdr>
        <w:top w:val="none" w:sz="0" w:space="0" w:color="auto"/>
        <w:left w:val="none" w:sz="0" w:space="0" w:color="auto"/>
        <w:bottom w:val="none" w:sz="0" w:space="0" w:color="auto"/>
        <w:right w:val="none" w:sz="0" w:space="0" w:color="auto"/>
      </w:divBdr>
    </w:div>
    <w:div w:id="1107385033">
      <w:bodyDiv w:val="1"/>
      <w:marLeft w:val="0"/>
      <w:marRight w:val="0"/>
      <w:marTop w:val="0"/>
      <w:marBottom w:val="0"/>
      <w:divBdr>
        <w:top w:val="none" w:sz="0" w:space="0" w:color="auto"/>
        <w:left w:val="none" w:sz="0" w:space="0" w:color="auto"/>
        <w:bottom w:val="none" w:sz="0" w:space="0" w:color="auto"/>
        <w:right w:val="none" w:sz="0" w:space="0" w:color="auto"/>
      </w:divBdr>
    </w:div>
    <w:div w:id="1136292091">
      <w:bodyDiv w:val="1"/>
      <w:marLeft w:val="0"/>
      <w:marRight w:val="0"/>
      <w:marTop w:val="0"/>
      <w:marBottom w:val="0"/>
      <w:divBdr>
        <w:top w:val="none" w:sz="0" w:space="0" w:color="auto"/>
        <w:left w:val="none" w:sz="0" w:space="0" w:color="auto"/>
        <w:bottom w:val="none" w:sz="0" w:space="0" w:color="auto"/>
        <w:right w:val="none" w:sz="0" w:space="0" w:color="auto"/>
      </w:divBdr>
    </w:div>
    <w:div w:id="1259212823">
      <w:bodyDiv w:val="1"/>
      <w:marLeft w:val="0"/>
      <w:marRight w:val="0"/>
      <w:marTop w:val="0"/>
      <w:marBottom w:val="0"/>
      <w:divBdr>
        <w:top w:val="none" w:sz="0" w:space="0" w:color="auto"/>
        <w:left w:val="none" w:sz="0" w:space="0" w:color="auto"/>
        <w:bottom w:val="none" w:sz="0" w:space="0" w:color="auto"/>
        <w:right w:val="none" w:sz="0" w:space="0" w:color="auto"/>
      </w:divBdr>
    </w:div>
    <w:div w:id="1519274079">
      <w:bodyDiv w:val="1"/>
      <w:marLeft w:val="0"/>
      <w:marRight w:val="0"/>
      <w:marTop w:val="0"/>
      <w:marBottom w:val="0"/>
      <w:divBdr>
        <w:top w:val="none" w:sz="0" w:space="0" w:color="auto"/>
        <w:left w:val="none" w:sz="0" w:space="0" w:color="auto"/>
        <w:bottom w:val="none" w:sz="0" w:space="0" w:color="auto"/>
        <w:right w:val="none" w:sz="0" w:space="0" w:color="auto"/>
      </w:divBdr>
    </w:div>
    <w:div w:id="1651514739">
      <w:bodyDiv w:val="1"/>
      <w:marLeft w:val="0"/>
      <w:marRight w:val="0"/>
      <w:marTop w:val="0"/>
      <w:marBottom w:val="0"/>
      <w:divBdr>
        <w:top w:val="none" w:sz="0" w:space="0" w:color="auto"/>
        <w:left w:val="none" w:sz="0" w:space="0" w:color="auto"/>
        <w:bottom w:val="none" w:sz="0" w:space="0" w:color="auto"/>
        <w:right w:val="none" w:sz="0" w:space="0" w:color="auto"/>
      </w:divBdr>
    </w:div>
    <w:div w:id="1706296435">
      <w:bodyDiv w:val="1"/>
      <w:marLeft w:val="0"/>
      <w:marRight w:val="0"/>
      <w:marTop w:val="0"/>
      <w:marBottom w:val="0"/>
      <w:divBdr>
        <w:top w:val="none" w:sz="0" w:space="0" w:color="auto"/>
        <w:left w:val="none" w:sz="0" w:space="0" w:color="auto"/>
        <w:bottom w:val="none" w:sz="0" w:space="0" w:color="auto"/>
        <w:right w:val="none" w:sz="0" w:space="0" w:color="auto"/>
      </w:divBdr>
    </w:div>
    <w:div w:id="1725325090">
      <w:bodyDiv w:val="1"/>
      <w:marLeft w:val="0"/>
      <w:marRight w:val="0"/>
      <w:marTop w:val="0"/>
      <w:marBottom w:val="0"/>
      <w:divBdr>
        <w:top w:val="none" w:sz="0" w:space="0" w:color="auto"/>
        <w:left w:val="none" w:sz="0" w:space="0" w:color="auto"/>
        <w:bottom w:val="none" w:sz="0" w:space="0" w:color="auto"/>
        <w:right w:val="none" w:sz="0" w:space="0" w:color="auto"/>
      </w:divBdr>
    </w:div>
    <w:div w:id="1822387644">
      <w:bodyDiv w:val="1"/>
      <w:marLeft w:val="0"/>
      <w:marRight w:val="0"/>
      <w:marTop w:val="0"/>
      <w:marBottom w:val="0"/>
      <w:divBdr>
        <w:top w:val="none" w:sz="0" w:space="0" w:color="auto"/>
        <w:left w:val="none" w:sz="0" w:space="0" w:color="auto"/>
        <w:bottom w:val="none" w:sz="0" w:space="0" w:color="auto"/>
        <w:right w:val="none" w:sz="0" w:space="0" w:color="auto"/>
      </w:divBdr>
    </w:div>
    <w:div w:id="1905066684">
      <w:bodyDiv w:val="1"/>
      <w:marLeft w:val="0"/>
      <w:marRight w:val="0"/>
      <w:marTop w:val="0"/>
      <w:marBottom w:val="0"/>
      <w:divBdr>
        <w:top w:val="none" w:sz="0" w:space="0" w:color="auto"/>
        <w:left w:val="none" w:sz="0" w:space="0" w:color="auto"/>
        <w:bottom w:val="none" w:sz="0" w:space="0" w:color="auto"/>
        <w:right w:val="none" w:sz="0" w:space="0" w:color="auto"/>
      </w:divBdr>
    </w:div>
    <w:div w:id="2055346031">
      <w:bodyDiv w:val="1"/>
      <w:marLeft w:val="0"/>
      <w:marRight w:val="0"/>
      <w:marTop w:val="0"/>
      <w:marBottom w:val="0"/>
      <w:divBdr>
        <w:top w:val="none" w:sz="0" w:space="0" w:color="auto"/>
        <w:left w:val="none" w:sz="0" w:space="0" w:color="auto"/>
        <w:bottom w:val="none" w:sz="0" w:space="0" w:color="auto"/>
        <w:right w:val="none" w:sz="0" w:space="0" w:color="auto"/>
      </w:divBdr>
    </w:div>
    <w:div w:id="20891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agenda/en/news/contributions-and-preliminary-trends-public-consultation-egovernment-action-plan-2016-2020" TargetMode="External"/><Relationship Id="rId2" Type="http://schemas.openxmlformats.org/officeDocument/2006/relationships/hyperlink" Target="https://ec.europa.eu/digital-agenda/en/news/mid-term-evaluation-e-government-action-plan-2011-2015-implementation-smart-2012-006020" TargetMode="External"/><Relationship Id="rId1" Type="http://schemas.openxmlformats.org/officeDocument/2006/relationships/hyperlink" Target="https://ec.europa.eu/digital-agenda/en/news/mid-term-evaluation-e-government-action-plan-2011-2015-implementation-smart-2012-006020" TargetMode="External"/><Relationship Id="rId6" Type="http://schemas.openxmlformats.org/officeDocument/2006/relationships/hyperlink" Target="http://eur-lex.europa.eu/LexUriServ/LexUriServ.do?uri=OJ:L:2007:108:0001:0014:en:PDF" TargetMode="External"/><Relationship Id="rId5" Type="http://schemas.openxmlformats.org/officeDocument/2006/relationships/hyperlink" Target="http://data.europa.e/europeandataportal" TargetMode="External"/><Relationship Id="rId4" Type="http://schemas.openxmlformats.org/officeDocument/2006/relationships/hyperlink" Target="http://open-dat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0976-E0DC-4E45-97EB-9C5AAEE4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4135</Words>
  <Characters>24329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2016-04-01T13:54:00Z</cp:lastPrinted>
  <dcterms:created xsi:type="dcterms:W3CDTF">2016-04-06T13:08:00Z</dcterms:created>
  <dcterms:modified xsi:type="dcterms:W3CDTF">2016-04-11T09:30:00Z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ffisync_ServerID">
    <vt:lpwstr>0d3b22a6-6203-4efc-8e8e-b5279256493b</vt:lpwstr>
  </property>
  <property fmtid="{D5CDD505-2E9C-101B-9397-08002B2CF9AE}" pid="6" name="Offisync_ProviderInitializationData">
    <vt:lpwstr>https://connected.cnect.cec.eu.int/</vt:lpwstr>
  </property>
  <property fmtid="{D5CDD505-2E9C-101B-9397-08002B2CF9AE}" pid="7" name="Offisync_UpdateToken">
    <vt:lpwstr>1</vt:lpwstr>
  </property>
  <property fmtid="{D5CDD505-2E9C-101B-9397-08002B2CF9AE}" pid="8" name="Jive_PrevVersionNumber">
    <vt:lpwstr>-1</vt:lpwstr>
  </property>
  <property fmtid="{D5CDD505-2E9C-101B-9397-08002B2CF9AE}" pid="9" name="Jive_LatestUserAccountName">
    <vt:lpwstr>jungeje</vt:lpwstr>
  </property>
  <property fmtid="{D5CDD505-2E9C-101B-9397-08002B2CF9AE}" pid="10" name="Jive_LatestFileFullName">
    <vt:lpwstr>716c2c9198d57e7c467570f733f51549</vt:lpwstr>
  </property>
  <property fmtid="{D5CDD505-2E9C-101B-9397-08002B2CF9AE}" pid="11" name="Jive_ModifiedButNotPublished">
    <vt:lpwstr>True</vt:lpwstr>
  </property>
  <property fmtid="{D5CDD505-2E9C-101B-9397-08002B2CF9AE}" pid="12" name="Offisync_UniqueId">
    <vt:lpwstr>78991</vt:lpwstr>
  </property>
  <property fmtid="{D5CDD505-2E9C-101B-9397-08002B2CF9AE}" pid="13" name="DocStatus">
    <vt:lpwstr>Green</vt:lpwstr>
  </property>
</Properties>
</file>