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63" w:rsidRDefault="00C813F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6DB28DE0ED24459A5F7E5540DC2438F" style="width:450.75pt;height:379.5pt">
            <v:imagedata r:id="rId8" o:title=""/>
          </v:shape>
        </w:pict>
      </w:r>
    </w:p>
    <w:p w:rsidR="00961C63" w:rsidRDefault="00961C63">
      <w:pPr>
        <w:rPr>
          <w:noProof/>
        </w:rPr>
        <w:sectPr w:rsidR="00961C63" w:rsidSect="00C813F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961C63" w:rsidRDefault="00C813FC">
      <w:pPr>
        <w:pStyle w:val="Exposdesmotifstitre"/>
        <w:rPr>
          <w:noProof/>
        </w:rPr>
      </w:pPr>
      <w:r>
        <w:rPr>
          <w:noProof/>
        </w:rPr>
        <w:lastRenderedPageBreak/>
        <w:t>EXPOSÉ DES MOTIFS</w:t>
      </w:r>
    </w:p>
    <w:p w:rsidR="00961C63" w:rsidRDefault="00C813FC">
      <w:pPr>
        <w:pStyle w:val="ManualHeading1"/>
        <w:rPr>
          <w:noProof/>
        </w:rPr>
      </w:pPr>
      <w:r>
        <w:rPr>
          <w:noProof/>
        </w:rPr>
        <w:t>1.</w:t>
      </w:r>
      <w:r>
        <w:rPr>
          <w:noProof/>
        </w:rPr>
        <w:tab/>
        <w:t>CONTEXTE DE LA PROPOSITION</w:t>
      </w:r>
    </w:p>
    <w:p w:rsidR="00961C63" w:rsidRDefault="00C813FC">
      <w:pPr>
        <w:pStyle w:val="Bullet0"/>
        <w:numPr>
          <w:ilvl w:val="0"/>
          <w:numId w:val="1"/>
        </w:numPr>
        <w:rPr>
          <w:b/>
          <w:noProof/>
        </w:rPr>
      </w:pPr>
      <w:r>
        <w:rPr>
          <w:b/>
          <w:noProof/>
        </w:rPr>
        <w:t>Motivation et objectifs de la proposition</w:t>
      </w:r>
    </w:p>
    <w:p w:rsidR="00961C63" w:rsidRDefault="00C813FC">
      <w:pPr>
        <w:rPr>
          <w:noProof/>
          <w:color w:val="000000"/>
          <w:szCs w:val="20"/>
        </w:rPr>
      </w:pPr>
      <w:r>
        <w:rPr>
          <w:noProof/>
        </w:rPr>
        <w:t>La proposition</w:t>
      </w:r>
      <w:r>
        <w:rPr>
          <w:noProof/>
        </w:rPr>
        <w:t xml:space="preserve"> ci-jointe de décision du Conseil définit la position de l’Union sur une décision du sous-comité sanitaire et phytosanitaire en application de l’accord d’association entre l’Union européenne et la Communauté européenne de l’énergie atomique et leurs États </w:t>
      </w:r>
      <w:r>
        <w:rPr>
          <w:noProof/>
        </w:rPr>
        <w:t>membres, d’une part, et la République de Moldavie, d’autre part (ci-après l’«accord») en ce qui concerne la modification de l’annexe XXIV de l’accord.</w:t>
      </w:r>
      <w:r>
        <w:rPr>
          <w:noProof/>
          <w:color w:val="000000"/>
        </w:rPr>
        <w:t xml:space="preserve"> L’accord a été signé le 27 juin 2014 et est appliqué à titre provisoire depuis le 1</w:t>
      </w:r>
      <w:r>
        <w:rPr>
          <w:noProof/>
          <w:color w:val="000000"/>
          <w:vertAlign w:val="superscript"/>
        </w:rPr>
        <w:t>er</w:t>
      </w:r>
      <w:r>
        <w:rPr>
          <w:noProof/>
          <w:color w:val="000000"/>
        </w:rPr>
        <w:t xml:space="preserve"> septembre 2014. </w:t>
      </w:r>
    </w:p>
    <w:p w:rsidR="00961C63" w:rsidRDefault="00C813FC">
      <w:pPr>
        <w:rPr>
          <w:noProof/>
          <w:color w:val="000000"/>
          <w:szCs w:val="20"/>
        </w:rPr>
      </w:pPr>
      <w:r>
        <w:rPr>
          <w:noProof/>
          <w:color w:val="000000"/>
        </w:rPr>
        <w:t>La</w:t>
      </w:r>
      <w:r>
        <w:rPr>
          <w:noProof/>
          <w:color w:val="000000"/>
        </w:rPr>
        <w:t xml:space="preserve"> modification proposée vise à mettre en œuvre les dispositions du chapitre 4 (Mesures sanitaires et phytosanitaires) du titre V (Commerce et questions liées au commerce) de l’accord. En particulier, à l’article 181 de l’accord, la République de Moldavie s’</w:t>
      </w:r>
      <w:r>
        <w:rPr>
          <w:noProof/>
          <w:color w:val="000000"/>
        </w:rPr>
        <w:t>est engagée à présenter une liste de l’acquis de l’Union en matière sanitaire et phytosanitaire sur lequel elle entend aligner sa législation interne. Cette liste sera ajoutée à l’annexe XXIV de l’accord, par décision du sous-comité sanitaire et phytosanit</w:t>
      </w:r>
      <w:r>
        <w:rPr>
          <w:noProof/>
          <w:color w:val="000000"/>
        </w:rPr>
        <w:t>aire UE-République de Moldavie.</w:t>
      </w:r>
    </w:p>
    <w:p w:rsidR="00961C63" w:rsidRDefault="00C813FC">
      <w:pPr>
        <w:pStyle w:val="Bullet0"/>
        <w:numPr>
          <w:ilvl w:val="0"/>
          <w:numId w:val="2"/>
        </w:numPr>
        <w:rPr>
          <w:b/>
          <w:noProof/>
          <w:color w:val="000000"/>
          <w:szCs w:val="20"/>
        </w:rPr>
      </w:pPr>
      <w:r>
        <w:rPr>
          <w:b/>
          <w:noProof/>
          <w:color w:val="000000"/>
        </w:rPr>
        <w:t>Cohérence avec les dispositions existantes dans le domaine d’action</w:t>
      </w:r>
    </w:p>
    <w:p w:rsidR="00961C63" w:rsidRDefault="00C813FC">
      <w:pPr>
        <w:rPr>
          <w:noProof/>
          <w:color w:val="000000"/>
          <w:szCs w:val="20"/>
        </w:rPr>
      </w:pPr>
      <w:r>
        <w:rPr>
          <w:noProof/>
          <w:color w:val="000000"/>
        </w:rPr>
        <w:t>La proposition met en œuvre la politique commerciale commune de l’Union vis-à-vis de la République de Moldavie, un pays partenaire de la politique de voisin</w:t>
      </w:r>
      <w:r>
        <w:rPr>
          <w:noProof/>
          <w:color w:val="000000"/>
        </w:rPr>
        <w:t xml:space="preserve">age oriental, sur la base des dispositions de l’accord, et notamment son objectif consistant à créer une zone de libre-échange entre les parties. La proposition met en œuvre les dispositions de l’accord visant à stimuler les échanges de produits agricoles </w:t>
      </w:r>
      <w:r>
        <w:rPr>
          <w:noProof/>
          <w:color w:val="000000"/>
        </w:rPr>
        <w:t xml:space="preserve">entre les parties et, en particulier, à améliorer les capacités d’exportation agricole de la République de Moldavie, sur la base de l’acquis de l’Union. </w:t>
      </w:r>
    </w:p>
    <w:p w:rsidR="00961C63" w:rsidRDefault="00C813FC">
      <w:pPr>
        <w:pStyle w:val="Bullet0"/>
        <w:numPr>
          <w:ilvl w:val="0"/>
          <w:numId w:val="2"/>
        </w:numPr>
        <w:rPr>
          <w:b/>
          <w:noProof/>
        </w:rPr>
      </w:pPr>
      <w:r>
        <w:rPr>
          <w:b/>
          <w:noProof/>
        </w:rPr>
        <w:t>Cohérence avec les autres politiques de l’Union</w:t>
      </w:r>
    </w:p>
    <w:p w:rsidR="00961C63" w:rsidRDefault="00C813FC">
      <w:pPr>
        <w:rPr>
          <w:noProof/>
          <w:color w:val="000000"/>
          <w:szCs w:val="20"/>
        </w:rPr>
      </w:pPr>
      <w:r>
        <w:rPr>
          <w:noProof/>
          <w:color w:val="000000"/>
        </w:rPr>
        <w:t>La proposition s’inscrit dans la logique des autres po</w:t>
      </w:r>
      <w:r>
        <w:rPr>
          <w:noProof/>
          <w:color w:val="000000"/>
        </w:rPr>
        <w:t>litiques extérieures de l’Union et elle les complète, notamment la politique européenne de voisinage et la politique de coopération au développement à l’égard de la République de Moldavie.</w:t>
      </w:r>
    </w:p>
    <w:p w:rsidR="00961C63" w:rsidRDefault="00C813FC">
      <w:pPr>
        <w:pStyle w:val="ManualHeading1"/>
        <w:rPr>
          <w:noProof/>
        </w:rPr>
      </w:pPr>
      <w:r>
        <w:rPr>
          <w:noProof/>
        </w:rPr>
        <w:t>2.</w:t>
      </w:r>
      <w:r>
        <w:rPr>
          <w:noProof/>
        </w:rPr>
        <w:tab/>
        <w:t>BASE JURIDIQUE, SUBSIDIARITÉ ET PROPORTIONNALITÉ</w:t>
      </w:r>
    </w:p>
    <w:p w:rsidR="00961C63" w:rsidRDefault="00C813FC">
      <w:pPr>
        <w:pStyle w:val="Bullet0"/>
        <w:numPr>
          <w:ilvl w:val="0"/>
          <w:numId w:val="2"/>
        </w:numPr>
        <w:rPr>
          <w:b/>
          <w:noProof/>
          <w:color w:val="000000"/>
          <w:szCs w:val="20"/>
        </w:rPr>
      </w:pPr>
      <w:r>
        <w:rPr>
          <w:b/>
          <w:noProof/>
          <w:color w:val="000000"/>
        </w:rPr>
        <w:t>Base juridique</w:t>
      </w:r>
    </w:p>
    <w:p w:rsidR="00961C63" w:rsidRDefault="00C813FC">
      <w:pPr>
        <w:autoSpaceDE w:val="0"/>
        <w:autoSpaceDN w:val="0"/>
        <w:adjustRightInd w:val="0"/>
        <w:rPr>
          <w:noProof/>
          <w:color w:val="000000"/>
          <w:szCs w:val="20"/>
        </w:rPr>
      </w:pPr>
      <w:r>
        <w:rPr>
          <w:noProof/>
        </w:rPr>
        <w:t>La base juridique permettant de déterminer la position à adopter par l’Union au sein des comités institués par l’accord est le traité sur le fonctionnement de l’Union européenne (ci-après le «TFUE»), et notamment son article 207, paragraphe 4, en liaison a</w:t>
      </w:r>
      <w:r>
        <w:rPr>
          <w:noProof/>
        </w:rPr>
        <w:t>vec son article 218, paragraphe 9.</w:t>
      </w:r>
      <w:r>
        <w:rPr>
          <w:noProof/>
          <w:color w:val="000000"/>
        </w:rPr>
        <w:t xml:space="preserve"> </w:t>
      </w:r>
    </w:p>
    <w:p w:rsidR="00961C63" w:rsidRDefault="00C813FC">
      <w:pPr>
        <w:pStyle w:val="Bullet0"/>
        <w:numPr>
          <w:ilvl w:val="0"/>
          <w:numId w:val="2"/>
        </w:numPr>
        <w:rPr>
          <w:b/>
          <w:noProof/>
        </w:rPr>
      </w:pPr>
      <w:r>
        <w:rPr>
          <w:b/>
          <w:noProof/>
        </w:rPr>
        <w:t>Subsidiarité (en cas de compétence non exclusive)</w:t>
      </w:r>
    </w:p>
    <w:p w:rsidR="00961C63" w:rsidRDefault="00C813FC">
      <w:pPr>
        <w:rPr>
          <w:noProof/>
        </w:rPr>
      </w:pPr>
      <w:r>
        <w:rPr>
          <w:noProof/>
        </w:rPr>
        <w:t>En vertu de l’article 3 du TFUE, la politique commerciale commune est une compétence exclusive de l’Union. Par conséquent, le principe de subsidiarité ne s’applique pas.</w:t>
      </w:r>
    </w:p>
    <w:p w:rsidR="00961C63" w:rsidRDefault="00C813FC">
      <w:pPr>
        <w:pStyle w:val="Bullet0"/>
        <w:numPr>
          <w:ilvl w:val="0"/>
          <w:numId w:val="2"/>
        </w:numPr>
        <w:rPr>
          <w:noProof/>
        </w:rPr>
      </w:pPr>
      <w:r>
        <w:rPr>
          <w:b/>
          <w:noProof/>
          <w:color w:val="000000"/>
        </w:rPr>
        <w:t>Proportionnalité</w:t>
      </w:r>
    </w:p>
    <w:p w:rsidR="00961C63" w:rsidRDefault="00C813FC">
      <w:pPr>
        <w:rPr>
          <w:noProof/>
        </w:rPr>
      </w:pPr>
      <w:r>
        <w:rPr>
          <w:noProof/>
        </w:rPr>
        <w:t xml:space="preserve">La proposition est nécessaire à la mise en œuvre des engagements internationaux de l’Union énoncés dans l’accord. </w:t>
      </w:r>
    </w:p>
    <w:p w:rsidR="00961C63" w:rsidRDefault="00C813FC">
      <w:pPr>
        <w:pStyle w:val="Bullet0"/>
        <w:numPr>
          <w:ilvl w:val="0"/>
          <w:numId w:val="2"/>
        </w:numPr>
        <w:rPr>
          <w:b/>
          <w:noProof/>
        </w:rPr>
      </w:pPr>
      <w:r>
        <w:rPr>
          <w:b/>
          <w:noProof/>
        </w:rPr>
        <w:t>Choix de l’instrument</w:t>
      </w:r>
    </w:p>
    <w:p w:rsidR="00961C63" w:rsidRDefault="00C813FC">
      <w:pPr>
        <w:rPr>
          <w:noProof/>
        </w:rPr>
      </w:pPr>
      <w:r>
        <w:rPr>
          <w:noProof/>
        </w:rPr>
        <w:lastRenderedPageBreak/>
        <w:t xml:space="preserve">La proposition est conforme à l’article 218, paragraphe 9, du TFUE, qui prévoit l’adoption de décisions par le Conseil en pareille situation. Aucun autre instrument juridique ne permettrait d’atteindre l’objectif énoncé dans la proposition. </w:t>
      </w:r>
    </w:p>
    <w:p w:rsidR="00961C63" w:rsidRDefault="00C813FC">
      <w:pPr>
        <w:pStyle w:val="ManualHeading1"/>
        <w:rPr>
          <w:noProof/>
        </w:rPr>
      </w:pPr>
      <w:r>
        <w:rPr>
          <w:noProof/>
        </w:rPr>
        <w:t>3.</w:t>
      </w:r>
      <w:r>
        <w:rPr>
          <w:noProof/>
        </w:rPr>
        <w:tab/>
        <w:t xml:space="preserve">RÉSULTATS </w:t>
      </w:r>
      <w:r>
        <w:rPr>
          <w:noProof/>
        </w:rPr>
        <w:t>DES ÉVALUATIONS EX POST, DES CONSULTATIONS DES PARTIES INTÉRESSÉES ET DES ANALYSES D’IMPACT</w:t>
      </w:r>
    </w:p>
    <w:p w:rsidR="00961C63" w:rsidRDefault="00C813FC">
      <w:pPr>
        <w:pStyle w:val="Bullet0"/>
        <w:numPr>
          <w:ilvl w:val="0"/>
          <w:numId w:val="2"/>
        </w:numPr>
        <w:rPr>
          <w:b/>
          <w:noProof/>
          <w:bdr w:val="none" w:sz="0" w:space="0" w:color="auto" w:frame="1"/>
        </w:rPr>
      </w:pPr>
      <w:r>
        <w:rPr>
          <w:b/>
          <w:noProof/>
        </w:rPr>
        <w:t xml:space="preserve">Évaluations </w:t>
      </w:r>
      <w:r>
        <w:rPr>
          <w:b/>
          <w:noProof/>
          <w:bdr w:val="none" w:sz="0" w:space="0" w:color="auto" w:frame="1"/>
        </w:rPr>
        <w:t xml:space="preserve">ex-post </w:t>
      </w:r>
      <w:r>
        <w:rPr>
          <w:b/>
          <w:noProof/>
        </w:rPr>
        <w:t>/bilans de qualité de la législation existante</w:t>
      </w:r>
    </w:p>
    <w:p w:rsidR="00961C63" w:rsidRDefault="00C813FC">
      <w:pPr>
        <w:spacing w:before="0" w:after="240"/>
        <w:rPr>
          <w:rFonts w:eastAsia="Arial Unicode MS"/>
          <w:noProof/>
        </w:rPr>
      </w:pPr>
      <w:r>
        <w:rPr>
          <w:noProof/>
        </w:rPr>
        <w:t>Sans objet.</w:t>
      </w:r>
    </w:p>
    <w:p w:rsidR="00961C63" w:rsidRDefault="00C813FC">
      <w:pPr>
        <w:pStyle w:val="Bullet0"/>
        <w:numPr>
          <w:ilvl w:val="0"/>
          <w:numId w:val="2"/>
        </w:numPr>
        <w:rPr>
          <w:rFonts w:eastAsia="Arial Unicode MS"/>
          <w:b/>
          <w:noProof/>
          <w:bdr w:val="none" w:sz="0" w:space="0" w:color="auto" w:frame="1"/>
        </w:rPr>
      </w:pPr>
      <w:r>
        <w:rPr>
          <w:b/>
          <w:noProof/>
          <w:bdr w:val="none" w:sz="0" w:space="0" w:color="auto" w:frame="1"/>
        </w:rPr>
        <w:t>Consultation des parties intéressées</w:t>
      </w:r>
    </w:p>
    <w:p w:rsidR="00961C63" w:rsidRDefault="00C813FC">
      <w:pPr>
        <w:keepNext/>
        <w:tabs>
          <w:tab w:val="left" w:pos="850"/>
        </w:tabs>
        <w:outlineLvl w:val="1"/>
        <w:rPr>
          <w:rFonts w:eastAsia="Calibri"/>
          <w:noProof/>
          <w:color w:val="000000"/>
          <w:szCs w:val="20"/>
        </w:rPr>
      </w:pPr>
      <w:r>
        <w:rPr>
          <w:noProof/>
          <w:color w:val="000000"/>
        </w:rPr>
        <w:t>La République de Moldavie a établi la liste de l</w:t>
      </w:r>
      <w:r>
        <w:rPr>
          <w:noProof/>
          <w:color w:val="000000"/>
        </w:rPr>
        <w:t>’acquis de l’Union sur lequel elle envisage d’aligner sa législation interne, conformément aux procédures internes appropriées. La proposition ne nécessite pas la consultation des parties intéressées dans l’UE.</w:t>
      </w:r>
    </w:p>
    <w:p w:rsidR="00961C63" w:rsidRDefault="00C813FC">
      <w:pPr>
        <w:pStyle w:val="Bullet0"/>
        <w:numPr>
          <w:ilvl w:val="0"/>
          <w:numId w:val="2"/>
        </w:numPr>
        <w:rPr>
          <w:rFonts w:eastAsia="Arial Unicode MS"/>
          <w:b/>
          <w:noProof/>
          <w:bdr w:val="none" w:sz="0" w:space="0" w:color="auto" w:frame="1"/>
        </w:rPr>
      </w:pPr>
      <w:r>
        <w:rPr>
          <w:b/>
          <w:noProof/>
          <w:bdr w:val="none" w:sz="0" w:space="0" w:color="auto" w:frame="1"/>
        </w:rPr>
        <w:t>Obtention et utilisation d’expertise</w:t>
      </w:r>
    </w:p>
    <w:p w:rsidR="00961C63" w:rsidRDefault="00C813FC">
      <w:pPr>
        <w:spacing w:before="0" w:after="240"/>
        <w:rPr>
          <w:rFonts w:eastAsia="Arial Unicode MS"/>
          <w:noProof/>
        </w:rPr>
      </w:pPr>
      <w:r>
        <w:rPr>
          <w:noProof/>
        </w:rPr>
        <w:t xml:space="preserve">L’Union </w:t>
      </w:r>
      <w:r>
        <w:rPr>
          <w:noProof/>
        </w:rPr>
        <w:t>a mis son expertise en matière de dispositions sanitaires, phytosanitaires et de bien-être animal à la disposition des autorités de la République de Moldavie dans le cadre de l’établissement de la liste de l’acquis de l’Union destinée au rapprochement de c</w:t>
      </w:r>
      <w:r>
        <w:rPr>
          <w:noProof/>
        </w:rPr>
        <w:t xml:space="preserve">e pays partenaire. </w:t>
      </w:r>
    </w:p>
    <w:p w:rsidR="00961C63" w:rsidRDefault="00C813FC">
      <w:pPr>
        <w:pStyle w:val="Bullet0"/>
        <w:numPr>
          <w:ilvl w:val="0"/>
          <w:numId w:val="2"/>
        </w:numPr>
        <w:rPr>
          <w:rFonts w:eastAsia="Arial Unicode MS"/>
          <w:b/>
          <w:noProof/>
          <w:bdr w:val="none" w:sz="0" w:space="0" w:color="auto" w:frame="1"/>
        </w:rPr>
      </w:pPr>
      <w:r>
        <w:rPr>
          <w:b/>
          <w:noProof/>
          <w:bdr w:val="none" w:sz="0" w:space="0" w:color="auto" w:frame="1"/>
        </w:rPr>
        <w:t>Analyse d’impact</w:t>
      </w:r>
    </w:p>
    <w:p w:rsidR="00961C63" w:rsidRDefault="00C813FC">
      <w:pPr>
        <w:spacing w:before="0" w:after="240"/>
        <w:rPr>
          <w:rFonts w:eastAsia="Calibri"/>
          <w:noProof/>
        </w:rPr>
      </w:pPr>
      <w:r>
        <w:rPr>
          <w:noProof/>
        </w:rPr>
        <w:t>Les dispositions relatives au commerce et aux questions liées au commerce de l’accord ont fait l’objet d’une évaluation d’impact ex ante en 2009, suivie de l’évaluation de l’impact du commerce sur le développement durab</w:t>
      </w:r>
      <w:r>
        <w:rPr>
          <w:noProof/>
        </w:rPr>
        <w:t>le effectuée en 2012 par la DG Trade, qui a alimenté le processus de négociation de l’ALE approfondi et global. Cette étude a confirmé que la mise en œuvre des dispositions relatives au commerce et aux questions liées au commerce n’aurait pas d’incidence n</w:t>
      </w:r>
      <w:r>
        <w:rPr>
          <w:noProof/>
        </w:rPr>
        <w:t>égative sur l’Union, son acquis et ses politiques, alors qu’elle aurait un impact positif sur le développement économique de la République de Moldavie. La proposition n’a aucune incidence sur la politique économique, sociale ou environnementale de l’Union.</w:t>
      </w:r>
      <w:r>
        <w:rPr>
          <w:noProof/>
        </w:rPr>
        <w:t xml:space="preserve"> </w:t>
      </w:r>
    </w:p>
    <w:p w:rsidR="00961C63" w:rsidRDefault="00C813FC">
      <w:pPr>
        <w:pStyle w:val="Bullet0"/>
        <w:numPr>
          <w:ilvl w:val="0"/>
          <w:numId w:val="2"/>
        </w:numPr>
        <w:rPr>
          <w:rFonts w:eastAsia="Arial Unicode MS"/>
          <w:b/>
          <w:noProof/>
          <w:bdr w:val="none" w:sz="0" w:space="0" w:color="auto" w:frame="1"/>
        </w:rPr>
      </w:pPr>
      <w:r>
        <w:rPr>
          <w:b/>
          <w:noProof/>
          <w:bdr w:val="none" w:sz="0" w:space="0" w:color="auto" w:frame="1"/>
        </w:rPr>
        <w:t>Réglementation affûtée et simplification</w:t>
      </w:r>
    </w:p>
    <w:p w:rsidR="00961C63" w:rsidRDefault="00C813FC">
      <w:pPr>
        <w:spacing w:before="0" w:after="240"/>
        <w:rPr>
          <w:rFonts w:eastAsia="Calibri"/>
          <w:noProof/>
        </w:rPr>
      </w:pPr>
      <w:r>
        <w:rPr>
          <w:noProof/>
        </w:rPr>
        <w:t xml:space="preserve">À ce stade, l’accord n’est pas soumis aux procédures du programme REFIT; il n’entraîne pas de coûts pour les PME de l’Union et ne soulève aucun problème du point de vue de l’environnement numérique. </w:t>
      </w:r>
    </w:p>
    <w:p w:rsidR="00961C63" w:rsidRDefault="00C813FC">
      <w:pPr>
        <w:pStyle w:val="Bullet0"/>
        <w:numPr>
          <w:ilvl w:val="0"/>
          <w:numId w:val="2"/>
        </w:numPr>
        <w:rPr>
          <w:rFonts w:eastAsia="Arial Unicode MS"/>
          <w:b/>
          <w:noProof/>
          <w:bdr w:val="none" w:sz="0" w:space="0" w:color="auto" w:frame="1"/>
        </w:rPr>
      </w:pPr>
      <w:r>
        <w:rPr>
          <w:b/>
          <w:noProof/>
          <w:bdr w:val="none" w:sz="0" w:space="0" w:color="auto" w:frame="1"/>
        </w:rPr>
        <w:t>Droits fondam</w:t>
      </w:r>
      <w:r>
        <w:rPr>
          <w:b/>
          <w:noProof/>
          <w:bdr w:val="none" w:sz="0" w:space="0" w:color="auto" w:frame="1"/>
        </w:rPr>
        <w:t>entaux</w:t>
      </w:r>
    </w:p>
    <w:p w:rsidR="00961C63" w:rsidRDefault="00C813FC">
      <w:pPr>
        <w:keepNext/>
        <w:tabs>
          <w:tab w:val="left" w:pos="850"/>
        </w:tabs>
        <w:outlineLvl w:val="1"/>
        <w:rPr>
          <w:rFonts w:eastAsia="Arial Unicode MS"/>
          <w:noProof/>
          <w:bdr w:val="none" w:sz="0" w:space="0" w:color="auto" w:frame="1"/>
        </w:rPr>
      </w:pPr>
      <w:r>
        <w:rPr>
          <w:noProof/>
        </w:rPr>
        <w:t xml:space="preserve">La proposition n’a pas d’incidence sur la protection des droits fondamentaux dans l’Union. </w:t>
      </w:r>
    </w:p>
    <w:p w:rsidR="00961C63" w:rsidRDefault="00C813FC">
      <w:pPr>
        <w:pStyle w:val="ManualHeading1"/>
        <w:rPr>
          <w:rFonts w:eastAsia="Calibri"/>
          <w:noProof/>
        </w:rPr>
      </w:pPr>
      <w:r>
        <w:rPr>
          <w:noProof/>
        </w:rPr>
        <w:t>4.</w:t>
      </w:r>
      <w:r>
        <w:rPr>
          <w:noProof/>
        </w:rPr>
        <w:tab/>
        <w:t>INCIDENCE BUDGÉTAIRE</w:t>
      </w:r>
    </w:p>
    <w:p w:rsidR="00961C63" w:rsidRDefault="00C813FC">
      <w:pPr>
        <w:spacing w:before="0" w:after="240"/>
        <w:rPr>
          <w:rFonts w:eastAsia="Arial Unicode MS"/>
          <w:noProof/>
        </w:rPr>
      </w:pPr>
      <w:r>
        <w:rPr>
          <w:noProof/>
        </w:rPr>
        <w:t>Sans objet.</w:t>
      </w:r>
    </w:p>
    <w:p w:rsidR="00961C63" w:rsidRDefault="00C813FC">
      <w:pPr>
        <w:pStyle w:val="ManualHeading1"/>
        <w:rPr>
          <w:rFonts w:eastAsia="Calibri"/>
          <w:noProof/>
        </w:rPr>
      </w:pPr>
      <w:r>
        <w:rPr>
          <w:noProof/>
        </w:rPr>
        <w:t>5.</w:t>
      </w:r>
      <w:r>
        <w:rPr>
          <w:noProof/>
        </w:rPr>
        <w:tab/>
        <w:t>AUTRES ÉLÉMENTS</w:t>
      </w:r>
    </w:p>
    <w:p w:rsidR="00961C63" w:rsidRDefault="00C813FC">
      <w:pPr>
        <w:pStyle w:val="Bullet0"/>
        <w:numPr>
          <w:ilvl w:val="0"/>
          <w:numId w:val="2"/>
        </w:numPr>
        <w:rPr>
          <w:rFonts w:eastAsia="Arial Unicode MS"/>
          <w:b/>
          <w:noProof/>
          <w:bdr w:val="none" w:sz="0" w:space="0" w:color="auto" w:frame="1"/>
        </w:rPr>
      </w:pPr>
      <w:r>
        <w:rPr>
          <w:b/>
          <w:noProof/>
          <w:bdr w:val="none" w:sz="0" w:space="0" w:color="auto" w:frame="1"/>
        </w:rPr>
        <w:t>Plans de mise en œuvre et modalités de suivi, d’évaluation et d’information</w:t>
      </w:r>
    </w:p>
    <w:p w:rsidR="00961C63" w:rsidRDefault="00C813FC">
      <w:pPr>
        <w:spacing w:before="0" w:after="240"/>
        <w:rPr>
          <w:rFonts w:eastAsia="Arial Unicode MS"/>
          <w:noProof/>
        </w:rPr>
      </w:pPr>
      <w:r>
        <w:rPr>
          <w:noProof/>
        </w:rPr>
        <w:t>La mise en œuvre de l’acco</w:t>
      </w:r>
      <w:r>
        <w:rPr>
          <w:noProof/>
        </w:rPr>
        <w:t>rd est régulièrement évaluée par le conseil d’association UE-République de Moldavie et par ses organes subordonnés établis par l’accord. La Commission européenne s’est également engagée à présenter chaque année un rapport au Parlement européen et au Consei</w:t>
      </w:r>
      <w:r>
        <w:rPr>
          <w:noProof/>
        </w:rPr>
        <w:t>l sur la mise en œuvre du titre V (Commerce et questions liées au commerce) de l’accord, y compris sur les éléments contenus dans la présente proposition.</w:t>
      </w:r>
    </w:p>
    <w:p w:rsidR="00961C63" w:rsidRDefault="00C813FC">
      <w:pPr>
        <w:pStyle w:val="Bullet0"/>
        <w:numPr>
          <w:ilvl w:val="0"/>
          <w:numId w:val="2"/>
        </w:numPr>
        <w:rPr>
          <w:rFonts w:eastAsia="Arial Unicode MS"/>
          <w:b/>
          <w:noProof/>
          <w:bdr w:val="none" w:sz="0" w:space="0" w:color="auto" w:frame="1"/>
        </w:rPr>
      </w:pPr>
      <w:r>
        <w:rPr>
          <w:b/>
          <w:noProof/>
          <w:bdr w:val="none" w:sz="0" w:space="0" w:color="auto" w:frame="1"/>
        </w:rPr>
        <w:t>Documents explicatifs (pour les directives)</w:t>
      </w:r>
    </w:p>
    <w:p w:rsidR="00961C63" w:rsidRDefault="00C813FC">
      <w:pPr>
        <w:spacing w:before="0" w:after="240"/>
        <w:rPr>
          <w:rFonts w:eastAsia="Calibri"/>
          <w:noProof/>
        </w:rPr>
      </w:pPr>
      <w:r>
        <w:rPr>
          <w:noProof/>
        </w:rPr>
        <w:t>Sans objet.</w:t>
      </w:r>
    </w:p>
    <w:p w:rsidR="00961C63" w:rsidRDefault="00C813FC">
      <w:pPr>
        <w:pStyle w:val="Bullet0"/>
        <w:numPr>
          <w:ilvl w:val="0"/>
          <w:numId w:val="2"/>
        </w:numPr>
        <w:rPr>
          <w:rFonts w:eastAsia="Arial Unicode MS"/>
          <w:b/>
          <w:noProof/>
          <w:bdr w:val="none" w:sz="0" w:space="0" w:color="auto" w:frame="1"/>
        </w:rPr>
      </w:pPr>
      <w:r>
        <w:rPr>
          <w:b/>
          <w:noProof/>
          <w:bdr w:val="none" w:sz="0" w:space="0" w:color="auto" w:frame="1"/>
        </w:rPr>
        <w:t>Explication détaillée des différentes disposi</w:t>
      </w:r>
      <w:r>
        <w:rPr>
          <w:b/>
          <w:noProof/>
          <w:bdr w:val="none" w:sz="0" w:space="0" w:color="auto" w:frame="1"/>
        </w:rPr>
        <w:t>tions de la proposition</w:t>
      </w:r>
    </w:p>
    <w:p w:rsidR="00961C63" w:rsidRDefault="00C813FC">
      <w:pPr>
        <w:spacing w:before="0" w:after="240"/>
        <w:rPr>
          <w:rFonts w:eastAsia="Calibri"/>
          <w:noProof/>
          <w:color w:val="000000"/>
          <w:szCs w:val="20"/>
        </w:rPr>
      </w:pPr>
      <w:r>
        <w:rPr>
          <w:noProof/>
          <w:color w:val="000000"/>
        </w:rPr>
        <w:t>La proposition concerne l’adoption d’une position de l’Union sur la modification de l’annexe XXIV-B de l’accord. Conformément à l’article 181, paragraphe 4, de l’accord, cette annexe vise à énoncer l’acquis de l’Union européenne sur</w:t>
      </w:r>
      <w:r>
        <w:rPr>
          <w:noProof/>
          <w:color w:val="000000"/>
        </w:rPr>
        <w:t xml:space="preserve"> lequel la République de Moldavie a l’intention d’aligner sa législation sanitaire, phytosanitaire et en faveur du bien-être des animaux, en vue de l’obtention d’un statut d’équivalence pour un produit ou un groupe de produits tel que prévu à l’article 183</w:t>
      </w:r>
      <w:r>
        <w:rPr>
          <w:noProof/>
          <w:color w:val="000000"/>
        </w:rPr>
        <w:t xml:space="preserve"> de l’accord. </w:t>
      </w:r>
    </w:p>
    <w:p w:rsidR="00961C63" w:rsidRDefault="00C813FC">
      <w:pPr>
        <w:spacing w:before="0" w:after="240"/>
        <w:rPr>
          <w:noProof/>
          <w:color w:val="000000"/>
          <w:szCs w:val="20"/>
        </w:rPr>
      </w:pPr>
      <w:r>
        <w:rPr>
          <w:noProof/>
          <w:color w:val="000000"/>
        </w:rPr>
        <w:t xml:space="preserve">La République de Moldavie a établi une liste de l’acquis de l’Union selon ses procédures internes, a présenté la proposition en novembre 2014 et l’a finalisée, en concertation avec la Commission européenne, en juillet 2015. </w:t>
      </w:r>
    </w:p>
    <w:p w:rsidR="00961C63" w:rsidRDefault="00C813FC">
      <w:pPr>
        <w:rPr>
          <w:noProof/>
          <w:color w:val="000000"/>
          <w:szCs w:val="20"/>
        </w:rPr>
      </w:pPr>
      <w:r>
        <w:rPr>
          <w:noProof/>
          <w:color w:val="000000"/>
        </w:rPr>
        <w:t xml:space="preserve">Le sous-comité </w:t>
      </w:r>
      <w:r>
        <w:rPr>
          <w:noProof/>
          <w:color w:val="000000"/>
        </w:rPr>
        <w:t xml:space="preserve">sanitaire et phytosanitaire UE-République de Moldavie est habilité à prendre une décision sur la modification de l’annexe XXIV-B conformément à l’article 191 de l’accord. Conformément aux dispositions de l’article susmentionné, le sous-comité surveille la </w:t>
      </w:r>
      <w:r>
        <w:rPr>
          <w:noProof/>
          <w:color w:val="000000"/>
        </w:rPr>
        <w:t>mise en œuvre du chapitre 4 (Mesures sanitaires et phytosanitaires) du titre V (Commerce et questions liées au commerce) de l’accord et statue, le cas échéant, sur la modification des annexes XVII à XXV de l’accord.</w:t>
      </w:r>
    </w:p>
    <w:p w:rsidR="00961C63" w:rsidRDefault="00961C63">
      <w:pPr>
        <w:rPr>
          <w:noProof/>
        </w:rPr>
        <w:sectPr w:rsidR="00961C63" w:rsidSect="00C813FC">
          <w:footerReference w:type="default" r:id="rId15"/>
          <w:footerReference w:type="first" r:id="rId16"/>
          <w:pgSz w:w="11907" w:h="16839"/>
          <w:pgMar w:top="1134" w:right="1417" w:bottom="1134" w:left="1417" w:header="709" w:footer="709" w:gutter="0"/>
          <w:cols w:space="708"/>
          <w:docGrid w:linePitch="360"/>
        </w:sectPr>
      </w:pPr>
    </w:p>
    <w:p w:rsidR="00961C63" w:rsidRDefault="00C813FC">
      <w:pPr>
        <w:pStyle w:val="Rfrenceinterinstitutionnelle"/>
        <w:rPr>
          <w:noProof/>
        </w:rPr>
      </w:pPr>
      <w:r>
        <w:rPr>
          <w:noProof/>
        </w:rPr>
        <w:t>2016/0114 (NLE)</w:t>
      </w:r>
    </w:p>
    <w:p w:rsidR="00961C63" w:rsidRDefault="00C813FC">
      <w:pPr>
        <w:pStyle w:val="Statut"/>
        <w:rPr>
          <w:noProof/>
        </w:rPr>
      </w:pPr>
      <w:r>
        <w:rPr>
          <w:noProof/>
        </w:rPr>
        <w:t>Proposition de</w:t>
      </w:r>
    </w:p>
    <w:p w:rsidR="00961C63" w:rsidRDefault="00C813FC">
      <w:pPr>
        <w:pStyle w:val="Typedudocument"/>
        <w:rPr>
          <w:noProof/>
        </w:rPr>
      </w:pPr>
      <w:r>
        <w:rPr>
          <w:noProof/>
        </w:rPr>
        <w:t>DÉCISION DU CONSEIL</w:t>
      </w:r>
    </w:p>
    <w:p w:rsidR="00961C63" w:rsidRDefault="00C813FC">
      <w:pPr>
        <w:pStyle w:val="Titreobjet"/>
        <w:rPr>
          <w:noProof/>
        </w:rPr>
      </w:pPr>
      <w:r>
        <w:rPr>
          <w:noProof/>
        </w:rPr>
        <w:t>relative à la position à adopter au nom de l’Union européenne au sein du sous-comité sanitaire et phytosanitaire institué par l’accord d’associa</w:t>
      </w:r>
      <w:r>
        <w:rPr>
          <w:noProof/>
        </w:rPr>
        <w:t xml:space="preserve">tion entre l’Union européenne et la Communauté européenne de l’énergie atomique et leurs États membres, d’une part, et la République de Moldavie, d’autre part </w:t>
      </w:r>
    </w:p>
    <w:p w:rsidR="00961C63" w:rsidRDefault="00C813FC">
      <w:pPr>
        <w:pStyle w:val="Institutionquiagit"/>
        <w:rPr>
          <w:noProof/>
        </w:rPr>
      </w:pPr>
      <w:r>
        <w:rPr>
          <w:noProof/>
        </w:rPr>
        <w:t>LE CONSEIL DE L’UNION EUROPÉENNE,</w:t>
      </w:r>
    </w:p>
    <w:p w:rsidR="00961C63" w:rsidRDefault="00C813FC">
      <w:pPr>
        <w:rPr>
          <w:noProof/>
        </w:rPr>
      </w:pPr>
      <w:r>
        <w:rPr>
          <w:noProof/>
        </w:rPr>
        <w:t>vu le traité sur le fonctionnement de l’Union européenne, et n</w:t>
      </w:r>
      <w:r>
        <w:rPr>
          <w:noProof/>
        </w:rPr>
        <w:t>otamment son article 207, paragraphe 4, premier alinéa, en liaison avec l’article 218, paragraphe 9,</w:t>
      </w:r>
    </w:p>
    <w:p w:rsidR="00961C63" w:rsidRDefault="00C813FC">
      <w:pPr>
        <w:rPr>
          <w:noProof/>
        </w:rPr>
      </w:pPr>
      <w:r>
        <w:rPr>
          <w:noProof/>
        </w:rPr>
        <w:t>vu la proposition de la Commission européenne,</w:t>
      </w:r>
    </w:p>
    <w:p w:rsidR="00961C63" w:rsidRDefault="00C813FC">
      <w:pPr>
        <w:rPr>
          <w:noProof/>
        </w:rPr>
      </w:pPr>
      <w:r>
        <w:rPr>
          <w:noProof/>
        </w:rPr>
        <w:t>considérant ce qui suit:</w:t>
      </w:r>
    </w:p>
    <w:p w:rsidR="00961C63" w:rsidRDefault="00C813FC">
      <w:pPr>
        <w:pStyle w:val="ManualConsidrant"/>
        <w:rPr>
          <w:noProof/>
        </w:rPr>
      </w:pPr>
      <w:r>
        <w:t>(1)</w:t>
      </w:r>
      <w:r>
        <w:tab/>
      </w:r>
      <w:r>
        <w:rPr>
          <w:noProof/>
        </w:rPr>
        <w:t>L’article 464, paragraphes 3 et 4, de l’accord d’association entre l’Union euro</w:t>
      </w:r>
      <w:r>
        <w:rPr>
          <w:noProof/>
        </w:rPr>
        <w:t>péenne et la Communauté européenne de l’énergie atomique et leurs États membres, d’une part, et la République de Moldavie, d’autre part (ci-après l’«accord») prévoit l’application provisoire de parties de l’accord spécifiées par l’Union.</w:t>
      </w:r>
    </w:p>
    <w:p w:rsidR="00961C63" w:rsidRDefault="00C813FC">
      <w:pPr>
        <w:pStyle w:val="ManualConsidrant"/>
        <w:rPr>
          <w:noProof/>
        </w:rPr>
      </w:pPr>
      <w:r>
        <w:t>(1)</w:t>
      </w:r>
      <w:r>
        <w:tab/>
      </w:r>
      <w:r>
        <w:rPr>
          <w:noProof/>
        </w:rPr>
        <w:t>L’article 3 de</w:t>
      </w:r>
      <w:r>
        <w:rPr>
          <w:noProof/>
        </w:rPr>
        <w:t xml:space="preserve"> la décision 2014/492/UE du Conseil</w:t>
      </w:r>
      <w:r>
        <w:rPr>
          <w:rStyle w:val="FootnoteReference"/>
          <w:noProof/>
        </w:rPr>
        <w:footnoteReference w:id="1"/>
      </w:r>
      <w:r>
        <w:rPr>
          <w:noProof/>
        </w:rPr>
        <w:t xml:space="preserve"> précise les dispositions de l’accord à appliquer à titre provisoire, lesquelles comprennent les dispositions relatives aux mesures sanitaires, phytosanitaires et en faveur du bien-être des animaux, à l’établissement et </w:t>
      </w:r>
      <w:r>
        <w:rPr>
          <w:noProof/>
        </w:rPr>
        <w:t>au fonctionnement du sous-comité sanitaire et phytosanitaire ainsi que les annexes connexes XVII à XXV de l’accord. Conformément à l’article 464, paragraphe 4, de l’accord, l’application provisoire de ces dispositions a pris effet le 1</w:t>
      </w:r>
      <w:r>
        <w:rPr>
          <w:noProof/>
          <w:vertAlign w:val="superscript"/>
        </w:rPr>
        <w:t>er</w:t>
      </w:r>
      <w:r>
        <w:rPr>
          <w:noProof/>
        </w:rPr>
        <w:t> septembre 2014.</w:t>
      </w:r>
    </w:p>
    <w:p w:rsidR="00961C63" w:rsidRDefault="00C813FC">
      <w:pPr>
        <w:pStyle w:val="ManualConsidrant"/>
        <w:rPr>
          <w:noProof/>
        </w:rPr>
      </w:pPr>
      <w:r>
        <w:t>(2</w:t>
      </w:r>
      <w:r>
        <w:t>)</w:t>
      </w:r>
      <w:r>
        <w:tab/>
      </w:r>
      <w:r>
        <w:rPr>
          <w:noProof/>
        </w:rPr>
        <w:t xml:space="preserve">L’article 181 de l’accord prévoit que la République de Moldavie rapproche progressivement sa législation sanitaire, phytosanitaire et relative au bien-être animal de la législation de l’Union selon les modalités définies à l’annexe XXIV de l’accord. </w:t>
      </w:r>
    </w:p>
    <w:p w:rsidR="00961C63" w:rsidRDefault="00C813FC">
      <w:pPr>
        <w:pStyle w:val="ManualConsidrant"/>
        <w:rPr>
          <w:noProof/>
        </w:rPr>
      </w:pPr>
      <w:r>
        <w:t>(3)</w:t>
      </w:r>
      <w:r>
        <w:tab/>
      </w:r>
      <w:r>
        <w:rPr>
          <w:noProof/>
        </w:rPr>
        <w:t>L’article 181, paragraphe 4, de l’accord fait obligation à la République de Moldavie de soumettre une liste de l’acquis de l’Union en ce qui concerne les mesures sanitaires, phytosanitaires et de bien-être des animaux sur lesquelles elle a l’intention d’a</w:t>
      </w:r>
      <w:r>
        <w:rPr>
          <w:noProof/>
        </w:rPr>
        <w:t>ligner sa législation interne, au plus tard trois mois après l’entrée en vigueur de l’accord. Cette liste de mesures de rapprochement doit servir de document de référence pour la mise en œuvre du chapitre 4 (Mesures sanitaires et phytosanitaires) du titre </w:t>
      </w:r>
      <w:r>
        <w:rPr>
          <w:noProof/>
        </w:rPr>
        <w:t>V (Commerce et questions liées au commerce) de l’accord, et doit être ajoutée à l’annexe XXIV de l’accord. En conséquence, l’annexe XXIV-B de l’accord doit être modifiée par une décision du sous-comité sanitaire et phytosanitaire, comme le prévoit l’articl</w:t>
      </w:r>
      <w:r>
        <w:rPr>
          <w:noProof/>
        </w:rPr>
        <w:t>e 191 de l’accord.</w:t>
      </w:r>
    </w:p>
    <w:p w:rsidR="00961C63" w:rsidRDefault="00C813FC">
      <w:pPr>
        <w:pStyle w:val="ManualConsidrant"/>
        <w:rPr>
          <w:noProof/>
        </w:rPr>
      </w:pPr>
      <w:r>
        <w:t>(4)</w:t>
      </w:r>
      <w:r>
        <w:tab/>
      </w:r>
      <w:r>
        <w:rPr>
          <w:noProof/>
        </w:rPr>
        <w:t xml:space="preserve">La République de Moldavie a présenté la liste susmentionnée de l’acquis de l’Union et l’a finalisée, en concertation avec la Commission européenne, en juillet 2015. </w:t>
      </w:r>
    </w:p>
    <w:p w:rsidR="00961C63" w:rsidRDefault="00C813FC">
      <w:pPr>
        <w:pStyle w:val="ManualConsidrant"/>
        <w:rPr>
          <w:noProof/>
        </w:rPr>
      </w:pPr>
      <w:r>
        <w:t>(5)</w:t>
      </w:r>
      <w:r>
        <w:tab/>
      </w:r>
      <w:r>
        <w:rPr>
          <w:noProof/>
        </w:rPr>
        <w:t xml:space="preserve">Il convient dès lors d’établir la position à prendre au nom de </w:t>
      </w:r>
      <w:r>
        <w:rPr>
          <w:noProof/>
        </w:rPr>
        <w:t>l’Union au sein du sous-comité sanitaire et phytosanitaire en ce qui concerne la modification de l’annexe XXIV-B de l’accord,</w:t>
      </w:r>
    </w:p>
    <w:p w:rsidR="00961C63" w:rsidRDefault="00C813FC">
      <w:pPr>
        <w:pStyle w:val="Formuledadoption"/>
        <w:rPr>
          <w:noProof/>
        </w:rPr>
      </w:pPr>
      <w:r>
        <w:rPr>
          <w:noProof/>
        </w:rPr>
        <w:t xml:space="preserve">A ADOPTÉ LA PRÉSENTE DÉCISION: </w:t>
      </w:r>
    </w:p>
    <w:p w:rsidR="00961C63" w:rsidRDefault="00C813FC">
      <w:pPr>
        <w:pStyle w:val="Titrearticle"/>
        <w:rPr>
          <w:noProof/>
        </w:rPr>
      </w:pPr>
      <w:r>
        <w:rPr>
          <w:noProof/>
        </w:rPr>
        <w:t>Article premier</w:t>
      </w:r>
    </w:p>
    <w:p w:rsidR="00961C63" w:rsidRDefault="00C813FC">
      <w:pPr>
        <w:rPr>
          <w:noProof/>
        </w:rPr>
      </w:pPr>
      <w:r>
        <w:rPr>
          <w:noProof/>
        </w:rPr>
        <w:t>La position à adopter par l’Union européenne au sein du sous-comité sanitaire et p</w:t>
      </w:r>
      <w:r>
        <w:rPr>
          <w:noProof/>
        </w:rPr>
        <w:t>hytosanitaire institué par l’article 191 de l’accord d’association entre l’Union européenne et la Communauté européenne de l’énergie atomique et leurs États membres, d’une part, et la République de Moldavie, d’autre part (ci-après l’«accord»), en ce qui co</w:t>
      </w:r>
      <w:r>
        <w:rPr>
          <w:noProof/>
        </w:rPr>
        <w:t>ncerne la modification de l’annexe XXIV-B de l’accord, est fondée sur le projet de décision dudit sous-comité sanitaire et phytosanitaire, joint à la présente décision.</w:t>
      </w:r>
    </w:p>
    <w:p w:rsidR="00961C63" w:rsidRDefault="00C813FC">
      <w:pPr>
        <w:rPr>
          <w:noProof/>
        </w:rPr>
      </w:pPr>
      <w:r>
        <w:rPr>
          <w:noProof/>
        </w:rPr>
        <w:t>Les représentants de l’Union au sein du sous-comité sanitaire et phytosanitaire peuvent</w:t>
      </w:r>
      <w:r>
        <w:rPr>
          <w:noProof/>
        </w:rPr>
        <w:t xml:space="preserve"> accepter que des modifications mineures soient apportées au projet de décision sans que le Conseil doive adopter une nouvelle décision.</w:t>
      </w:r>
    </w:p>
    <w:p w:rsidR="00961C63" w:rsidRDefault="00C813FC">
      <w:pPr>
        <w:pStyle w:val="Titrearticle"/>
        <w:keepNext w:val="0"/>
        <w:rPr>
          <w:noProof/>
        </w:rPr>
      </w:pPr>
      <w:r>
        <w:rPr>
          <w:noProof/>
        </w:rPr>
        <w:t>Article 2</w:t>
      </w:r>
    </w:p>
    <w:p w:rsidR="00961C63" w:rsidRDefault="00C813FC">
      <w:pPr>
        <w:keepLines/>
        <w:rPr>
          <w:noProof/>
        </w:rPr>
      </w:pPr>
      <w:r>
        <w:rPr>
          <w:noProof/>
        </w:rPr>
        <w:t xml:space="preserve">Une fois adoptée, la décision du sous-comité sanitaire et phytosanitaire est publiée au </w:t>
      </w:r>
      <w:r>
        <w:rPr>
          <w:i/>
          <w:noProof/>
        </w:rPr>
        <w:t>Journal officiel de l</w:t>
      </w:r>
      <w:r>
        <w:rPr>
          <w:i/>
          <w:noProof/>
        </w:rPr>
        <w:t>’Union européenne</w:t>
      </w:r>
      <w:r>
        <w:rPr>
          <w:noProof/>
        </w:rPr>
        <w:t xml:space="preserve">. </w:t>
      </w:r>
    </w:p>
    <w:p w:rsidR="00961C63" w:rsidRDefault="00C813FC">
      <w:pPr>
        <w:keepLines/>
        <w:jc w:val="center"/>
        <w:rPr>
          <w:i/>
          <w:noProof/>
        </w:rPr>
      </w:pPr>
      <w:r>
        <w:rPr>
          <w:i/>
          <w:noProof/>
        </w:rPr>
        <w:t>Article 3</w:t>
      </w:r>
    </w:p>
    <w:p w:rsidR="00961C63" w:rsidRDefault="00C813FC">
      <w:pPr>
        <w:keepLines/>
        <w:rPr>
          <w:noProof/>
        </w:rPr>
      </w:pPr>
      <w:r>
        <w:rPr>
          <w:noProof/>
        </w:rPr>
        <w:t>La présente décision entre en vigueur le jour de son adoption.</w:t>
      </w:r>
    </w:p>
    <w:p w:rsidR="00961C63" w:rsidRDefault="00C813FC">
      <w:pPr>
        <w:pStyle w:val="Fait"/>
        <w:rPr>
          <w:noProof/>
        </w:rPr>
      </w:pPr>
      <w:r>
        <w:rPr>
          <w:noProof/>
        </w:rPr>
        <w:t>Fait à Bruxelles, le</w:t>
      </w:r>
    </w:p>
    <w:p w:rsidR="00961C63" w:rsidRDefault="00C813FC">
      <w:pPr>
        <w:pStyle w:val="Institutionquisigne"/>
        <w:rPr>
          <w:noProof/>
        </w:rPr>
      </w:pPr>
      <w:r>
        <w:rPr>
          <w:noProof/>
        </w:rPr>
        <w:tab/>
        <w:t>Par le Conseil</w:t>
      </w:r>
    </w:p>
    <w:p w:rsidR="00961C63" w:rsidRDefault="00C813FC">
      <w:pPr>
        <w:pStyle w:val="Personnequisigne"/>
        <w:rPr>
          <w:noProof/>
          <w:szCs w:val="24"/>
        </w:rPr>
      </w:pPr>
      <w:r>
        <w:rPr>
          <w:noProof/>
        </w:rPr>
        <w:tab/>
        <w:t xml:space="preserve">Le président </w:t>
      </w:r>
    </w:p>
    <w:sectPr w:rsidR="00961C63" w:rsidSect="00C813F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C63" w:rsidRDefault="00C813FC">
      <w:pPr>
        <w:spacing w:before="0" w:after="0"/>
      </w:pPr>
      <w:r>
        <w:separator/>
      </w:r>
    </w:p>
  </w:endnote>
  <w:endnote w:type="continuationSeparator" w:id="0">
    <w:p w:rsidR="00961C63" w:rsidRDefault="00C813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FC" w:rsidRPr="00C813FC" w:rsidRDefault="00C813FC" w:rsidP="00C81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63" w:rsidRPr="00C813FC" w:rsidRDefault="00C813FC" w:rsidP="00C813FC">
    <w:pPr>
      <w:pStyle w:val="Footer"/>
      <w:rPr>
        <w:rFonts w:ascii="Arial" w:hAnsi="Arial" w:cs="Arial"/>
        <w:b/>
        <w:sz w:val="48"/>
      </w:rPr>
    </w:pPr>
    <w:r w:rsidRPr="00C813FC">
      <w:rPr>
        <w:rFonts w:ascii="Arial" w:hAnsi="Arial" w:cs="Arial"/>
        <w:b/>
        <w:sz w:val="48"/>
      </w:rPr>
      <w:t>FR</w:t>
    </w:r>
    <w:r w:rsidRPr="00C813FC">
      <w:rPr>
        <w:rFonts w:ascii="Arial" w:hAnsi="Arial" w:cs="Arial"/>
        <w:b/>
        <w:sz w:val="48"/>
      </w:rPr>
      <w:tab/>
    </w:r>
    <w:r w:rsidRPr="00C813FC">
      <w:rPr>
        <w:rFonts w:ascii="Arial" w:hAnsi="Arial" w:cs="Arial"/>
        <w:b/>
        <w:sz w:val="48"/>
      </w:rPr>
      <w:tab/>
    </w:r>
    <w:fldSimple w:instr=" DOCVARIABLE &quot;LW_Confidence&quot; \* MERGEFORMAT ">
      <w:r>
        <w:t xml:space="preserve"> </w:t>
      </w:r>
    </w:fldSimple>
    <w:r w:rsidRPr="00C813FC">
      <w:tab/>
    </w:r>
    <w:proofErr w:type="spellStart"/>
    <w:r w:rsidRPr="00C813F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FC" w:rsidRPr="00C813FC" w:rsidRDefault="00C813FC" w:rsidP="00C813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63" w:rsidRPr="00C813FC" w:rsidRDefault="00C813FC" w:rsidP="00C813FC">
    <w:pPr>
      <w:pStyle w:val="Footer"/>
      <w:rPr>
        <w:rFonts w:ascii="Arial" w:hAnsi="Arial" w:cs="Arial"/>
        <w:b/>
        <w:sz w:val="48"/>
      </w:rPr>
    </w:pPr>
    <w:r w:rsidRPr="00C813FC">
      <w:rPr>
        <w:rFonts w:ascii="Arial" w:hAnsi="Arial" w:cs="Arial"/>
        <w:b/>
        <w:sz w:val="48"/>
      </w:rPr>
      <w:t>FR</w:t>
    </w:r>
    <w:r w:rsidRPr="00C813FC">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C813FC">
      <w:tab/>
    </w:r>
    <w:r w:rsidRPr="00C813FC">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FC" w:rsidRPr="00C813FC" w:rsidRDefault="00C813FC" w:rsidP="00C81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C63" w:rsidRDefault="00C813FC">
      <w:pPr>
        <w:spacing w:before="0" w:after="0"/>
      </w:pPr>
      <w:r>
        <w:separator/>
      </w:r>
    </w:p>
  </w:footnote>
  <w:footnote w:type="continuationSeparator" w:id="0">
    <w:p w:rsidR="00961C63" w:rsidRDefault="00C813FC">
      <w:pPr>
        <w:spacing w:before="0" w:after="0"/>
      </w:pPr>
      <w:r>
        <w:continuationSeparator/>
      </w:r>
    </w:p>
  </w:footnote>
  <w:footnote w:id="1">
    <w:p w:rsidR="00961C63" w:rsidRDefault="00C813FC">
      <w:pPr>
        <w:pStyle w:val="FootnoteText"/>
      </w:pPr>
      <w:r>
        <w:rPr>
          <w:rStyle w:val="FootnoteReference"/>
        </w:rPr>
        <w:footnoteRef/>
      </w:r>
      <w:r>
        <w:tab/>
      </w:r>
      <w:r>
        <w:t>Décision 2014/492/UE du Conseil du 16 juin 2014 relative à la signature, au nom de l’Union européenne, et à l’application provisoire de l’accord d’association entre l’Union européenne et la Communauté européenne de l’énergie atomique et leurs États membres</w:t>
      </w:r>
      <w:r>
        <w:t xml:space="preserve">, d’une part, et la République de Moldavie, d’autre part (JO L 260 du 30.8.2014,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FC" w:rsidRPr="00C813FC" w:rsidRDefault="00C813FC" w:rsidP="00C81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FC" w:rsidRPr="00C813FC" w:rsidRDefault="00C813FC" w:rsidP="00C813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FC" w:rsidRPr="00C813FC" w:rsidRDefault="00C813FC" w:rsidP="00C81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0454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9DE49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E0A7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CE61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C80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20F1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C64642"/>
    <w:lvl w:ilvl="0">
      <w:start w:val="1"/>
      <w:numFmt w:val="decimal"/>
      <w:pStyle w:val="ListNumber"/>
      <w:lvlText w:val="%1."/>
      <w:lvlJc w:val="left"/>
      <w:pPr>
        <w:tabs>
          <w:tab w:val="num" w:pos="360"/>
        </w:tabs>
        <w:ind w:left="360" w:hanging="360"/>
      </w:pPr>
    </w:lvl>
  </w:abstractNum>
  <w:abstractNum w:abstractNumId="7">
    <w:nsid w:val="FFFFFF89"/>
    <w:multiLevelType w:val="singleLevel"/>
    <w:tmpl w:val="301AA0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14"/>
  </w:num>
  <w:num w:numId="3">
    <w:abstractNumId w:val="21"/>
    <w:lvlOverride w:ilvl="0">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1 10:27: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E6DB28DE0ED24459A5F7E5540DC2438F"/>
    <w:docVar w:name="LW_CROSSREFERENCE" w:val="&lt;UNUSED&gt;"/>
    <w:docVar w:name="LW_DocType" w:val="COM"/>
    <w:docVar w:name="LW_EMISSION" w:val="18.4.2016"/>
    <w:docVar w:name="LW_EMISSION_ISODATE" w:val="2016-04-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14"/>
    <w:docVar w:name="LW_REF.II.NEW.CP_YEAR" w:val="2016"/>
    <w:docVar w:name="LW_REF.INST.NEW" w:val="COM"/>
    <w:docVar w:name="LW_REF.INST.NEW_ADOPTED" w:val="final"/>
    <w:docVar w:name="LW_REF.INST.NEW_TEXT" w:val="(2016) 211"/>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sous-comité sanitaire et phytosanitaire institué par l\u8217?accord d\u8217?association entre l\u8217?Union européenne et la Communauté européenne de l\u8217?énergie atomique et leurs États membres, d\u8217?une part, et la République de Moldavie, d\u8217?autre part "/>
    <w:docVar w:name="LW_TYPE.DOC.CP" w:val="DÉCISION DU CONSEIL"/>
  </w:docVars>
  <w:rsids>
    <w:rsidRoot w:val="00961C63"/>
    <w:rsid w:val="00961C63"/>
    <w:rsid w:val="00C8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954842">
      <w:bodyDiv w:val="1"/>
      <w:marLeft w:val="0"/>
      <w:marRight w:val="0"/>
      <w:marTop w:val="0"/>
      <w:marBottom w:val="0"/>
      <w:divBdr>
        <w:top w:val="none" w:sz="0" w:space="0" w:color="auto"/>
        <w:left w:val="none" w:sz="0" w:space="0" w:color="auto"/>
        <w:bottom w:val="none" w:sz="0" w:space="0" w:color="auto"/>
        <w:right w:val="none" w:sz="0" w:space="0" w:color="auto"/>
      </w:divBdr>
    </w:div>
    <w:div w:id="16214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1611</Words>
  <Characters>9182</Characters>
  <Application>Microsoft Office Word</Application>
  <DocSecurity>0</DocSecurity>
  <Lines>162</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19</cp:revision>
  <cp:lastPrinted>2016-04-11T09:41:00Z</cp:lastPrinted>
  <dcterms:created xsi:type="dcterms:W3CDTF">2016-04-01T12:33:00Z</dcterms:created>
  <dcterms:modified xsi:type="dcterms:W3CDTF">2016-04-11T09:43:00Z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