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9493AFE32F14E92885C0ABC13ABCCD0" style="width:450.45pt;height:393.4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Bullet0"/>
        <w:numPr>
          <w:ilvl w:val="0"/>
          <w:numId w:val="1"/>
        </w:numPr>
        <w:rPr>
          <w:b/>
          <w:noProof/>
        </w:rPr>
      </w:pPr>
      <w:r>
        <w:rPr>
          <w:b/>
          <w:noProof/>
        </w:rPr>
        <w:t>Основания и цели на предложението</w:t>
      </w:r>
    </w:p>
    <w:p>
      <w:pPr>
        <w:rPr>
          <w:noProof/>
          <w:color w:val="000000"/>
          <w:szCs w:val="20"/>
        </w:rPr>
      </w:pPr>
      <w:r>
        <w:rPr>
          <w:noProof/>
        </w:rPr>
        <w:t>С приложеното предложение за решение на Съвета се определя позицията на Съюза във връзка с решение на Подкомитета по санитарните и фитосанитарните въпроси, създаден по силата на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 („споразумението“), относно изменението на приложение XXIV към споразумението.</w:t>
      </w:r>
      <w:r>
        <w:rPr>
          <w:noProof/>
          <w:color w:val="000000"/>
        </w:rPr>
        <w:t xml:space="preserve"> Споразумението бе подписано на 27 юни 2014 г. и се прилага частично, на временна основа, от 1 септември 2014 г. </w:t>
      </w:r>
    </w:p>
    <w:p>
      <w:pPr>
        <w:rPr>
          <w:noProof/>
          <w:color w:val="000000"/>
          <w:szCs w:val="20"/>
        </w:rPr>
      </w:pPr>
      <w:r>
        <w:rPr>
          <w:noProof/>
          <w:color w:val="000000"/>
        </w:rPr>
        <w:t>Предложеното изменение има за цел да бъдат изпълнени разпоредбите на глава 4 (Санитарни и фитосанитарни мерки) от дял V (Търговия и свързани с търговията въпроси) на споразумението. По-специално, в член 181 от споразумението Република Молдова се ангажира да представи списък на санитарните и фитосанитарните мерки в рамките на достиженията на правото на Съюза, с които тя възнамерява да сближи своето вътрешно законодателство. Посоченият списък следва да бъде добавен в приложение XXIV към споразумението с решение на Подкомитета по санитарните и фитосанитарните въпроси ЕС — Молдова.</w:t>
      </w:r>
    </w:p>
    <w:p>
      <w:pPr>
        <w:pStyle w:val="Bullet0"/>
        <w:numPr>
          <w:ilvl w:val="0"/>
          <w:numId w:val="2"/>
        </w:numPr>
        <w:rPr>
          <w:b/>
          <w:noProof/>
          <w:color w:val="000000"/>
          <w:szCs w:val="20"/>
        </w:rPr>
      </w:pPr>
      <w:r>
        <w:rPr>
          <w:b/>
          <w:noProof/>
          <w:color w:val="000000"/>
        </w:rPr>
        <w:t>Съгласуваност със съществуващите разпоредби в тази област на политиката</w:t>
      </w:r>
    </w:p>
    <w:p>
      <w:pPr>
        <w:rPr>
          <w:noProof/>
          <w:color w:val="000000"/>
          <w:szCs w:val="20"/>
        </w:rPr>
      </w:pPr>
      <w:r>
        <w:rPr>
          <w:noProof/>
          <w:color w:val="000000"/>
        </w:rPr>
        <w:t xml:space="preserve">Настоящото предложение е в изпълнение на общата търговска политика на Съюза по отношение на Република Молдова като страна партньор в рамките на Европейската политика за съседство и Източното партньорство, основаваща се на разпоредбите на горепосоченото споразумение и, в частност, на целта му за създаване на зона за свободна търговия между страните по него. С настоящото предложение се изпълняват разпоредбите на споразумението, които имат за цел да се стимулира търговията със селскостопански продукти между страните по него, и по-специално да се подобри капацитетът за износ на селскостопански продукти на Република Молдова, опирайки се на достиженията на правото на Съюза. </w:t>
      </w:r>
    </w:p>
    <w:p>
      <w:pPr>
        <w:pStyle w:val="Bullet0"/>
        <w:numPr>
          <w:ilvl w:val="0"/>
          <w:numId w:val="2"/>
        </w:numPr>
        <w:rPr>
          <w:b/>
          <w:noProof/>
        </w:rPr>
      </w:pPr>
      <w:r>
        <w:rPr>
          <w:b/>
          <w:noProof/>
        </w:rPr>
        <w:t>Съгласуваност с другите политики на Съюза</w:t>
      </w:r>
    </w:p>
    <w:p>
      <w:pPr>
        <w:rPr>
          <w:noProof/>
          <w:color w:val="000000"/>
          <w:szCs w:val="20"/>
        </w:rPr>
      </w:pPr>
      <w:r>
        <w:rPr>
          <w:noProof/>
          <w:color w:val="000000"/>
        </w:rPr>
        <w:t>Настоящото предложение е в духа на другите външни политики на Съюза и същевременно допринася за тяхното осъществяване, особено що се отнася до Европейската политика на съседство и политиката на сътрудничество за развитие по отношение на Република Молдова.</w:t>
      </w:r>
    </w:p>
    <w:p>
      <w:pPr>
        <w:pStyle w:val="ManualHeading1"/>
        <w:rPr>
          <w:noProof/>
        </w:rPr>
      </w:pPr>
      <w:r>
        <w:rPr>
          <w:noProof/>
        </w:rPr>
        <w:t>2.</w:t>
      </w:r>
      <w:r>
        <w:rPr>
          <w:noProof/>
        </w:rPr>
        <w:tab/>
        <w:t>ПРАВНО ОСНОВАНИЕ, СУБСИДИАРНОСТ И ПРОПОРЦИОНАЛНОСТ</w:t>
      </w:r>
    </w:p>
    <w:p>
      <w:pPr>
        <w:pStyle w:val="Bullet0"/>
        <w:numPr>
          <w:ilvl w:val="0"/>
          <w:numId w:val="2"/>
        </w:numPr>
        <w:rPr>
          <w:b/>
          <w:noProof/>
          <w:color w:val="000000"/>
          <w:szCs w:val="20"/>
        </w:rPr>
      </w:pPr>
      <w:r>
        <w:rPr>
          <w:b/>
          <w:noProof/>
          <w:color w:val="000000"/>
        </w:rPr>
        <w:t>Правно основание</w:t>
      </w:r>
    </w:p>
    <w:p>
      <w:pPr>
        <w:autoSpaceDE w:val="0"/>
        <w:autoSpaceDN w:val="0"/>
        <w:adjustRightInd w:val="0"/>
        <w:rPr>
          <w:noProof/>
          <w:color w:val="000000"/>
          <w:szCs w:val="20"/>
        </w:rPr>
      </w:pPr>
      <w:r>
        <w:rPr>
          <w:noProof/>
        </w:rPr>
        <w:t>Правното основание за определяне на позицията, която Съюзът да заеме в рамките на създадените със споразумението комитети, е Договорът за функционирането на Европейския съюз (ДФЕС), и по-специално член 207, параграф 4 във връзка с член 218, параграф 9 от него.</w:t>
      </w:r>
      <w:r>
        <w:rPr>
          <w:noProof/>
          <w:color w:val="000000"/>
        </w:rPr>
        <w:t xml:space="preserve"> </w:t>
      </w:r>
    </w:p>
    <w:p>
      <w:pPr>
        <w:pStyle w:val="Bullet0"/>
        <w:numPr>
          <w:ilvl w:val="0"/>
          <w:numId w:val="2"/>
        </w:numPr>
        <w:rPr>
          <w:b/>
          <w:noProof/>
        </w:rPr>
      </w:pPr>
      <w:r>
        <w:rPr>
          <w:b/>
          <w:noProof/>
        </w:rPr>
        <w:t>Субсидиарност (при неизключителна компетентност)</w:t>
      </w:r>
    </w:p>
    <w:p>
      <w:pPr>
        <w:rPr>
          <w:noProof/>
        </w:rPr>
      </w:pPr>
      <w:r>
        <w:rPr>
          <w:noProof/>
        </w:rPr>
        <w:lastRenderedPageBreak/>
        <w:t>В съответствие с член 3 от ДФЕС общата търговска политика е от изключителната компетентност на Съюза. Поради това принципът на субсидиарност не се прилага.</w:t>
      </w:r>
    </w:p>
    <w:p>
      <w:pPr>
        <w:pStyle w:val="Bullet0"/>
        <w:numPr>
          <w:ilvl w:val="0"/>
          <w:numId w:val="2"/>
        </w:numPr>
        <w:rPr>
          <w:noProof/>
        </w:rPr>
      </w:pPr>
      <w:r>
        <w:rPr>
          <w:b/>
          <w:noProof/>
          <w:color w:val="000000"/>
        </w:rPr>
        <w:t>Пропорционалност</w:t>
      </w:r>
    </w:p>
    <w:p>
      <w:pPr>
        <w:rPr>
          <w:noProof/>
        </w:rPr>
      </w:pPr>
      <w:r>
        <w:rPr>
          <w:noProof/>
        </w:rPr>
        <w:t xml:space="preserve">Настоящото предложение е необходимо с оглед изпълнението на международните ангажименти на Съюза, залегнали в Споразумението с Република Молдова. </w:t>
      </w:r>
    </w:p>
    <w:p>
      <w:pPr>
        <w:pStyle w:val="Bullet0"/>
        <w:numPr>
          <w:ilvl w:val="0"/>
          <w:numId w:val="2"/>
        </w:numPr>
        <w:rPr>
          <w:b/>
          <w:noProof/>
        </w:rPr>
      </w:pPr>
      <w:r>
        <w:rPr>
          <w:b/>
          <w:noProof/>
        </w:rPr>
        <w:t>Избор на инструмент</w:t>
      </w:r>
    </w:p>
    <w:p>
      <w:pPr>
        <w:rPr>
          <w:noProof/>
        </w:rPr>
      </w:pPr>
      <w:r>
        <w:rPr>
          <w:noProof/>
        </w:rPr>
        <w:t xml:space="preserve">Настоящото предложение е в съответствие с член 218, параграф 9 от ДФЕС, който предвижда приемането на решения от Съвета в подобни случаи. Не съществува друг правен инструмент, който да може да бъде използван за постигане на целта, изложена в настоящото предложение. </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Bullet0"/>
        <w:numPr>
          <w:ilvl w:val="0"/>
          <w:numId w:val="2"/>
        </w:numPr>
        <w:rPr>
          <w:b/>
          <w:noProof/>
          <w:bdr w:val="none" w:sz="0" w:space="0" w:color="auto" w:frame="1"/>
        </w:rPr>
      </w:pPr>
      <w:r>
        <w:rPr>
          <w:b/>
          <w:noProof/>
          <w:bdr w:val="none" w:sz="0" w:space="0" w:color="auto" w:frame="1"/>
        </w:rPr>
        <w:t xml:space="preserve">Последващи </w:t>
      </w:r>
      <w:r>
        <w:rPr>
          <w:noProof/>
        </w:rPr>
        <w:t xml:space="preserve"> </w:t>
      </w:r>
      <w:r>
        <w:rPr>
          <w:b/>
          <w:noProof/>
        </w:rPr>
        <w:t>оценки/проверки за пригодност на действащото законодателство</w:t>
      </w:r>
    </w:p>
    <w:p>
      <w:pPr>
        <w:spacing w:before="0" w:after="240"/>
        <w:rPr>
          <w:rFonts w:eastAsia="Arial Unicode MS"/>
          <w:noProof/>
        </w:rPr>
      </w:pPr>
      <w:r>
        <w:rPr>
          <w:noProof/>
        </w:rPr>
        <w:t>Не е приложимо.</w:t>
      </w:r>
    </w:p>
    <w:p>
      <w:pPr>
        <w:pStyle w:val="Bullet0"/>
        <w:numPr>
          <w:ilvl w:val="0"/>
          <w:numId w:val="2"/>
        </w:numPr>
        <w:rPr>
          <w:rFonts w:eastAsia="Arial Unicode MS"/>
          <w:b/>
          <w:noProof/>
          <w:bdr w:val="none" w:sz="0" w:space="0" w:color="auto" w:frame="1"/>
        </w:rPr>
      </w:pPr>
      <w:r>
        <w:rPr>
          <w:b/>
          <w:noProof/>
          <w:bdr w:val="none" w:sz="0" w:space="0" w:color="auto" w:frame="1"/>
        </w:rPr>
        <w:t>Консултации със заинтересованите страни</w:t>
      </w:r>
    </w:p>
    <w:p>
      <w:pPr>
        <w:keepNext/>
        <w:tabs>
          <w:tab w:val="left" w:pos="850"/>
        </w:tabs>
        <w:outlineLvl w:val="1"/>
        <w:rPr>
          <w:rFonts w:eastAsia="Calibri"/>
          <w:noProof/>
          <w:color w:val="000000"/>
          <w:szCs w:val="20"/>
        </w:rPr>
      </w:pPr>
      <w:r>
        <w:rPr>
          <w:noProof/>
          <w:color w:val="000000"/>
        </w:rPr>
        <w:t>Република Молдова подготви списъка на достиженията на правото на Съюза, с които тя възнамерява да сближи своето вътрешно законодателство в съответствие с приложимите вътрешни процедури. Във връзка с настоящото предложение не са необходими консултации със заинтересовани страни от ЕС.</w:t>
      </w:r>
    </w:p>
    <w:p>
      <w:pPr>
        <w:pStyle w:val="Bullet0"/>
        <w:numPr>
          <w:ilvl w:val="0"/>
          <w:numId w:val="2"/>
        </w:numPr>
        <w:rPr>
          <w:rFonts w:eastAsia="Arial Unicode MS"/>
          <w:b/>
          <w:noProof/>
          <w:bdr w:val="none" w:sz="0" w:space="0" w:color="auto" w:frame="1"/>
        </w:rPr>
      </w:pPr>
      <w:r>
        <w:rPr>
          <w:b/>
          <w:noProof/>
          <w:bdr w:val="none" w:sz="0" w:space="0" w:color="auto" w:frame="1"/>
        </w:rPr>
        <w:t>Събиране и използване на експертни становища</w:t>
      </w:r>
    </w:p>
    <w:p>
      <w:pPr>
        <w:spacing w:before="0" w:after="240"/>
        <w:rPr>
          <w:rFonts w:eastAsia="Arial Unicode MS"/>
          <w:noProof/>
        </w:rPr>
      </w:pPr>
      <w:r>
        <w:rPr>
          <w:noProof/>
        </w:rPr>
        <w:t xml:space="preserve">Съюзът предостави на разположение на органите на Република Молдова своя експертен опит по санитарните и фитосанитарните въпроси и въпросите на хуманното отношение към животните за целите на изготвянето на списъка на достиженията на правото на Съюза, предназначен за сближаване на законодателството на тази страна партньор. </w:t>
      </w:r>
    </w:p>
    <w:p>
      <w:pPr>
        <w:pStyle w:val="Bullet0"/>
        <w:numPr>
          <w:ilvl w:val="0"/>
          <w:numId w:val="2"/>
        </w:numPr>
        <w:rPr>
          <w:rFonts w:eastAsia="Arial Unicode MS"/>
          <w:b/>
          <w:noProof/>
          <w:bdr w:val="none" w:sz="0" w:space="0" w:color="auto" w:frame="1"/>
        </w:rPr>
      </w:pPr>
      <w:r>
        <w:rPr>
          <w:b/>
          <w:noProof/>
          <w:bdr w:val="none" w:sz="0" w:space="0" w:color="auto" w:frame="1"/>
        </w:rPr>
        <w:t>Оценка на въздействието</w:t>
      </w:r>
    </w:p>
    <w:p>
      <w:pPr>
        <w:spacing w:before="0" w:after="240"/>
        <w:rPr>
          <w:rFonts w:eastAsia="Calibri"/>
          <w:noProof/>
        </w:rPr>
      </w:pPr>
      <w:r>
        <w:rPr>
          <w:noProof/>
        </w:rPr>
        <w:t xml:space="preserve">През 2009 г. търговските и свързаните с търговията разпоредби на споразумението бяха подложени на предварителна оценка на въздействието, последвана през 2012 г. от оценка на въздействието на търговията върху устойчивото развитие, изготвена от ГД „Търговия“ на Комисията, което допринесе за напредъка по преговорите относно ЗВЗСТ. Въпросното проучване потвърди, че изпълнението на търговските и свързаните с търговията разпоредби няма да окаже отрицателно въздействие върху Съюза, достиженията на правото на ЕС или неговите политики, като в същото време се очаква то да окаже положително въздействие върху икономическото развитие на Република Молдова. Настоящото предложение няма отражение върху икономическата, социалната или екологичната политика на Съюза. </w:t>
      </w:r>
    </w:p>
    <w:p>
      <w:pPr>
        <w:pStyle w:val="Bullet0"/>
        <w:numPr>
          <w:ilvl w:val="0"/>
          <w:numId w:val="2"/>
        </w:numPr>
        <w:rPr>
          <w:rFonts w:eastAsia="Arial Unicode MS"/>
          <w:b/>
          <w:noProof/>
          <w:bdr w:val="none" w:sz="0" w:space="0" w:color="auto" w:frame="1"/>
        </w:rPr>
      </w:pPr>
      <w:r>
        <w:rPr>
          <w:b/>
          <w:noProof/>
          <w:bdr w:val="none" w:sz="0" w:space="0" w:color="auto" w:frame="1"/>
        </w:rPr>
        <w:t>Пригодност и опростяване на законодателството</w:t>
      </w:r>
    </w:p>
    <w:p>
      <w:pPr>
        <w:spacing w:before="0" w:after="240"/>
        <w:rPr>
          <w:rFonts w:eastAsia="Calibri"/>
          <w:noProof/>
        </w:rPr>
      </w:pPr>
      <w:r>
        <w:rPr>
          <w:noProof/>
        </w:rPr>
        <w:lastRenderedPageBreak/>
        <w:t xml:space="preserve">Споразумението не е предмет на процедури по програмата REFIT на този етап; не предполага никакви разходи за МСП в Съюза и не поражда проблеми от гледна точка на цифровата среда. </w:t>
      </w:r>
    </w:p>
    <w:p>
      <w:pPr>
        <w:pStyle w:val="Bullet0"/>
        <w:numPr>
          <w:ilvl w:val="0"/>
          <w:numId w:val="2"/>
        </w:numPr>
        <w:rPr>
          <w:rFonts w:eastAsia="Arial Unicode MS"/>
          <w:b/>
          <w:noProof/>
          <w:bdr w:val="none" w:sz="0" w:space="0" w:color="auto" w:frame="1"/>
        </w:rPr>
      </w:pPr>
      <w:r>
        <w:rPr>
          <w:b/>
          <w:noProof/>
          <w:bdr w:val="none" w:sz="0" w:space="0" w:color="auto" w:frame="1"/>
        </w:rPr>
        <w:t>Основни права</w:t>
      </w:r>
    </w:p>
    <w:p>
      <w:pPr>
        <w:keepNext/>
        <w:tabs>
          <w:tab w:val="left" w:pos="850"/>
        </w:tabs>
        <w:outlineLvl w:val="1"/>
        <w:rPr>
          <w:rFonts w:eastAsia="Arial Unicode MS"/>
          <w:noProof/>
          <w:bdr w:val="none" w:sz="0" w:space="0" w:color="auto" w:frame="1"/>
        </w:rPr>
      </w:pPr>
      <w:r>
        <w:rPr>
          <w:noProof/>
        </w:rPr>
        <w:t xml:space="preserve">Предложението няма последствия за защитата на основните права в Съюза. </w:t>
      </w:r>
    </w:p>
    <w:p>
      <w:pPr>
        <w:pStyle w:val="ManualHeading1"/>
        <w:rPr>
          <w:rFonts w:eastAsia="Calibri"/>
          <w:noProof/>
        </w:rPr>
      </w:pPr>
      <w:r>
        <w:rPr>
          <w:noProof/>
        </w:rPr>
        <w:t>4.</w:t>
      </w:r>
      <w:r>
        <w:rPr>
          <w:noProof/>
        </w:rPr>
        <w:tab/>
        <w:t>ОТРАЖЕНИЕ ВЪРХУ БЮДЖЕТА</w:t>
      </w:r>
    </w:p>
    <w:p>
      <w:pPr>
        <w:spacing w:before="0" w:after="240"/>
        <w:rPr>
          <w:rFonts w:eastAsia="Arial Unicode MS"/>
          <w:noProof/>
        </w:rPr>
      </w:pPr>
      <w:r>
        <w:rPr>
          <w:noProof/>
        </w:rPr>
        <w:t>Не е приложимо.</w:t>
      </w:r>
    </w:p>
    <w:p>
      <w:pPr>
        <w:pStyle w:val="ManualHeading1"/>
        <w:rPr>
          <w:rFonts w:eastAsia="Calibri"/>
          <w:noProof/>
        </w:rPr>
      </w:pPr>
      <w:r>
        <w:rPr>
          <w:noProof/>
        </w:rPr>
        <w:t>5.</w:t>
      </w:r>
      <w:r>
        <w:rPr>
          <w:noProof/>
        </w:rPr>
        <w:tab/>
        <w:t>ДРУГИ ЕЛЕМЕНТИ</w:t>
      </w:r>
    </w:p>
    <w:p>
      <w:pPr>
        <w:pStyle w:val="Bullet0"/>
        <w:numPr>
          <w:ilvl w:val="0"/>
          <w:numId w:val="2"/>
        </w:numPr>
        <w:rPr>
          <w:rFonts w:eastAsia="Arial Unicode MS"/>
          <w:b/>
          <w:noProof/>
          <w:bdr w:val="none" w:sz="0" w:space="0" w:color="auto" w:frame="1"/>
        </w:rPr>
      </w:pPr>
      <w:r>
        <w:rPr>
          <w:b/>
          <w:noProof/>
          <w:bdr w:val="none" w:sz="0" w:space="0" w:color="auto" w:frame="1"/>
        </w:rPr>
        <w:t>Планове за изпълнение и уредба за мониторинг, оценка и докладване</w:t>
      </w:r>
    </w:p>
    <w:p>
      <w:pPr>
        <w:spacing w:before="0" w:after="240"/>
        <w:rPr>
          <w:rFonts w:eastAsia="Arial Unicode MS"/>
          <w:noProof/>
        </w:rPr>
      </w:pPr>
      <w:r>
        <w:rPr>
          <w:noProof/>
        </w:rPr>
        <w:t>Изпълнението на споразумението подлежи на редовен преглед от страна на Съвета за асоцииране ЕС — Република Молдова и на подчинените на него органи, създадени по силата на същото споразумение. Европейската комисия също така пое ангажимент ежегодно да представя на Европейския парламент и на Съвета доклад относно прилагането на дял V (Търговия и свързани с търговията въпроси) от споразумението, включително относно елементите, включени в настоящото предложение.</w:t>
      </w:r>
    </w:p>
    <w:p>
      <w:pPr>
        <w:pStyle w:val="Bullet0"/>
        <w:numPr>
          <w:ilvl w:val="0"/>
          <w:numId w:val="2"/>
        </w:numPr>
        <w:rPr>
          <w:rFonts w:eastAsia="Arial Unicode MS"/>
          <w:b/>
          <w:noProof/>
          <w:bdr w:val="none" w:sz="0" w:space="0" w:color="auto" w:frame="1"/>
        </w:rPr>
      </w:pPr>
      <w:r>
        <w:rPr>
          <w:b/>
          <w:noProof/>
          <w:bdr w:val="none" w:sz="0" w:space="0" w:color="auto" w:frame="1"/>
        </w:rPr>
        <w:t>Обяснителни документи (за директивите)</w:t>
      </w:r>
    </w:p>
    <w:p>
      <w:pPr>
        <w:spacing w:before="0" w:after="240"/>
        <w:rPr>
          <w:rFonts w:eastAsia="Calibri"/>
          <w:noProof/>
        </w:rPr>
      </w:pPr>
      <w:r>
        <w:rPr>
          <w:noProof/>
        </w:rPr>
        <w:t>Не е приложимо.</w:t>
      </w:r>
    </w:p>
    <w:p>
      <w:pPr>
        <w:pStyle w:val="Bullet0"/>
        <w:numPr>
          <w:ilvl w:val="0"/>
          <w:numId w:val="2"/>
        </w:numPr>
        <w:rPr>
          <w:rFonts w:eastAsia="Arial Unicode MS"/>
          <w:b/>
          <w:noProof/>
          <w:bdr w:val="none" w:sz="0" w:space="0" w:color="auto" w:frame="1"/>
        </w:rPr>
      </w:pPr>
      <w:r>
        <w:rPr>
          <w:b/>
          <w:noProof/>
          <w:bdr w:val="none" w:sz="0" w:space="0" w:color="auto" w:frame="1"/>
        </w:rPr>
        <w:t>Подробно разяснение на конкретни разпоредби на предложението</w:t>
      </w:r>
    </w:p>
    <w:p>
      <w:pPr>
        <w:spacing w:before="0" w:after="240"/>
        <w:rPr>
          <w:rFonts w:eastAsia="Calibri"/>
          <w:noProof/>
          <w:color w:val="000000"/>
          <w:szCs w:val="20"/>
        </w:rPr>
      </w:pPr>
      <w:r>
        <w:rPr>
          <w:noProof/>
          <w:color w:val="000000"/>
        </w:rPr>
        <w:t xml:space="preserve">Целта на предложението е да се приеме позиция на Съюза във връзка с изменението на приложение XXIV-Б към споразумението. В съответствие с член 181, параграф 4 от споразумението, посоченото приложение следва да съдържа списък на достиженията на правото на Съюза, с които Република Молдова възнамерява да сближи законодателството си в областта на санитарните и фитосанитарните мерки и на мерките, свързани с хуманното отношение към животните, с цел придобиване на предвидения в член 183 от споразумението статус на еквивалентност за даден продукт или група от продукти. </w:t>
      </w:r>
    </w:p>
    <w:p>
      <w:pPr>
        <w:spacing w:before="0" w:after="240"/>
        <w:rPr>
          <w:noProof/>
          <w:color w:val="000000"/>
          <w:szCs w:val="20"/>
        </w:rPr>
      </w:pPr>
      <w:r>
        <w:rPr>
          <w:noProof/>
          <w:color w:val="000000"/>
        </w:rPr>
        <w:t xml:space="preserve">Република Молдова подготви в съответствие с вътрешните си процедури такъв списък на достиженията на правото на Съюза, представи предложението през ноември 2014 г. и го финализира през юли 2015 г. след консултации с Европейската комисия. </w:t>
      </w:r>
    </w:p>
    <w:p>
      <w:pPr>
        <w:rPr>
          <w:noProof/>
          <w:color w:val="000000"/>
          <w:szCs w:val="20"/>
        </w:rPr>
      </w:pPr>
      <w:r>
        <w:rPr>
          <w:noProof/>
          <w:color w:val="000000"/>
        </w:rPr>
        <w:t>Подкомитетът по санитарните и фитосанитарните въпроси ЕС — Република Молдова е оправомощен да вземе решение относно изменението на приложение XXIV-Б в съответствие с член 191 от споразумението. В съответствие с разпоредбите на посочения член подкомитетът следи за прилагането на глава 4 (Санитарни и фитосанитарни мерки) от дял V (Търговия и свързани с търговията въпроси) на споразумението и взема решения, когато е целесъобразно, относно изменението на приложения XVII — XXV към споразумението.</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2016/0114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да се заеме от името на Европейския съюз в рамките на Подкомитета по санитарните и фитосанитарните мерки, създаден по силата на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член 464, параграфи 3 и 4 от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 („споразумението“) се предвижда временното прилагане на конкретно посочени от Съюза части от споразумението.</w:t>
      </w:r>
    </w:p>
    <w:p>
      <w:pPr>
        <w:pStyle w:val="ManualConsidrant"/>
        <w:rPr>
          <w:noProof/>
        </w:rPr>
      </w:pPr>
      <w:r>
        <w:t>(1)</w:t>
      </w:r>
      <w:r>
        <w:tab/>
      </w:r>
      <w:r>
        <w:rPr>
          <w:noProof/>
        </w:rPr>
        <w:t>В член 3 от Решение 2014/492/ЕС на Съвета</w:t>
      </w:r>
      <w:r>
        <w:rPr>
          <w:rStyle w:val="FootnoteReference"/>
          <w:noProof/>
        </w:rPr>
        <w:footnoteReference w:id="1"/>
      </w:r>
      <w:r>
        <w:rPr>
          <w:noProof/>
        </w:rPr>
        <w:t xml:space="preserve"> се посочват разпоредбите на споразумението, които да се прилагат временно, включително разпоредбите относно санитарните и фитосанитарните мерки и мерките, свързани с хуманното отношение към животните, създаването и работата на Подкомитета по санитарните и фитосанитарните въпроси и свързаните с тях приложения XVII — XXV към споразумението. В съответствие с член 464, параграф 4 от споразумението временното прилагане на тези разпоредби поражда действие от 1 септември 2014 г.</w:t>
      </w:r>
    </w:p>
    <w:p>
      <w:pPr>
        <w:pStyle w:val="ManualConsidrant"/>
        <w:rPr>
          <w:noProof/>
        </w:rPr>
      </w:pPr>
      <w:r>
        <w:t>(2)</w:t>
      </w:r>
      <w:r>
        <w:tab/>
      </w:r>
      <w:r>
        <w:rPr>
          <w:noProof/>
        </w:rPr>
        <w:t xml:space="preserve">В член 181 от споразумението се предвижда Република Молдова да сближи постепенно своето законодателство в областта на санитарните и фитосанитарните въпроси и на хуманното отношение към животните с това на Съюза, както е посочено в приложение XXIV към същото споразумение. </w:t>
      </w:r>
    </w:p>
    <w:p>
      <w:pPr>
        <w:pStyle w:val="ManualConsidrant"/>
        <w:rPr>
          <w:noProof/>
        </w:rPr>
      </w:pPr>
      <w:r>
        <w:t>(3)</w:t>
      </w:r>
      <w:r>
        <w:tab/>
      </w:r>
      <w:r>
        <w:rPr>
          <w:noProof/>
        </w:rPr>
        <w:t xml:space="preserve">По силата на член 181, параграф 4 от споразумението Република Молдова се ангажира да представи списък на достиженията на правото на Съюза в областта на санитарните и фитосанитарните въпроси и на хуманното отношение към животните, с които тя възнамерява да сближи своето вътрешно законодателство, не по-късно от три месеца след влизането в сила на споразумението. Този списък </w:t>
      </w:r>
      <w:r>
        <w:rPr>
          <w:noProof/>
        </w:rPr>
        <w:lastRenderedPageBreak/>
        <w:t>във връзка със сближаването е предназначен да служи за референтен документ за прилагането на глава 4 (Санитарни и фитосанитарни мерки) от дял V (Търговия и свързани с търговията въпроси) на споразумението и следва да бъде добавен в приложение XXIV към споразумението. Съответно приложение XXIV-Б към споразумението следва да се измени с решение на Подкомитета по санитарните и фитосанитарните въпроси, както е посочено в член 191 от споразумението.</w:t>
      </w:r>
    </w:p>
    <w:p>
      <w:pPr>
        <w:pStyle w:val="ManualConsidrant"/>
        <w:rPr>
          <w:noProof/>
        </w:rPr>
      </w:pPr>
      <w:r>
        <w:t>(4)</w:t>
      </w:r>
      <w:r>
        <w:tab/>
      </w:r>
      <w:r>
        <w:rPr>
          <w:noProof/>
        </w:rPr>
        <w:t xml:space="preserve">Република Молдова представи посочения по-горе списък на достиженията на правото на Съюза и го финализира през юли 2015 г. след консултации с Европейската комисия. </w:t>
      </w:r>
    </w:p>
    <w:p>
      <w:pPr>
        <w:pStyle w:val="ManualConsidrant"/>
        <w:rPr>
          <w:noProof/>
        </w:rPr>
      </w:pPr>
      <w:r>
        <w:t>(5)</w:t>
      </w:r>
      <w:r>
        <w:tab/>
      </w:r>
      <w:r>
        <w:rPr>
          <w:noProof/>
        </w:rPr>
        <w:t>Поради това е целесъобразно да се определи позицията, която да се заеме от името на Съюза в рамките на Подкомитета по санитарните и фитосанитарните въпроси във връзка с изменението на приложение XXIV-Б към споразумението,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Европейския съюз в рамките на Подкомитета по санитарните и фитосанитарните въпроси, създаден по силата на член 191 от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 („споразумението“), във връзка с изменението на приложение XXIV-Б към Споразумението за асоцииране, се основава на проекта на решение на посочения Подкомитет по санитарните и фитосанитарните въпроси, приложен към настоящото решение.</w:t>
      </w:r>
    </w:p>
    <w:p>
      <w:pPr>
        <w:rPr>
          <w:noProof/>
        </w:rPr>
      </w:pPr>
      <w:r>
        <w:rPr>
          <w:noProof/>
        </w:rPr>
        <w:t>Представителите на Съюза в Подкомитета по санитарните и фитосанитарните въпроси могат да одобрят незначителни промени в проекта на решение, без да е необходимо допълнително решение на Съвета.</w:t>
      </w:r>
    </w:p>
    <w:p>
      <w:pPr>
        <w:pStyle w:val="Titrearticle"/>
        <w:keepNext w:val="0"/>
        <w:rPr>
          <w:noProof/>
        </w:rPr>
      </w:pPr>
      <w:r>
        <w:rPr>
          <w:noProof/>
        </w:rPr>
        <w:t>Член 2</w:t>
      </w:r>
    </w:p>
    <w:p>
      <w:pPr>
        <w:keepLines/>
        <w:rPr>
          <w:noProof/>
        </w:rPr>
      </w:pPr>
      <w:r>
        <w:rPr>
          <w:noProof/>
        </w:rPr>
        <w:t xml:space="preserve">След приемането му решението на Подкомитета по санитарните и фитосанитарните въпроси се публикува в </w:t>
      </w:r>
      <w:r>
        <w:rPr>
          <w:i/>
          <w:noProof/>
        </w:rPr>
        <w:t>Официален вестник на Европейския съюз</w:t>
      </w:r>
      <w:r>
        <w:rPr>
          <w:noProof/>
        </w:rPr>
        <w:t xml:space="preserve">. </w:t>
      </w:r>
    </w:p>
    <w:p>
      <w:pPr>
        <w:keepLines/>
        <w:jc w:val="center"/>
        <w:rPr>
          <w:i/>
          <w:noProof/>
        </w:rPr>
      </w:pPr>
      <w:r>
        <w:rPr>
          <w:i/>
          <w:noProof/>
        </w:rPr>
        <w:t>Член 3</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szCs w:val="24"/>
        </w:rPr>
      </w:pPr>
      <w:r>
        <w:rPr>
          <w:noProof/>
        </w:rPr>
        <w:tab/>
        <w:t xml:space="preserve">Председател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2014/492/ЕС на Съвета от 16 юни 2014 г. за подписването, от името на Европейския съюз, и временното прилагане на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 (ОВ L 260, 30.8.2014 г., стр.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0454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9DE49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E0A7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CE61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C808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20F1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C64642"/>
    <w:lvl w:ilvl="0">
      <w:start w:val="1"/>
      <w:numFmt w:val="decimal"/>
      <w:pStyle w:val="ListNumber"/>
      <w:lvlText w:val="%1."/>
      <w:lvlJc w:val="left"/>
      <w:pPr>
        <w:tabs>
          <w:tab w:val="num" w:pos="360"/>
        </w:tabs>
        <w:ind w:left="360" w:hanging="360"/>
      </w:pPr>
    </w:lvl>
  </w:abstractNum>
  <w:abstractNum w:abstractNumId="7">
    <w:nsid w:val="FFFFFF89"/>
    <w:multiLevelType w:val="singleLevel"/>
    <w:tmpl w:val="301AA0C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14"/>
  </w:num>
  <w:num w:numId="3">
    <w:abstractNumId w:val="21"/>
    <w:lvlOverride w:ilvl="0">
      <w:startOverride w:val="1"/>
    </w:lvlOverride>
  </w:num>
  <w:num w:numId="4">
    <w:abstractNumId w:val="21"/>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11 10:30: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9493AFE32F14E92885C0ABC13ABCCD0"/>
    <w:docVar w:name="LW_CROSSREFERENCE" w:val="&lt;UNUSED&gt;"/>
    <w:docVar w:name="LW_DocType" w:val="COM"/>
    <w:docVar w:name="LW_EMISSION" w:val="18.4.2016"/>
    <w:docVar w:name="LW_EMISSION_ISODATE" w:val="2016-04-1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4"/>
    <w:docVar w:name="LW_REF.II.NEW.CP_YEAR" w:val="2016"/>
    <w:docVar w:name="LW_REF.INST.NEW" w:val="COM"/>
    <w:docVar w:name="LW_REF.INST.NEW_ADOPTED" w:val="final"/>
    <w:docVar w:name="LW_REF.INST.NEW_TEXT" w:val="(2016) 211"/>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5?\u1086?\u1076?\u1082?\u1086?\u1084?\u1080?\u1090?\u1077?\u1090?\u1072? \u1087?\u1086? \u1089?\u1072?\u1085?\u1080?\u1090?\u1072?\u1088?\u1085?\u1080?\u1090?\u1077? \u1080? \u1092?\u1080?\u1090?\u1086?\u1089?\u1072?\u1085?\u1080?\u1090?\u1072?\u1088?\u1085?\u1080?\u1090?\u1077? \u1084?\u1077?\u1088?\u1082?\u1080?, \u1089?\u1098?\u1079?\u1076?\u1072?\u1076?\u1077?\u1085? \u1087?\u1086? \u1089?\u1080?\u1083?\u1072?\u1090?\u1072? \u1085?\u1072?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52?\u1086?\u1083?\u1076?\u1086?\u1074?\u1072?, \u1086?\u1090? \u1076?\u1088?\u1091?\u1075?\u1072? \u1089?\u1090?\u1088?\u1072?\u1085?\u1072?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954842">
      <w:bodyDiv w:val="1"/>
      <w:marLeft w:val="0"/>
      <w:marRight w:val="0"/>
      <w:marTop w:val="0"/>
      <w:marBottom w:val="0"/>
      <w:divBdr>
        <w:top w:val="none" w:sz="0" w:space="0" w:color="auto"/>
        <w:left w:val="none" w:sz="0" w:space="0" w:color="auto"/>
        <w:bottom w:val="none" w:sz="0" w:space="0" w:color="auto"/>
        <w:right w:val="none" w:sz="0" w:space="0" w:color="auto"/>
      </w:divBdr>
    </w:div>
    <w:div w:id="16214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1619</Words>
  <Characters>9655</Characters>
  <Application>Microsoft Office Word</Application>
  <DocSecurity>0</DocSecurity>
  <Lines>189</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2016-04-01T10:21:00Z</dcterms:created>
  <dcterms:modified xsi:type="dcterms:W3CDTF">2016-04-11T08:30:00Z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