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DC" w:rsidRDefault="00600BB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AD7DCC3B59B41AEBD4ED12C89E63C6B" style="width:450.75pt;height:411pt">
            <v:imagedata r:id="rId8" o:title=""/>
          </v:shape>
        </w:pict>
      </w:r>
    </w:p>
    <w:p w:rsidR="00D557DC" w:rsidRDefault="00D557DC">
      <w:pPr>
        <w:rPr>
          <w:noProof/>
        </w:rPr>
        <w:sectPr w:rsidR="00D557DC" w:rsidSect="00600BB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557DC" w:rsidRDefault="00600BB5">
      <w:pPr>
        <w:pStyle w:val="Annexetitre"/>
        <w:rPr>
          <w:noProof/>
        </w:rPr>
      </w:pPr>
      <w:r>
        <w:rPr>
          <w:noProof/>
        </w:rPr>
        <w:lastRenderedPageBreak/>
        <w:t>ANNEXE</w:t>
      </w:r>
    </w:p>
    <w:p w:rsidR="00D557DC" w:rsidRDefault="00600BB5">
      <w:pPr>
        <w:spacing w:after="240"/>
        <w:jc w:val="center"/>
        <w:rPr>
          <w:b/>
          <w:caps/>
          <w:noProof/>
        </w:rPr>
      </w:pPr>
      <w:r>
        <w:rPr>
          <w:b/>
          <w:caps/>
          <w:noProof/>
        </w:rPr>
        <w:t>Projet de</w:t>
      </w:r>
    </w:p>
    <w:p w:rsidR="00D557DC" w:rsidRDefault="00600BB5">
      <w:pPr>
        <w:jc w:val="center"/>
        <w:rPr>
          <w:b/>
          <w:caps/>
          <w:noProof/>
        </w:rPr>
      </w:pPr>
      <w:r>
        <w:rPr>
          <w:b/>
          <w:caps/>
          <w:noProof/>
        </w:rPr>
        <w:t xml:space="preserve">décision nº 1/2016 du sous-comité sanitaire et phytosanitaire </w:t>
      </w:r>
      <w:r>
        <w:rPr>
          <w:b/>
          <w:caps/>
          <w:noProof/>
        </w:rPr>
        <w:br/>
      </w:r>
      <w:r>
        <w:rPr>
          <w:b/>
          <w:caps/>
          <w:noProof/>
        </w:rPr>
        <w:t xml:space="preserve">UE-RÉPUBLIQUE DE MOLDAVIE </w:t>
      </w:r>
    </w:p>
    <w:p w:rsidR="00D557DC" w:rsidRDefault="00600BB5">
      <w:pPr>
        <w:jc w:val="center"/>
        <w:rPr>
          <w:b/>
          <w:noProof/>
        </w:rPr>
      </w:pPr>
      <w:r>
        <w:rPr>
          <w:b/>
          <w:noProof/>
        </w:rPr>
        <w:t xml:space="preserve">du … 2016 </w:t>
      </w:r>
    </w:p>
    <w:p w:rsidR="00D557DC" w:rsidRDefault="00600BB5">
      <w:pPr>
        <w:spacing w:after="240"/>
        <w:jc w:val="center"/>
        <w:rPr>
          <w:b/>
          <w:noProof/>
          <w:szCs w:val="24"/>
        </w:rPr>
      </w:pPr>
      <w:r>
        <w:rPr>
          <w:b/>
          <w:noProof/>
        </w:rPr>
        <w:t xml:space="preserve">modifiant l’annexe XXIV-B de l’accord d’association </w:t>
      </w:r>
    </w:p>
    <w:p w:rsidR="00D557DC" w:rsidRDefault="00600BB5">
      <w:pPr>
        <w:spacing w:line="276" w:lineRule="auto"/>
        <w:rPr>
          <w:noProof/>
        </w:rPr>
      </w:pPr>
      <w:r>
        <w:rPr>
          <w:noProof/>
        </w:rPr>
        <w:t>LE COMITÉ SANITAIRE ET PHYTOSANITAIRE,</w:t>
      </w:r>
    </w:p>
    <w:p w:rsidR="00D557DC" w:rsidRDefault="00600BB5">
      <w:pPr>
        <w:rPr>
          <w:noProof/>
        </w:rPr>
      </w:pPr>
      <w:r>
        <w:rPr>
          <w:noProof/>
        </w:rPr>
        <w:t>vu l’accord d’association entre l’Union européenne et la Communauté européenne de l’énergie atomique et leurs États membres, d</w:t>
      </w:r>
      <w:r>
        <w:rPr>
          <w:noProof/>
        </w:rPr>
        <w:t>’une part, et la République de Moldavie, d’autre part, signé à Bruxelles le 27 juin 2014, et notamment ses articles 181 et 191,</w:t>
      </w:r>
    </w:p>
    <w:p w:rsidR="00D557DC" w:rsidRDefault="00600BB5">
      <w:pPr>
        <w:rPr>
          <w:noProof/>
        </w:rPr>
      </w:pPr>
      <w:r>
        <w:rPr>
          <w:noProof/>
        </w:rPr>
        <w:t>considérant ce qui suit:</w:t>
      </w:r>
    </w:p>
    <w:p w:rsidR="00D557DC" w:rsidRDefault="00600BB5">
      <w:pPr>
        <w:pStyle w:val="ManualNumPar1"/>
        <w:rPr>
          <w:noProof/>
        </w:rPr>
      </w:pPr>
      <w:r>
        <w:rPr>
          <w:noProof/>
        </w:rPr>
        <w:t>(1)</w:t>
      </w:r>
      <w:r>
        <w:rPr>
          <w:noProof/>
        </w:rPr>
        <w:tab/>
        <w:t>Conformément à l’article 464 de l’accord d’association entre l’Union européenne et la Communauté eu</w:t>
      </w:r>
      <w:r>
        <w:rPr>
          <w:noProof/>
        </w:rPr>
        <w:t>ropéenne de l’énergie atomique et leurs États membres, d’une part, et la République de Moldavie, d’autre part (ci-après l’«accord»), certaines parties de l’accord, y compris les dispositions relatives aux mesures sanitaires et phytosanitaires, sont appliqu</w:t>
      </w:r>
      <w:r>
        <w:rPr>
          <w:noProof/>
        </w:rPr>
        <w:t>ées à titre provisoire depuis le 1</w:t>
      </w:r>
      <w:r>
        <w:rPr>
          <w:noProof/>
          <w:vertAlign w:val="superscript"/>
        </w:rPr>
        <w:t>er</w:t>
      </w:r>
      <w:r>
        <w:rPr>
          <w:noProof/>
        </w:rPr>
        <w:t xml:space="preserve"> septembre 2014. </w:t>
      </w:r>
    </w:p>
    <w:p w:rsidR="00D557DC" w:rsidRDefault="00600BB5">
      <w:pPr>
        <w:pStyle w:val="ManualNumPar1"/>
        <w:rPr>
          <w:noProof/>
        </w:rPr>
      </w:pPr>
      <w:r>
        <w:rPr>
          <w:noProof/>
        </w:rPr>
        <w:t>(2)</w:t>
      </w:r>
      <w:r>
        <w:rPr>
          <w:noProof/>
        </w:rPr>
        <w:tab/>
      </w:r>
      <w:r>
        <w:rPr>
          <w:noProof/>
        </w:rPr>
        <w:t xml:space="preserve">L’article 181, paragraphe 1, de l’accord prévoit que la République de Moldavie adapte progressivement sa législation sanitaire, phytosanitaire et relative au bien-être animal à celle de l’Union selon les modalités exposées à l’annexe XXIV de l’accord. </w:t>
      </w:r>
    </w:p>
    <w:p w:rsidR="00D557DC" w:rsidRDefault="00600BB5">
      <w:pPr>
        <w:pStyle w:val="ManualNumPar1"/>
        <w:rPr>
          <w:noProof/>
        </w:rPr>
      </w:pPr>
      <w:r>
        <w:rPr>
          <w:noProof/>
        </w:rPr>
        <w:t>(3)</w:t>
      </w:r>
      <w:r>
        <w:rPr>
          <w:noProof/>
        </w:rPr>
        <w:tab/>
        <w:t>L’article 181, paragraphe 4, de l’accord fait obligation à la République de Moldavie de soumettre une liste de l’acquis de l’Union concernant les mesures sanitaires, phytosanitaires et relatives au bien-être animal sur lesquelles elle a l’intention d’alig</w:t>
      </w:r>
      <w:r>
        <w:rPr>
          <w:noProof/>
        </w:rPr>
        <w:t xml:space="preserve">ner sa législation interne au plus tard trois mois après l’entrée en vigueur de l’accord. Cette liste doit servir de document de référence pour la mise en œuvre du titre V (Commerce et questions liées au commerce), chapitre 4, de l’accord. </w:t>
      </w:r>
    </w:p>
    <w:p w:rsidR="00D557DC" w:rsidRDefault="00600BB5">
      <w:pPr>
        <w:pStyle w:val="ManualNumPar1"/>
        <w:rPr>
          <w:noProof/>
        </w:rPr>
      </w:pPr>
      <w:r>
        <w:rPr>
          <w:noProof/>
        </w:rPr>
        <w:t>(4)</w:t>
      </w:r>
      <w:r>
        <w:rPr>
          <w:noProof/>
        </w:rPr>
        <w:tab/>
        <w:t>L’article 1</w:t>
      </w:r>
      <w:r>
        <w:rPr>
          <w:noProof/>
        </w:rPr>
        <w:t xml:space="preserve">91 de l’accord a institué un sous-comité sanitaire et phytosanitaire, qui est chargé d’examiner toute question ayant trait au chapitre 4 du titre V (Commerce et questions liées au commerce), y compris sa mise en œuvre, et peut réviser et modifier l’annexe </w:t>
      </w:r>
      <w:r>
        <w:rPr>
          <w:noProof/>
        </w:rPr>
        <w:t>XXIV de l’accord.</w:t>
      </w:r>
    </w:p>
    <w:p w:rsidR="00D557DC" w:rsidRDefault="00600BB5">
      <w:pPr>
        <w:pStyle w:val="ManualNumPar1"/>
        <w:rPr>
          <w:noProof/>
        </w:rPr>
      </w:pPr>
      <w:r>
        <w:rPr>
          <w:noProof/>
        </w:rPr>
        <w:t>(5)</w:t>
      </w:r>
      <w:r>
        <w:rPr>
          <w:noProof/>
        </w:rPr>
        <w:tab/>
        <w:t xml:space="preserve">La République de Moldavie a présenté la liste susmentionnée de l’acquis de l’Union à la Commission européenne en novembre 2014 et l’a finalisée, en concertation avec la Commission européenne, en juillet 2015. </w:t>
      </w:r>
    </w:p>
    <w:p w:rsidR="00D557DC" w:rsidRDefault="00600BB5">
      <w:pPr>
        <w:pStyle w:val="ManualNumPar1"/>
        <w:rPr>
          <w:noProof/>
        </w:rPr>
      </w:pPr>
      <w:r>
        <w:rPr>
          <w:noProof/>
        </w:rPr>
        <w:t>(6)</w:t>
      </w:r>
      <w:r>
        <w:rPr>
          <w:noProof/>
        </w:rPr>
        <w:tab/>
        <w:t>Il convient que le s</w:t>
      </w:r>
      <w:r>
        <w:rPr>
          <w:noProof/>
        </w:rPr>
        <w:t>ous-comité sanitaire et phytosanitaire prenne une décision visant à modifier l’annexe XXIV-B de l’accord de manière à y inclure la liste figurant en annexe de la présente décision,</w:t>
      </w:r>
    </w:p>
    <w:p w:rsidR="00D557DC" w:rsidRDefault="00600BB5">
      <w:pPr>
        <w:rPr>
          <w:noProof/>
        </w:rPr>
      </w:pPr>
      <w:r>
        <w:rPr>
          <w:noProof/>
        </w:rPr>
        <w:t>A ADOPTÉ LA PRÉSENTE DÉCISION:</w:t>
      </w:r>
    </w:p>
    <w:p w:rsidR="00D557DC" w:rsidRDefault="00600BB5">
      <w:pPr>
        <w:pStyle w:val="Titrearticle"/>
        <w:rPr>
          <w:noProof/>
        </w:rPr>
      </w:pPr>
      <w:r>
        <w:rPr>
          <w:noProof/>
        </w:rPr>
        <w:t>Article premier</w:t>
      </w:r>
    </w:p>
    <w:p w:rsidR="00D557DC" w:rsidRDefault="00600BB5">
      <w:pPr>
        <w:rPr>
          <w:noProof/>
        </w:rPr>
      </w:pPr>
      <w:r>
        <w:rPr>
          <w:noProof/>
        </w:rPr>
        <w:t xml:space="preserve">L’annexe XXIV-B de l’accord </w:t>
      </w:r>
      <w:r>
        <w:rPr>
          <w:noProof/>
        </w:rPr>
        <w:t xml:space="preserve">d’association entre l’Union européenne et la Communauté européenne de l’énergie atomique et leurs États membres, d’une part, et la République de Moldavie, d’autre part, est modifiée conformément aux éléments figurant en annexe de la présente décision. </w:t>
      </w:r>
    </w:p>
    <w:p w:rsidR="00D557DC" w:rsidRDefault="00600BB5">
      <w:pPr>
        <w:pStyle w:val="Titrearticle"/>
        <w:rPr>
          <w:i w:val="0"/>
          <w:noProof/>
        </w:rPr>
      </w:pPr>
      <w:r>
        <w:rPr>
          <w:noProof/>
        </w:rPr>
        <w:lastRenderedPageBreak/>
        <w:t>Art</w:t>
      </w:r>
      <w:r>
        <w:rPr>
          <w:noProof/>
        </w:rPr>
        <w:t>icle 2</w:t>
      </w:r>
    </w:p>
    <w:p w:rsidR="00D557DC" w:rsidRDefault="00600BB5">
      <w:pPr>
        <w:pStyle w:val="ManualNumPar1"/>
        <w:rPr>
          <w:noProof/>
        </w:rPr>
      </w:pPr>
      <w:r>
        <w:rPr>
          <w:noProof/>
        </w:rPr>
        <w:t>La présente décision entre en vigueur le jour de son adoption.</w:t>
      </w:r>
    </w:p>
    <w:p w:rsidR="00D557DC" w:rsidRDefault="00600BB5">
      <w:pPr>
        <w:spacing w:after="360"/>
        <w:rPr>
          <w:noProof/>
        </w:rPr>
      </w:pPr>
      <w:r>
        <w:rPr>
          <w:noProof/>
        </w:rPr>
        <w:t>Fait à …, le …</w:t>
      </w:r>
    </w:p>
    <w:tbl>
      <w:tblPr>
        <w:tblW w:w="0" w:type="auto"/>
        <w:tblLook w:val="04A0" w:firstRow="1" w:lastRow="0" w:firstColumn="1" w:lastColumn="0" w:noHBand="0" w:noVBand="1"/>
      </w:tblPr>
      <w:tblGrid>
        <w:gridCol w:w="4643"/>
        <w:gridCol w:w="4644"/>
      </w:tblGrid>
      <w:tr w:rsidR="00D557DC">
        <w:tc>
          <w:tcPr>
            <w:tcW w:w="4643" w:type="dxa"/>
            <w:shd w:val="clear" w:color="auto" w:fill="auto"/>
          </w:tcPr>
          <w:p w:rsidR="00D557DC" w:rsidRDefault="00D557DC">
            <w:pPr>
              <w:ind w:left="2160" w:firstLine="720"/>
              <w:jc w:val="center"/>
              <w:rPr>
                <w:rFonts w:eastAsia="Times New Roman"/>
                <w:noProof/>
                <w:szCs w:val="24"/>
              </w:rPr>
            </w:pPr>
          </w:p>
        </w:tc>
        <w:tc>
          <w:tcPr>
            <w:tcW w:w="4644" w:type="dxa"/>
            <w:shd w:val="clear" w:color="auto" w:fill="auto"/>
          </w:tcPr>
          <w:p w:rsidR="00D557DC" w:rsidRDefault="00600BB5">
            <w:pPr>
              <w:spacing w:before="0" w:after="0"/>
              <w:rPr>
                <w:i/>
                <w:noProof/>
              </w:rPr>
            </w:pPr>
            <w:r>
              <w:rPr>
                <w:i/>
                <w:noProof/>
              </w:rPr>
              <w:t xml:space="preserve">Pour le sous-comité sanitaire et phytosanitaire </w:t>
            </w:r>
          </w:p>
          <w:p w:rsidR="00D557DC" w:rsidRDefault="00D557DC">
            <w:pPr>
              <w:spacing w:before="0" w:after="0"/>
              <w:rPr>
                <w:i/>
                <w:noProof/>
              </w:rPr>
            </w:pPr>
          </w:p>
        </w:tc>
      </w:tr>
      <w:tr w:rsidR="00D557DC">
        <w:tc>
          <w:tcPr>
            <w:tcW w:w="4643" w:type="dxa"/>
            <w:shd w:val="clear" w:color="auto" w:fill="auto"/>
          </w:tcPr>
          <w:p w:rsidR="00D557DC" w:rsidRDefault="00D557DC">
            <w:pPr>
              <w:rPr>
                <w:rFonts w:eastAsia="Times New Roman"/>
                <w:noProof/>
                <w:szCs w:val="24"/>
              </w:rPr>
            </w:pPr>
          </w:p>
        </w:tc>
        <w:tc>
          <w:tcPr>
            <w:tcW w:w="4644" w:type="dxa"/>
            <w:shd w:val="clear" w:color="auto" w:fill="auto"/>
          </w:tcPr>
          <w:p w:rsidR="00D557DC" w:rsidRDefault="00600BB5">
            <w:pPr>
              <w:rPr>
                <w:rFonts w:eastAsia="Times New Roman"/>
                <w:i/>
                <w:noProof/>
                <w:szCs w:val="24"/>
              </w:rPr>
            </w:pPr>
            <w:r>
              <w:rPr>
                <w:i/>
                <w:noProof/>
              </w:rPr>
              <w:t>Le président</w:t>
            </w:r>
          </w:p>
        </w:tc>
      </w:tr>
    </w:tbl>
    <w:p w:rsidR="00D557DC" w:rsidRDefault="00D557DC">
      <w:pPr>
        <w:jc w:val="center"/>
        <w:rPr>
          <w:noProof/>
        </w:rPr>
        <w:sectPr w:rsidR="00D557DC" w:rsidSect="00600BB5">
          <w:footerReference w:type="default" r:id="rId15"/>
          <w:footerReference w:type="first" r:id="rId16"/>
          <w:pgSz w:w="11907" w:h="16839"/>
          <w:pgMar w:top="1134" w:right="1418" w:bottom="1134" w:left="1418" w:header="720" w:footer="720" w:gutter="0"/>
          <w:cols w:space="720"/>
          <w:docGrid w:linePitch="326"/>
        </w:sectPr>
      </w:pPr>
    </w:p>
    <w:p w:rsidR="00D557DC" w:rsidRDefault="00600BB5">
      <w:pPr>
        <w:jc w:val="right"/>
        <w:rPr>
          <w:b/>
          <w:noProof/>
          <w:u w:val="single"/>
        </w:rPr>
      </w:pPr>
      <w:r>
        <w:rPr>
          <w:b/>
          <w:noProof/>
          <w:u w:val="single"/>
        </w:rPr>
        <w:t>ANNEXE</w:t>
      </w:r>
    </w:p>
    <w:p w:rsidR="00D557DC" w:rsidRDefault="00600BB5">
      <w:pPr>
        <w:spacing w:after="360"/>
        <w:jc w:val="center"/>
        <w:rPr>
          <w:b/>
          <w:caps/>
          <w:noProof/>
        </w:rPr>
      </w:pPr>
      <w:r>
        <w:rPr>
          <w:b/>
          <w:caps/>
          <w:noProof/>
        </w:rPr>
        <w:t>modification de l’annexe XXIV-B de l’accord d’association</w:t>
      </w:r>
    </w:p>
    <w:p w:rsidR="00D557DC" w:rsidRDefault="00600BB5">
      <w:pPr>
        <w:spacing w:after="360"/>
        <w:rPr>
          <w:noProof/>
        </w:rPr>
      </w:pPr>
      <w:r>
        <w:rPr>
          <w:noProof/>
        </w:rPr>
        <w:t xml:space="preserve">L’annexe XXIV-B de l’accord est modifiée et doit se lire comme suit: </w:t>
      </w:r>
    </w:p>
    <w:p w:rsidR="00D557DC" w:rsidRDefault="00600BB5">
      <w:pPr>
        <w:spacing w:after="360"/>
        <w:jc w:val="center"/>
        <w:rPr>
          <w:caps/>
          <w:noProof/>
        </w:rPr>
      </w:pPr>
      <w:r>
        <w:rPr>
          <w:caps/>
          <w:noProof/>
        </w:rPr>
        <w:t>«ANNEXE XXIV-B</w:t>
      </w:r>
    </w:p>
    <w:p w:rsidR="00D557DC" w:rsidRDefault="00600BB5">
      <w:pPr>
        <w:spacing w:after="360"/>
        <w:jc w:val="center"/>
        <w:rPr>
          <w:caps/>
          <w:noProof/>
        </w:rPr>
      </w:pPr>
      <w:r>
        <w:rPr>
          <w:caps/>
          <w:noProof/>
        </w:rPr>
        <w:t>Liste de la législation de l’Union européenne dont la République de Moldavie doit se rapprocher</w:t>
      </w:r>
    </w:p>
    <w:p w:rsidR="00D557DC" w:rsidRDefault="00600BB5">
      <w:pPr>
        <w:widowControl w:val="0"/>
        <w:spacing w:before="0" w:after="0"/>
        <w:rPr>
          <w:rFonts w:eastAsia="Times New Roman"/>
          <w:noProof/>
          <w:szCs w:val="24"/>
        </w:rPr>
      </w:pPr>
      <w:r>
        <w:rPr>
          <w:noProof/>
        </w:rPr>
        <w:t>Conforméme</w:t>
      </w:r>
      <w:r>
        <w:rPr>
          <w:noProof/>
        </w:rPr>
        <w:t>nt à l’article 181, paragraphe 4, du présent accord, la République de Moldavie procède au rapprochement de sa législation avec la législation suivante de l’Union dans les délais mentionnés ci-dessous.</w:t>
      </w:r>
    </w:p>
    <w:tbl>
      <w:tblPr>
        <w:tblW w:w="9729" w:type="dxa"/>
        <w:tblLayout w:type="fixed"/>
        <w:tblCellMar>
          <w:top w:w="15" w:type="dxa"/>
          <w:left w:w="15" w:type="dxa"/>
          <w:bottom w:w="15" w:type="dxa"/>
          <w:right w:w="15" w:type="dxa"/>
        </w:tblCellMar>
        <w:tblLook w:val="0000" w:firstRow="0" w:lastRow="0" w:firstColumn="0" w:lastColumn="0" w:noHBand="0" w:noVBand="0"/>
      </w:tblPr>
      <w:tblGrid>
        <w:gridCol w:w="7842"/>
        <w:gridCol w:w="1887"/>
      </w:tblGrid>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b/>
                <w:bCs/>
                <w:noProof/>
                <w:szCs w:val="24"/>
              </w:rPr>
            </w:pPr>
            <w:r>
              <w:rPr>
                <w:b/>
                <w:noProof/>
              </w:rPr>
              <w:t>Législation de l’Union</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D557DC">
            <w:pPr>
              <w:widowControl w:val="0"/>
              <w:spacing w:before="40" w:after="40"/>
              <w:jc w:val="center"/>
              <w:rPr>
                <w:rFonts w:eastAsia="Times New Roman"/>
                <w:b/>
                <w:bCs/>
                <w:noProof/>
                <w:szCs w:val="24"/>
              </w:rPr>
            </w:pPr>
          </w:p>
          <w:p w:rsidR="00D557DC" w:rsidRDefault="00600BB5">
            <w:pPr>
              <w:widowControl w:val="0"/>
              <w:spacing w:before="40" w:after="40"/>
              <w:jc w:val="center"/>
              <w:rPr>
                <w:rFonts w:eastAsia="Times New Roman"/>
                <w:b/>
                <w:bCs/>
                <w:noProof/>
                <w:szCs w:val="24"/>
              </w:rPr>
            </w:pPr>
            <w:r>
              <w:rPr>
                <w:b/>
                <w:noProof/>
              </w:rPr>
              <w:t>Délai de rapprochement</w:t>
            </w:r>
          </w:p>
        </w:tc>
      </w:tr>
      <w:tr w:rsidR="00D557DC">
        <w:trPr>
          <w:trHeight w:val="20"/>
        </w:trPr>
        <w:tc>
          <w:tcPr>
            <w:tcW w:w="97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jc w:val="center"/>
              <w:rPr>
                <w:rFonts w:eastAsia="Times New Roman"/>
                <w:bCs/>
                <w:noProof/>
                <w:szCs w:val="24"/>
              </w:rPr>
            </w:pPr>
            <w:r>
              <w:rPr>
                <w:b/>
                <w:noProof/>
              </w:rPr>
              <w:t>Section</w:t>
            </w:r>
            <w:r>
              <w:rPr>
                <w:b/>
                <w:noProof/>
              </w:rPr>
              <w:t xml:space="preserve"> 1 – Généralités</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Règlement (CE) nº 178/2002 du Parlement européen et du Conseil du 28 janvier 2002 établissant les principes généraux et les prescriptions générales de la législation alimentaire, instituant l’Autorité européenne de sécurité des aliments e</w:t>
            </w:r>
            <w:r>
              <w:rPr>
                <w:noProof/>
              </w:rPr>
              <w:t>t fixant des procédures relatives à la sécurité des denrées alimentaires, à l’exception des articles 58, 59 et 62</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Règlement (CE) nº 1304/2003 de la Commission du 23 juillet 2003 sur la procédure appliquée par l’Autorité européenne de sécurité des </w:t>
            </w:r>
            <w:r>
              <w:rPr>
                <w:noProof/>
              </w:rPr>
              <w:t>aliments aux demandes d’avis scientifiques dont elle est saisie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2020</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2004/478/CE de la Commission du 29 avril 2004 relative à l’adoption d’un plan général de gestion des crises dans le domaine des denrées alimentaires et des aliments pour animaux</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Règlement (UE) nº 16/2011 de la Commission du 10 janvier 2011 portant modalités d’application relatives au système d’alerte rapide pour les denrées alimentaires et les aliments pour animaux</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Règlement (CE) nº 1151/2009 de la Commission du 27 no</w:t>
            </w:r>
            <w:r>
              <w:rPr>
                <w:noProof/>
              </w:rPr>
              <w:t>vembre 2009 soumettant l’importation d’huile de tournesol originaire ou en provenance d’Ukraine à des conditions particulières, en raison d’un risque de contamination par des huiles minérales, et abrogeant la décision 2008/433/CE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strike/>
                <w:noProof/>
                <w:szCs w:val="24"/>
              </w:rPr>
            </w:pPr>
            <w:r>
              <w:rPr>
                <w:noProof/>
              </w:rPr>
              <w:t>Règlement d’exécutio</w:t>
            </w:r>
            <w:r>
              <w:rPr>
                <w:noProof/>
              </w:rPr>
              <w:t>n (UE) nº 884/2014 de la Commission du 13 août 2014 fixant des conditions particulières applicables à l’importation de certains aliments pour animaux et de certaines denrées alimentaires venant de certains pays tiers en raison du risque de contamination pa</w:t>
            </w:r>
            <w:r>
              <w:rPr>
                <w:noProof/>
              </w:rPr>
              <w:t xml:space="preserve">r les aflatoxines, et abrogeant le règlement (CE) n º 1152/2009 </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(UE) nº 258/2010 de la Commission du 25 mars 2010 soumettant les importations de gomme de guar originaire ou en provenance d’Inde à des conditions particulières, en raison des</w:t>
            </w:r>
            <w:r>
              <w:rPr>
                <w:noProof/>
              </w:rPr>
              <w:t xml:space="preserve"> risques de contamination par le pentachlorophénol et les dioxines, et abrogeant la décision 2008/352/CE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d’exécution (UE) nº 208/2013 de la Commission du 11 mars 2013 sur les exigences en matière de traçabilité pour les germes et les graine</w:t>
            </w:r>
            <w:r>
              <w:rPr>
                <w:noProof/>
              </w:rPr>
              <w:t>s destinées à la production de germes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Règlement d’exécution (UE) nº 931/2011 de la Commission du 19 septembre 2011 relatif aux exigences de traçabilité définies par le règlement (CE) nº 178/2002 du Parlement européen et du Conseil en ce qui concerne </w:t>
            </w:r>
            <w:r>
              <w:rPr>
                <w:noProof/>
              </w:rPr>
              <w:t>les denrées alimentaires d’origine animale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Règlement (CE) nº 178/2002 du Parlement européen et du Conseil du 28 janvier 2002 établissant les principes généraux et les prescriptions générales de la législation alimentaire, instituant l’Autorité </w:t>
            </w:r>
            <w:r>
              <w:rPr>
                <w:noProof/>
              </w:rPr>
              <w:t>européenne de sécurité des aliments et fixant des procédures relatives à la sécurité des denrées alimentaires – articles 58, 59 et 62</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9729" w:type="dxa"/>
            <w:gridSpan w:val="2"/>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0"/>
              <w:jc w:val="center"/>
              <w:rPr>
                <w:rFonts w:eastAsia="Times New Roman"/>
                <w:noProof/>
                <w:szCs w:val="24"/>
              </w:rPr>
            </w:pPr>
            <w:bookmarkStart w:id="1" w:name="_Toc127327582"/>
            <w:bookmarkStart w:id="2" w:name="_Toc127327583"/>
            <w:bookmarkStart w:id="3" w:name="_Toc394585565"/>
            <w:r>
              <w:rPr>
                <w:b/>
                <w:noProof/>
              </w:rPr>
              <w:t xml:space="preserve">Section 2 – </w:t>
            </w:r>
            <w:bookmarkEnd w:id="1"/>
            <w:bookmarkEnd w:id="2"/>
            <w:bookmarkEnd w:id="3"/>
            <w:r>
              <w:rPr>
                <w:b/>
                <w:noProof/>
              </w:rPr>
              <w:t>Dispositions vétérinaires</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i/>
                <w:noProof/>
                <w:szCs w:val="24"/>
              </w:rPr>
            </w:pPr>
            <w:r>
              <w:rPr>
                <w:noProof/>
              </w:rPr>
              <w:t xml:space="preserve">Directive 2002/99/CE du Conseil du 16 décembre 2002 fixant les règles de </w:t>
            </w:r>
            <w:r>
              <w:rPr>
                <w:noProof/>
              </w:rPr>
              <w:t>police sanitaire régissant la production, la transformation, la distribution et l’introduction des produits d’origine animale destinés à la consommation humaine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2003/24/CE de la Commission du 30 décembre 2002 concernant le développement d’un</w:t>
            </w:r>
            <w:r>
              <w:rPr>
                <w:noProof/>
              </w:rPr>
              <w:t xml:space="preserve"> système informatique vétérinaire intégré</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2005/734/CE de la Commission du 19 octobre 2005 arrêtant des mesures de biosécurité destinées à limiter le risque de transmission aux volailles et autres oiseaux captifs, par des oiseaux vivant à l’é</w:t>
            </w:r>
            <w:r>
              <w:rPr>
                <w:noProof/>
              </w:rPr>
              <w:t>tat sauvage, de l’influenza aviaire hautement pathogène causée par le sous-type H5N1 du virus de l’influenza A, et établissant un système de détection précoce dans les zones particulièrement exposées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Décision 2006/415/CE de la Commission du 14 juin </w:t>
            </w:r>
            <w:r>
              <w:rPr>
                <w:noProof/>
              </w:rPr>
              <w:t>2006 concernant certaines mesures de protection relatives à l’influenza aviaire hautement pathogène du sous-type H5N1 chez les volailles dans la Communauté et abrogeant la décision 2006/135/CE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2006/563/CE de la Commission du 11 août 2006 con</w:t>
            </w:r>
            <w:r>
              <w:rPr>
                <w:noProof/>
              </w:rPr>
              <w:t>cernant certaines mesures de protection relatives à la présence de l’influenza aviaire hautement pathogène du sous-type H5N1 chez les oiseaux sauvages dans la Communauté et abrogeant la décision 2006/115/CE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2010/57/UE de la Commission du 3 f</w:t>
            </w:r>
            <w:r>
              <w:rPr>
                <w:noProof/>
              </w:rPr>
              <w:t>évrier 2010 établissant des garanties sanitaires pour le transit des équidés transportés à travers les territoires mentionnés à l’annexe I de la directive 97/78/CE du Conseil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d’exécution (UE) nº 139/2013 de la Commission du 7 janvier 2013 f</w:t>
            </w:r>
            <w:r>
              <w:rPr>
                <w:noProof/>
              </w:rPr>
              <w:t>ixant les conditions de police sanitaire applicables aux importations de certains oiseaux dans l’Union et les conditions de quarantaine qui leur sont applicables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d’exécution (UE) nº 750/2014 de la Commission du 10 juillet 2014 établissant d</w:t>
            </w:r>
            <w:r>
              <w:rPr>
                <w:noProof/>
              </w:rPr>
              <w:t>es mesures de protection relatives à la diarrhée épidémique porcine en ce qui concerne les conditions de police sanitaire applicables à l’introduction de porcins dans l’Union européenne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Directive 97/78/CE du Conseil du 18 décembre 1997 fixant les </w:t>
            </w:r>
            <w:r>
              <w:rPr>
                <w:noProof/>
              </w:rPr>
              <w:t>principes relatifs à l’organisation des contrôles vétérinaires pour les produits en provenance des pays tiers introduits dans la Communauté</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78/685/CEE de la Commission du 26 juillet 1978 portant établissement d’une liste de maladies épizooti</w:t>
            </w:r>
            <w:r>
              <w:rPr>
                <w:noProof/>
              </w:rPr>
              <w:t>ques conformément aux dispositions de la directive 72/462/CEE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2015</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560"/>
                <w:tab w:val="left" w:pos="1985"/>
                <w:tab w:val="right" w:pos="2997"/>
                <w:tab w:val="left" w:pos="3087"/>
              </w:tabs>
              <w:autoSpaceDE w:val="0"/>
              <w:autoSpaceDN w:val="0"/>
              <w:adjustRightInd w:val="0"/>
              <w:spacing w:before="0" w:after="200"/>
              <w:rPr>
                <w:rFonts w:eastAsia="Times New Roman"/>
                <w:noProof/>
                <w:szCs w:val="24"/>
              </w:rPr>
            </w:pPr>
            <w:r>
              <w:rPr>
                <w:noProof/>
              </w:rPr>
              <w:t>Directive 64/432/CEE du Conseil du 26 juin 1964 relative à des problèmes de police sanitaire en matière d’échanges intracommunautaires d’animaux des espèces bovine et porcine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(CE) nº 494/98 de la Commission du 27 février 1998 arrêtant certaines modalités d’application du règlement (CE) nº 820/97 du Conseil concernant l’application de sanctions administratives minimales dans le cadre du système d’identification et d’en</w:t>
            </w:r>
            <w:r>
              <w:rPr>
                <w:noProof/>
              </w:rPr>
              <w:t>registrement des bovins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Décision 2006/968/CE de la Commission du 15 décembre 2006 portant application du règlement (CE) nº 21/2004 du Conseil en ce qui concerne les lignes directrices et procédures relatives à l’identification électronique des </w:t>
            </w:r>
            <w:r>
              <w:rPr>
                <w:noProof/>
              </w:rPr>
              <w:t>animaux des espèces ovine et caprine</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2009/156/CE du Conseil du 30 novembre 2009 relative aux conditions de police sanitaire régissant les mouvements d’équidés et les importations d’équidés en provenance des pays tiers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(CE) </w:t>
            </w:r>
            <w:r>
              <w:rPr>
                <w:noProof/>
              </w:rPr>
              <w:t>nº 504/2008 de la Commission du 6 juin 2008 portant application des directives 90/426/CEE et 90/427/CEE du Conseil en ce qui concerne les méthodes d’identification des équidés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Directive 2001/89/CE du Conseil du 23 octobre 2001 relative à des mesures </w:t>
            </w:r>
            <w:r>
              <w:rPr>
                <w:noProof/>
              </w:rPr>
              <w:t>communautaires de lutte contre la peste porcine classique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2002/106/CE de la Commission du 1</w:t>
            </w:r>
            <w:r>
              <w:rPr>
                <w:noProof/>
                <w:vertAlign w:val="superscript"/>
              </w:rPr>
              <w:t>er </w:t>
            </w:r>
            <w:r>
              <w:rPr>
                <w:noProof/>
              </w:rPr>
              <w:t xml:space="preserve">février 2002 portant approbation d’un manuel diagnostique établissant des procédures de diagnostic, des méthodes d’échantillonnage et des critères </w:t>
            </w:r>
            <w:r>
              <w:rPr>
                <w:noProof/>
              </w:rPr>
              <w:t>pour l’évaluation des tests de laboratoire de confirmation de la peste porcine classique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2002/60/CE du Conseil du 27 juin 2002 établissant des dispositions spécifiques pour la lutte contre la peste porcine africaine et modifiant la directiv</w:t>
            </w:r>
            <w:r>
              <w:rPr>
                <w:noProof/>
              </w:rPr>
              <w:t>e 92/119/CEE, en ce qui concerne la maladie de Teschen et la peste porcine africaine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2003/422/CE de la Commission du 26 mai 2003 portant approbation du manuel de diagnostic de la peste porcine africaine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2006/437/CE de la Commi</w:t>
            </w:r>
            <w:r>
              <w:rPr>
                <w:noProof/>
              </w:rPr>
              <w:t>ssion du 4 août 2006 portant approbation d’un manuel de diagnostic pour l’influenza aviaire conformément à la directive 2005/94/CE du Conseil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(CE) nº 616/2009 de la Commission du 13 juillet 2009 portant modalités d’application de la </w:t>
            </w:r>
            <w:r>
              <w:rPr>
                <w:noProof/>
              </w:rPr>
              <w:t>directive 2005/94/CE du Conseil en ce qui concerne l’agrément de compartiments d’élevage de volailles et de compartiments d’élevage d’autres oiseaux captifs au regard de l’influenza aviaire ainsi que des mesures de biosécurité préventive supplémentaires da</w:t>
            </w:r>
            <w:r>
              <w:rPr>
                <w:noProof/>
              </w:rPr>
              <w:t>ns ces compartiments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92/66/CEE du Conseil du 14 juillet 1992 établissant des mesures communautaires de lutte contre la maladie de Newcastle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2000/75/CE du Conseil du 20 novembre 2000 arrêtant des dispositions spécifiques rela</w:t>
            </w:r>
            <w:r>
              <w:rPr>
                <w:noProof/>
              </w:rPr>
              <w:t>tives aux mesures de lutte et d’éradication de la fièvre catarrhale du mouton ou bluetongue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(CE) nº 1266/2007 de la Commission du 26 octobre 2007 portant modalités d’application de la directive 2000/75/CE du Conseil en ce qui concerne la </w:t>
            </w:r>
            <w:r>
              <w:rPr>
                <w:noProof/>
              </w:rPr>
              <w:t>lutte contre la fièvre catarrhale du mouton, son suivi, sa surveillance et les restrictions applicables aux mouvements de certains animaux des espèces qui y sont sensibles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(CE) nº 999/2001 du Parlement européen et du Conseil de 22 mai 2001 </w:t>
            </w:r>
            <w:r>
              <w:rPr>
                <w:noProof/>
              </w:rPr>
              <w:t>fixant les règles pour la prévention, le contrôle et l’éradication de certaines encéphalopathies spongiformes transmissibles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Décision 2007/843/CE de la Commission du 11 décembre 2007 relative à l’approbation des programmes de contrôle des salmonelles dans les troupeaux reproducteurs de </w:t>
            </w:r>
            <w:r>
              <w:rPr>
                <w:i/>
                <w:noProof/>
              </w:rPr>
              <w:t>Gallus gallus</w:t>
            </w:r>
            <w:r>
              <w:rPr>
                <w:noProof/>
              </w:rPr>
              <w:t xml:space="preserve"> dans certains pays tiers conformément au règlement (CE) nº 2160/2003 du Parlemen</w:t>
            </w:r>
            <w:r>
              <w:rPr>
                <w:noProof/>
              </w:rPr>
              <w:t>t européen et du Conseil et modifiant la décision 2006/696/CE en ce qui concerne certaines conditions de police sanitaire applicables aux importations de volailles et d’œufs à couver</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2015</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2007/848/CE de la Commission du 11 décembre 2007 portant a</w:t>
            </w:r>
            <w:r>
              <w:rPr>
                <w:noProof/>
              </w:rPr>
              <w:t xml:space="preserve">pprobation de certains programmes nationaux de contrôle des salmonelles dans les cheptels de poules pondeuses </w:t>
            </w:r>
            <w:r>
              <w:rPr>
                <w:i/>
                <w:noProof/>
              </w:rPr>
              <w:t>Gallus gallus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2015</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Décision 2008/815/CE de la Commission du 20 octobre 2008 portant approbation de certains programmes nationaux de contrôle des </w:t>
            </w:r>
            <w:r>
              <w:rPr>
                <w:noProof/>
              </w:rPr>
              <w:t xml:space="preserve">salmonelles dans les cheptels de poules pondeuses </w:t>
            </w:r>
            <w:r>
              <w:rPr>
                <w:i/>
                <w:noProof/>
              </w:rPr>
              <w:t>Gallus gallus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2015</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2009/771/CE de la Commission du 20 octobre 2009 portant approbation de certains programmes nationaux de contrôle des salmonelles chez les dindes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2015</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Directive 92/119/CEE du </w:t>
            </w:r>
            <w:r>
              <w:rPr>
                <w:noProof/>
              </w:rPr>
              <w:t>Conseil du 17 décembre 1992 établissant des mesures communautaires générales de lutte contre certaines maladies animales ainsi que des mesures spécifiques à l’égard de la maladie vésiculeuse du porc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2004/226/CE de la Commission du 4 mars 200</w:t>
            </w:r>
            <w:r>
              <w:rPr>
                <w:noProof/>
              </w:rPr>
              <w:t>4 autorisant les essais de recherche d’anticorps contre la brucellose bovine dans le cadre de la directive 64/432/CEE du Conseil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91/68/CEE du Conseil du 28 janvier 1991 relative aux conditions de police sanitaire régissant les échanges intr</w:t>
            </w:r>
            <w:r>
              <w:rPr>
                <w:noProof/>
              </w:rPr>
              <w:t>acommunautaires d’ovins et de caprins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95/329/CE de la Commission du 25 juillet 1995 fixant les catégories d’équidés mâles auxquels l’exigence pour l’artérite virale prévue à l’article 15, point b) ii) de la directive 90/426/CEE du Conseil es</w:t>
            </w:r>
            <w:r>
              <w:rPr>
                <w:noProof/>
              </w:rPr>
              <w:t>t applicable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2001/183/CE de la Commission du 22 février 2001 fixant les plans d’échantillonnage et les méthodes de diagnostic pour la détection et la confirmation de certaines maladies des poissons et abrogeant la décision 92/532/CEE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90/429/CEE du Conseil du 26 juin 1990 fixant les exigences de police sanitaire applicables aux échanges intracommunautaires et aux importations de sperme d’animaux de l’espèce porcine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2020</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92/65/CEE du Conseil du 13 juillet 1992 défini</w:t>
            </w:r>
            <w:r>
              <w:rPr>
                <w:noProof/>
              </w:rPr>
              <w:t>ssant les conditions de police sanitaire régissant les échanges et les importations dans la Communauté d’animaux, de spermes, d’ovules et d’embryons non soumis, en ce qui concerne les conditions de police sanitaire, aux réglementations communautaires spéci</w:t>
            </w:r>
            <w:r>
              <w:rPr>
                <w:noProof/>
              </w:rPr>
              <w:t>fiques visées à l’annexe A section I de la directive 90/425/CEE</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96/22/CE du Conseil du 29 avril 1996 concernant l’interdiction d’utilisation de certaines substances</w:t>
            </w:r>
            <w:r>
              <w:rPr>
                <w:noProof/>
              </w:rPr>
              <w:tab/>
              <w:t xml:space="preserve">à effet hormonal ou thyréostatique et des substances ß-agonistes dans les </w:t>
            </w:r>
            <w:r>
              <w:rPr>
                <w:noProof/>
              </w:rPr>
              <w:t>spéculations animales et abrogeant les directives 81/602/CEE, 88/146/CEE et 88/299/CEE</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Décision 1999/879/CE du Conseil du 17 décembre 1999 concernant la mise sur le marché et l’administration de la somatotropine bovine (BST) et abrogeant la décision </w:t>
            </w:r>
            <w:r>
              <w:rPr>
                <w:noProof/>
              </w:rPr>
              <w:t>90/218/CEE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Décision 97/747/CE de la Commission du 27 octobre 1997 fixant les niveaux et fréquences de prélèvement d’échantillons prévus par la directive 96/23/CE du Conseil en vue de la recherche de certaines substances et de leurs résidus dans </w:t>
            </w:r>
            <w:r>
              <w:rPr>
                <w:noProof/>
              </w:rPr>
              <w:t>certains produits animaux</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98/179/CE de la Commission du 23 février 1998 fixant les modalités de prise d’échantillons officiels pour la recherche de certaines substances et de leurs résidus dans les animaux vivants et leurs produits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Dir</w:t>
            </w:r>
            <w:r>
              <w:rPr>
                <w:noProof/>
              </w:rPr>
              <w:t xml:space="preserve">ective 2006/88/CE du Conseil du 24 octobre 2006 relative aux conditions de police sanitaire applicables aux animaux et aux produits d’aquaculture, et relative à la prévention de certaines maladies chez les animaux aquatiques et aux mesures de lutte contre </w:t>
            </w:r>
            <w:r>
              <w:rPr>
                <w:noProof/>
              </w:rPr>
              <w:t>ces maladies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2002/657/CE de la Commission du 14 août 2002 portant modalités d’application de la directive 96/23/CE du Conseil en ce qui concerne les performances des méthodes d’analyse et l’interprétation des résultats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92/260/</w:t>
            </w:r>
            <w:r>
              <w:rPr>
                <w:noProof/>
              </w:rPr>
              <w:t>CEE de la Commission du 10 avril 1992 relative aux conditions sanitaires et à la certification sanitaire requises pour l’admission temporaire de chevaux enregistrés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2008/946/CE de la Commission du 12 décembre 2008 portant application de la d</w:t>
            </w:r>
            <w:r>
              <w:rPr>
                <w:noProof/>
              </w:rPr>
              <w:t>irective 2006/88/CE du Conseil en ce qui concerne les exigences liées à la mise en quarantaine des animaux d’aquaculture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Directive 2004/41/CE du Parlement européen et du Conseil du 21 avril 2004 abrogeant certaines directives relatives à l’hygiène </w:t>
            </w:r>
            <w:r>
              <w:rPr>
                <w:noProof/>
              </w:rPr>
              <w:t>des denrées alimentaires et aux règles sanitaires régissant la production et la mise sur le marché de certains produits d’origine animale destinés à la consommation humaine, et modifiant les directives 89/662/CEE et 92/118/CEE du Conseil ainsi que la décis</w:t>
            </w:r>
            <w:r>
              <w:rPr>
                <w:noProof/>
              </w:rPr>
              <w:t>ion 95/408/CE du Conseil</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2006/778/CE de la Commission du 14 novembre 2006 concernant les exigences minimales relatives à la collecte d’informations lors des inspections de sites de production de certains animaux d’élevage.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Directive 20</w:t>
            </w:r>
            <w:r>
              <w:rPr>
                <w:noProof/>
              </w:rPr>
              <w:t>08/119/CE du Conseil du 18 décembre 2008 établissant les normes minimales relatives à la protection des veaux</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Directive 2008/120/CE du Conseil du 18 décembre 2008 établissant les normes minimales relatives à la protection des porcs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Décision </w:t>
            </w:r>
            <w:r>
              <w:rPr>
                <w:noProof/>
              </w:rPr>
              <w:t>d’exécution 2013/188/UE de la Commission du 18 avril 2013 relative aux rapports annuels à établir concernant les inspections non discriminatoires réalisées conformément au règlement (CE) nº 1/2005 du Conseil relatif à la protection des animaux pendant le t</w:t>
            </w:r>
            <w:r>
              <w:rPr>
                <w:noProof/>
              </w:rPr>
              <w:t>ransport et les opérations annexes et modifiant les directives 64/432/CEE et 93/119/CE et le règlement (CE) nº 1255/97</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Règlement (CE) nº 1255/97 du Conseil du 25 juin 1997 concernant les critères communautaires requis aux points de contrôle et </w:t>
            </w:r>
            <w:r>
              <w:rPr>
                <w:noProof/>
              </w:rPr>
              <w:t>adaptant le plan de marche visé à l’annexe de la directive 91/628/CEE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2009/157/CE du Conseil du 30 novembre 2009 concernant les animaux de l’espèce bovine reproducteurs de race pure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84/247/CEE de la Commission du 27 avril 198</w:t>
            </w:r>
            <w:r>
              <w:rPr>
                <w:noProof/>
              </w:rPr>
              <w:t>4 déterminant les critères de reconnaissance des organisations et associations d’éleveurs tenant ou créant des livres généalogiques pour les bovins reproducteurs de race pure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84/419/CEE de la Commission du 19 juillet 1984 déterminant les cri</w:t>
            </w:r>
            <w:r>
              <w:rPr>
                <w:noProof/>
              </w:rPr>
              <w:t>tères d’inscription dans les livres généalogiques des bovins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i/>
                <w:noProof/>
                <w:szCs w:val="24"/>
              </w:rPr>
            </w:pPr>
            <w:r>
              <w:rPr>
                <w:noProof/>
              </w:rPr>
              <w:t>Directive 87/328/CEE du Conseil du 18 juin 1987 relative à l’admission à la reproduction des bovins reproducteurs de race pure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Décision 96/463/CE du Conseil du 23 juillet 1996 </w:t>
            </w:r>
            <w:r>
              <w:rPr>
                <w:noProof/>
              </w:rPr>
              <w:t>désignant l’organisme de référence chargé de collaborer à l’uniformisation des méthodes de testage et de l’évaluation des résultats des bovins reproducteurs de race pure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2005/379/CE de la Commission du 17 mai 2005 relative aux certificats gé</w:t>
            </w:r>
            <w:r>
              <w:rPr>
                <w:noProof/>
              </w:rPr>
              <w:t>néalogiques et aux indications à y faire figurer en ce qui concerne les animaux de l’espèce bovine reproducteurs de race pure, ainsi que le sperme, les ovules et les embryons qui en proviennent</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2006/427/CE de la Commission du 20 juin 2006 fi</w:t>
            </w:r>
            <w:r>
              <w:rPr>
                <w:noProof/>
              </w:rPr>
              <w:t>xant les méthodes de contrôle des performances et d’appréciation de la valeur génétique des animaux de l’espèce bovine reproducteurs de race pure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88/661/CEE du Conseil du 19 décembre 1988 relative aux normes zootechniques applicables aux an</w:t>
            </w:r>
            <w:r>
              <w:rPr>
                <w:noProof/>
              </w:rPr>
              <w:t>imaux de l’espèce porcine reproducteurs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Décision 89/501/CEE de la Commission du 18 juillet 1989 déterminant les critères d’agrément et de surveillance des associations d’éleveurs et des organisations d’élevage tenant ou créant des livres généalogiques pour les reproducteurs porcins de race pure </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Décision 89/502/CEE de la Commission du 18 juillet 1989 déterminant les critères d’inscription dans les livres généalogiques des reproducteurs porcins de race pure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Décision 89/503/CEE de la Commission du 18 juillet 1989 fixant le certificat de</w:t>
            </w:r>
            <w:r>
              <w:rPr>
                <w:noProof/>
              </w:rPr>
              <w:t>s reproducteurs porcins de race pure, de leurs sperme, ovules et embryons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Décision 89/504/CEE de la Commission du 18 juillet 1989 déterminant les critères d’agrément et de surveillance des associations d’éleveurs, des organisations d’élevage et des </w:t>
            </w:r>
            <w:r>
              <w:rPr>
                <w:noProof/>
              </w:rPr>
              <w:t>entreprises privées tenant ou créant des registres pour les reproducteurs porcins hybrides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Décision 89/505/CEE de la Commission du 18 juillet 1989 déterminant les critères d’inscription dans les livres généalogiques des reproducteurs porcins de race </w:t>
            </w:r>
            <w:r>
              <w:rPr>
                <w:noProof/>
              </w:rPr>
              <w:t>pure</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Décision 89/506/CEE de la Commission du 18 juillet 1989 fixant le certificat des reproducteurs porcins hybrides, de leurs sperme, ovules et embryons </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Décision 89/507/CEE de la Commission du 18 juillet 1989 fixant les méthodes de contrôle </w:t>
            </w:r>
            <w:r>
              <w:rPr>
                <w:noProof/>
              </w:rPr>
              <w:t>des performances et d’appréciation de la valeur génétique des animaux de l’espèce porcine reproducteurs de race pure et reproducteurs hybrides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Directive 90/118/CEE du Conseil du 5 mars 1990 relative à l’admission à la reproduction des reproducteurs </w:t>
            </w:r>
            <w:r>
              <w:rPr>
                <w:noProof/>
              </w:rPr>
              <w:t>porcins de race pure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90/119/CEE du Conseil du 5 mars 1990 relative à l’admission à la reproduction des reproducteurs porcins hybrides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89/361/CEE du Conseil du 30 mai 1989 concernant les animaux des espèces ovine et caprine r</w:t>
            </w:r>
            <w:r>
              <w:rPr>
                <w:noProof/>
              </w:rPr>
              <w:t>eproducteurs de race pure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Décision 90/254/CEE de la Commission du 10 mai 1990 déterminant les critères d’agrément des organisations et associations d’éleveurs tenant ou créant des livres généalogiques pour les ovins et caprins reproducteurs de race p</w:t>
            </w:r>
            <w:r>
              <w:rPr>
                <w:noProof/>
              </w:rPr>
              <w:t>ure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Décision 90/255/CEE de la Commission du 10 mai 1990 déterminant les critères d’inscription dans les livres généalogiques des animaux des espèces ovine et caprine reproducteurs de race pure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90/258/CEE de la Commission du 10 mai 1990</w:t>
            </w:r>
            <w:r>
              <w:rPr>
                <w:noProof/>
              </w:rPr>
              <w:t xml:space="preserve"> établissant le certificat zootechnique des ovins et caprins reproducteurs de race pure, de leurs sperme, ovules et embryons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Décision 92/353/CEE de la Commission du 11 juin 1992 déterminant les critères d’agrément ou de reconnaissance des </w:t>
            </w:r>
            <w:r>
              <w:rPr>
                <w:noProof/>
              </w:rPr>
              <w:t>organisations et associations tenant ou créant les livres généalogiques pour les équidés enregistrés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Décision 92/354/CEE de la Commission du 11 juin 1992 fixant certaines règles visant à assurer la coordination entre organisations ou associations ten</w:t>
            </w:r>
            <w:r>
              <w:rPr>
                <w:noProof/>
              </w:rPr>
              <w:t>ant ou créant les livres généalogiques pour les équidés enregistrés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Décision 96/78/CE de la Commission du 10 janvier 1996 fixant les critères d’inscription et d’enregistrement des équidés dans les livres généalogiques à des fins de sélection</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Décision 96/79/CE de la Commission du 12 janvier 1996 établissant les certificats zootechniques pour les sperme, ovules et embryons d’équidés enregistrés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63"/>
              </w:tabs>
              <w:autoSpaceDE w:val="0"/>
              <w:autoSpaceDN w:val="0"/>
              <w:adjustRightInd w:val="0"/>
              <w:spacing w:before="0" w:after="200"/>
              <w:rPr>
                <w:rFonts w:eastAsia="Times New Roman"/>
                <w:noProof/>
                <w:szCs w:val="24"/>
              </w:rPr>
            </w:pPr>
            <w:r>
              <w:rPr>
                <w:noProof/>
              </w:rPr>
              <w:t xml:space="preserve">Règlement (CE) nº 504/2008 de la Commission du 6 juin 2008 portant application des directives </w:t>
            </w:r>
            <w:r>
              <w:rPr>
                <w:noProof/>
              </w:rPr>
              <w:t>90/426/CEE et 90/427/CEE du Conseil en ce qui concerne les méthodes d’identification des équidés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90/428/CEE du Conseil du 26 juin 1990 concernant les échanges d’équidés destinés à des concours et fixant les conditions de participation à ces</w:t>
            </w:r>
            <w:r>
              <w:rPr>
                <w:noProof/>
              </w:rPr>
              <w:t xml:space="preserve"> concours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Décision 92/216/CEE de la Commission du 26 mars 1992 relative à la collecte des données concernant les concours d’équidés visés à l’article 4 paragraphe 2 de la directive 90/428/CEE du Conseil</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Directive 91/174/CEE du Conseil du 25 </w:t>
            </w:r>
            <w:r>
              <w:rPr>
                <w:noProof/>
              </w:rPr>
              <w:t>mars 1991 relative aux conditions zootechniques et généalogiques régissant la commercialisation d’animaux de race et modifiant les directives 77/504/CEE et 90/425/CEE</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9729" w:type="dxa"/>
            <w:gridSpan w:val="2"/>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0"/>
              <w:jc w:val="center"/>
              <w:rPr>
                <w:rFonts w:eastAsia="Times New Roman"/>
                <w:noProof/>
                <w:szCs w:val="24"/>
              </w:rPr>
            </w:pPr>
            <w:r>
              <w:rPr>
                <w:b/>
                <w:noProof/>
              </w:rPr>
              <w:t xml:space="preserve">Section 3 – Mise sur le marché de denrées alimentaires, d’aliments pour animaux et </w:t>
            </w:r>
            <w:r>
              <w:rPr>
                <w:b/>
                <w:noProof/>
              </w:rPr>
              <w:t>de sous-produits animaux</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jc w:val="left"/>
              <w:rPr>
                <w:i/>
                <w:noProof/>
                <w:szCs w:val="24"/>
              </w:rPr>
            </w:pPr>
            <w:r>
              <w:rPr>
                <w:noProof/>
              </w:rPr>
              <w:t>Règlement (CE) nº 852/2004 du Parlement européen et du Conseil du 29 avril 2004 relatif à l’hygiène des denrées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jc w:val="left"/>
              <w:rPr>
                <w:i/>
                <w:noProof/>
                <w:szCs w:val="24"/>
              </w:rPr>
            </w:pPr>
            <w:r>
              <w:rPr>
                <w:noProof/>
              </w:rPr>
              <w:t xml:space="preserve">Règlement (CE) nº 853/2004 du Parlement européen et du Conseil du 29 avril 2004 fixant des règles </w:t>
            </w:r>
            <w:r>
              <w:rPr>
                <w:noProof/>
              </w:rPr>
              <w:t>spécifiques d’hygiène applicables aux denrées alimentaires d’origine animale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(CE) nº 2074/2005 de la Commission du 5 décembre 2005 établissant les mesures d’application relatives à certains produits régis par le règlement (CE) nº 853/2004 </w:t>
            </w:r>
            <w:r>
              <w:rPr>
                <w:noProof/>
              </w:rPr>
              <w:t>du Parlement européen et du Conseil et à l’organisation des contrôles officiels prévus par les règlements (CE) nº 854/2004 du Parlement européen et du Conseil et le règlement (CE) nº 882/2004 du Parlement européen et du Conseil, portant dérogation au règle</w:t>
            </w:r>
            <w:r>
              <w:rPr>
                <w:noProof/>
              </w:rPr>
              <w:t>ment (CE) nº 852/2004 du Parlement européen et du Conseil et modifiant les règlements (CE) nº 853/2004 et (CE) nº 854/2004</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d’exécution (UE) nº 208/2013 de la Commission du 11 mars 2013 sur les exigences en matière de traçabilité pour les ge</w:t>
            </w:r>
            <w:r>
              <w:rPr>
                <w:noProof/>
              </w:rPr>
              <w:t>rmes et les graines destinées à la production de germes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(UE) nº 210/2013 du 11 mars 2013 relatif à l’agrément des établissements producteurs de graines germées conformément au règlement (CE) nº 852/2004 du Parlement européen et du Conseil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w:t>
            </w:r>
            <w:r>
              <w:rPr>
                <w:noProof/>
              </w:rPr>
              <w:t>018</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(UE) nº 211/2013 de la Commission du 11 mars 2013 relatif aux exigences en matière de certification pour l’importation dans l’Union de germes et de graines destinées à la production de germes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(UE) nº 579/2014 de la Commission</w:t>
            </w:r>
            <w:r>
              <w:rPr>
                <w:noProof/>
              </w:rPr>
              <w:t xml:space="preserve"> du 28 mai 2014 instituant une dérogation à certaines dispositions de l’annexe II du règlement (CE) nº 852/2004 du Parlement européen et du Conseil en ce qui concerne le transport par mer d’huiles et graisses liquides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Directive 92/118/CEE du Conseil </w:t>
            </w:r>
            <w:r>
              <w:rPr>
                <w:noProof/>
              </w:rPr>
              <w:t>du 17 décembre 1992 définissant les conditions de police sanitaire ainsi que les conditions sanitaires régissant les échanges et les importations dans la Communauté de produits non soumis, en ce qui concerne lesdites conditions, aux réglementations communa</w:t>
            </w:r>
            <w:r>
              <w:rPr>
                <w:noProof/>
              </w:rPr>
              <w:t>utaires spécifiques visées à l’annexe A, chapitre I</w:t>
            </w:r>
            <w:r>
              <w:rPr>
                <w:noProof/>
                <w:vertAlign w:val="superscript"/>
              </w:rPr>
              <w:t>er</w:t>
            </w:r>
            <w:r>
              <w:rPr>
                <w:noProof/>
              </w:rPr>
              <w:t>, de la directive 89/662/CEE et, en ce qui concerne les pathogènes, de la directive 90/425/CEE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(UE) nº 101/2013 de la Commission du 4 février 2013 concernant l’utilisation de l’acide </w:t>
            </w:r>
            <w:r>
              <w:rPr>
                <w:noProof/>
              </w:rPr>
              <w:t>lactique pour réduire la contamination microbiologique de surface des carcasses de bovins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d’exécution (UE) nº 636/2014 de la Commission du 13 juin 2014 relatif à un modèle de certificat pour les échanges de gros gibier sauvage non dépouillé</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2006/677/CE de la Commission du 29 septembre 2006 établissant des lignes directrices fixant des critères pour la réalisation des audits en application du règlement (CE) nº 882/2004 du Parlement européen et du Conseil relatif aux contrôles o</w:t>
            </w:r>
            <w:r>
              <w:rPr>
                <w:noProof/>
              </w:rPr>
              <w:t>fficiels effectués pour s’assurer de la conformité avec la législation sur les aliments pour animaux et les denrées alimentaires et avec les dispositions relatives à la santé animale et au bien-être des animaux</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Décision 2007/363/CE de la Commission </w:t>
            </w:r>
            <w:r>
              <w:rPr>
                <w:noProof/>
              </w:rPr>
              <w:t>du 21 mai 2007 établissant des lignes directrices pour aider les États membres à élaborer le plan de contrôle national pluriannuel intégré unique prévu par le règlement (CE) nº 882/2004 du Parlement européen et du Conseil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(CE) nº 152/2009 d</w:t>
            </w:r>
            <w:r>
              <w:rPr>
                <w:noProof/>
              </w:rPr>
              <w:t>e la Commission du 27 janvier 2009 fixant les méthodes d’échantillonnage et d’analyse du contrôle officiel des aliments pour animaux</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Règlement (CE) nº 669/2009 de la Commission du 24 juillet 2009 portant modalités d’exécution du règlement (CE) nº 882</w:t>
            </w:r>
            <w:r>
              <w:rPr>
                <w:noProof/>
              </w:rPr>
              <w:t>/2004 du Parlement européen et du Conseil en ce qui concerne les contrôles officiels renforcés à l’importation de certains aliments pour animaux et certaines denrées alimentaires d’origine non animale et modifiant la décision 2006/504/CE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w:t>
            </w:r>
            <w:r>
              <w:rPr>
                <w:noProof/>
              </w:rPr>
              <w:t>8/654/CE de la Commission du 24 juillet 2008 établissant des lignes directrices pour aider les États membres à élaborer leur rapport annuel sur le plan de contrôle national pluriannuel intégré unique prévu par le règlement (CE) nº 882/2004 du Parlement eur</w:t>
            </w:r>
            <w:r>
              <w:rPr>
                <w:noProof/>
              </w:rPr>
              <w:t>opéen et du Conseil</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d’exécution (UE) nº 702/2013 de la Commission du 22 juillet 2013 portant dispositions d’application transitoires du règlement (CE) nº 882/2004 du Parlement européen et du Conseil en ce qui concerne l’accréditation des </w:t>
            </w:r>
            <w:r>
              <w:rPr>
                <w:noProof/>
              </w:rPr>
              <w:t>laboratoires officiels effectuant les tests officiels de recherche de Trichinella et modifiant le règlement (CE) nº 1162/2009 de la Commission</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(CE) nº 854/2004 du Parlement européen et du Conseil du 29 avril 2004 fixant les règles spécifiqu</w:t>
            </w:r>
            <w:r>
              <w:rPr>
                <w:noProof/>
              </w:rPr>
              <w:t>es d’organisation des contrôles officiels concernant les produits d’origine animale destinés à la consommation humaine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Directive 2004/41/CE du Parlement européen et du Conseil du 21 avril 2004 abrogeant certaines directives relatives à l’hygiène des </w:t>
            </w:r>
            <w:r>
              <w:rPr>
                <w:noProof/>
              </w:rPr>
              <w:t xml:space="preserve">denrées alimentaires et aux règles sanitaires régissant la production et la mise sur le marché de certains produits d’origine animale destinés à la consommation humaine, et modifiant les directives 89/662/CEE et 92/118/CEE du Conseil ainsi que la décision </w:t>
            </w:r>
            <w:r>
              <w:rPr>
                <w:noProof/>
              </w:rPr>
              <w:t>95/408/CE du Conseil</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(CE) nº 470/2009 du Parlement européen et du Conseil du 6 mai 2009 établissant des procédures communautaires pour la fixation des limites de résidus des substances pharmacologiquement actives dans les aliments d’origine</w:t>
            </w:r>
            <w:r>
              <w:rPr>
                <w:noProof/>
              </w:rPr>
              <w:t xml:space="preserve"> animale, abrogeant le règlement (CEE) nº 2377/90 du Conseil et modifiant la directive 2001/82/CE du Parlement européen et du Conseil et le règlement (CE) nº 726/2004 du Parlement européen et du Conseil</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strike/>
                <w:noProof/>
                <w:szCs w:val="24"/>
              </w:rPr>
            </w:pPr>
            <w:r>
              <w:rPr>
                <w:noProof/>
              </w:rPr>
              <w:t>Règlement (CE) nº 2075/2005 de la Commission du</w:t>
            </w:r>
            <w:r>
              <w:rPr>
                <w:noProof/>
              </w:rPr>
              <w:t xml:space="preserve"> 5 décembre 2005 fixant les règles spécifiques applicables aux contrôles officiels concernant la présence de Trichinella dans les viandes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Décision 92/608/CEE du Conseil du 14 novembre 1992 arrêtant certaines méthodes d’analyse et de test du lait </w:t>
            </w:r>
            <w:r>
              <w:rPr>
                <w:noProof/>
              </w:rPr>
              <w:t>traité thermiquement destiné à la consommation humaine directe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2002/226/CE de la Commission du 15 mars 2002 instaurant des contrôles sanitaires spéciaux pour la récolte et le traitement de certains mollusques bivalves présentant un taux de t</w:t>
            </w:r>
            <w:r>
              <w:rPr>
                <w:noProof/>
              </w:rPr>
              <w:t>oxine ASP (Amnesic Shellfish Poison) supérieur à la limite fixée par la directive 91/492/CEE du Conseil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d’exécution (UE) nº 702/2013 de la Commission du 22 juillet 2013 portant dispositions d’application transitoires du règlement (CE) nº 882/2004 du Parlement européen et du Conseil en ce qui concerne l’accréditation des laboratoires officiels effec</w:t>
            </w:r>
            <w:r>
              <w:rPr>
                <w:noProof/>
              </w:rPr>
              <w:t xml:space="preserve">tuant les tests officiels de recherche de Trichinella et modifiant le règlement (CE) nº 1162/2009 de la Commission </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(CE) nº 1069/2009 du Parlement européen et du Conseil du 21 octobre 2009 établissant des règles sanitaires applicables aux </w:t>
            </w:r>
            <w:r>
              <w:rPr>
                <w:noProof/>
              </w:rPr>
              <w:t>sous produits animaux et produits dérivés non destinés à la consommation humaine et abrogeant le règlement (CE) nº 1774/2002</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(UE) nº 142/2011 de la Commission du 25 février 2011 portant application du règlement (CE) nº 1069/2009 du Parlemen</w:t>
            </w:r>
            <w:r>
              <w:rPr>
                <w:noProof/>
              </w:rPr>
              <w:t xml:space="preserve">t européen et du Conseil établissant des règles sanitaires applicables aux sous-produits animaux et produits dérivés non destinés à la consommation humaine et portant application de la directive 97/78/CE du Conseil en ce qui concerne certains échantillons </w:t>
            </w:r>
            <w:r>
              <w:rPr>
                <w:noProof/>
              </w:rPr>
              <w:t>et articles exemptés des contrôles vétérinaires effectués aux frontières en vertu de cette directive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(CE) nº 882/2004 du Parlement européen et du Conseil du 29 avril 2004 relatif aux contrôles officiels effectués pour s’assurer de la </w:t>
            </w:r>
            <w:r>
              <w:rPr>
                <w:noProof/>
              </w:rPr>
              <w:t>conformité avec la législation sur les aliments pour animaux et les denrées alimentaires et avec les dispositions relatives à la santé animale et au bien-être des animaux</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(CE) nº 183/2005 du Parlement européen et du Conseil du 12 janvier 20</w:t>
            </w:r>
            <w:r>
              <w:rPr>
                <w:noProof/>
              </w:rPr>
              <w:t>05 établissant des exigences en matière d’hygiène des aliments pour animaux</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(CE) nº 141/2007 de la Commission du 14 février 2007 concernant une exigence relative à l’agrément conformément au règlement (CE) nº 183/2005 du Parlement européen </w:t>
            </w:r>
            <w:r>
              <w:rPr>
                <w:noProof/>
              </w:rPr>
              <w:t>et du Conseil des établissements du secteur de l’alimentation animale qui fabriquent ou mettent sur le marché des additifs pour l’alimentation animale de la catégorie coccidiostatiques et histomonostatiques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9729" w:type="dxa"/>
            <w:gridSpan w:val="2"/>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0"/>
              <w:jc w:val="center"/>
              <w:rPr>
                <w:rFonts w:eastAsia="Times New Roman"/>
                <w:noProof/>
                <w:szCs w:val="24"/>
              </w:rPr>
            </w:pPr>
            <w:bookmarkStart w:id="4" w:name="_Toc394585665"/>
            <w:r>
              <w:rPr>
                <w:b/>
                <w:noProof/>
              </w:rPr>
              <w:t xml:space="preserve">Section 4 — Règles de sécurité sanitaire </w:t>
            </w:r>
            <w:r>
              <w:rPr>
                <w:b/>
                <w:noProof/>
              </w:rPr>
              <w:t>des aliments</w:t>
            </w:r>
            <w:bookmarkEnd w:id="4"/>
          </w:p>
        </w:tc>
      </w:tr>
      <w:tr w:rsidR="00D557DC">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i/>
                <w:noProof/>
                <w:szCs w:val="24"/>
              </w:rPr>
            </w:pPr>
            <w:r>
              <w:rPr>
                <w:noProof/>
              </w:rPr>
              <w:t>Règlement (UE) nº 1169/2011 du Parlement européen et du Conseil du 25 octobre 2011 concernant l’information des consommateurs sur les denrées alimentaires, modifiant les règlements (CE) nº 1924/2006 et (CE) nº 925/2006 du Parlement européen e</w:t>
            </w:r>
            <w:r>
              <w:rPr>
                <w:noProof/>
              </w:rPr>
              <w:t>t du Conseil et abrogeant la directive 87/250/CEE de la Commission, la directive 90/496/CEE du Conseil, la directive 1999/10/CE de la Commission, la directive 2000/13/CE du Parlement européen et du Conseil, les directives 2002/67/CE et 2008/5/CE de la Comm</w:t>
            </w:r>
            <w:r>
              <w:rPr>
                <w:noProof/>
              </w:rPr>
              <w:t xml:space="preserve">ission et le règlement (CE) nº 608/2004 de la Commission </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(CE) nº 1924/2006 du Parlement européen et du Conseil du 20 décembre 2006 concernant les allégations nutritionnelles et de santé portant sur les denrées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Directive </w:t>
            </w:r>
            <w:r>
              <w:rPr>
                <w:noProof/>
              </w:rPr>
              <w:t>2011/91/UE du Parlement européen et du Conseil du 13 décembre 2011 relative aux mentions ou marques permettant d’identifier le lot auquel appartient une denrée alimentaire</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(UE) nº 432/2012 de la Commission du 16 mai 2012 établissant une </w:t>
            </w:r>
            <w:r>
              <w:rPr>
                <w:noProof/>
              </w:rPr>
              <w:t>liste des allégations de santé autorisées portant sur les denrées alimentaires, autres que celles faisant référence à la réduction du risque de maladie ainsi qu’au développement et à la santé infantiles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(UE) nº 1047/2012 de la Commission du</w:t>
            </w:r>
            <w:r>
              <w:rPr>
                <w:noProof/>
              </w:rPr>
              <w:t xml:space="preserve"> 8 novembre 2012 modifiant le règlement (CE) nº 1924/2006 en ce qui concerne la liste des allégations nutritionnelles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Décision d’exécution 2013/63/UE de la Commission du 24 janvier 2013 portant adoption d’orientations aux fins de l’application des co</w:t>
            </w:r>
            <w:r>
              <w:rPr>
                <w:noProof/>
              </w:rPr>
              <w:t>nditions spécifiques concernant les allégations de santé énoncées à l’article 10 du règlement (CE) nº 1924/2006 du Parlement européen et du Conseil</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(UE) nº 851/2013 de la Commission du 3 septembre 2013 autorisant certaines allégations de sa</w:t>
            </w:r>
            <w:r>
              <w:rPr>
                <w:noProof/>
              </w:rPr>
              <w:t xml:space="preserve">nté portant sur les denrées alimentaires, autres que celles faisant référence à la réduction du risque de maladie ainsi qu’au développement et à la santé infantiles, et modifiant le règlement (UE) nº 432/2012 </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(UE) nº 40/2014 de la </w:t>
            </w:r>
            <w:r>
              <w:rPr>
                <w:noProof/>
              </w:rPr>
              <w:t>Commission du 17 janvier 2014 autorisant certaines allégations de santé portant sur les denrées alimentaires, autres que celles faisant référence à la réduction du risque de maladie ainsi qu’au développement et à la santé infantiles, et modifiant le règlem</w:t>
            </w:r>
            <w:r>
              <w:rPr>
                <w:noProof/>
              </w:rPr>
              <w:t>ent (UE) nº 432/2012</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(CE) nº 1925/2006 du Parlement européen et du Conseil du 20 décembre 2006 concernant l’adjonction de vitamines, de minéraux et de certaines autres substances aux denrées alimentaires</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(CE) nº 1170/2009 de</w:t>
            </w:r>
            <w:r>
              <w:rPr>
                <w:noProof/>
              </w:rPr>
              <w:t xml:space="preserve"> la Commission du 30 novembre 2009 modifiant la directive 2002/46/CE du Parlement européen et du Conseil et le règlement (CE) nº 1925/2006 du Parlement européen et du Conseil en ce qui concerne la liste des vitamines et minéraux et celle de leurs formes, q</w:t>
            </w:r>
            <w:r>
              <w:rPr>
                <w:noProof/>
              </w:rPr>
              <w:t>ui peuvent être ajoutés aux denrées alimentaires, y compris les compléments alimentaires (Texte présentant de l’intérêt pour l’EEE)</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(CE) nº 1331/2008 du Parlement européen et du Conseil du 16 décembre 2008 établissant une procédure </w:t>
            </w:r>
            <w:r>
              <w:rPr>
                <w:noProof/>
              </w:rPr>
              <w:t>d’autorisation uniforme pour les additifs, enzymes et arômes alimentaires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(UE) nº 234/2011 de la Commission du 10 mars 2011 portant application du règlement (CE) nº 1331/2008 du Parlement européen et du Conseil établissant une procédure </w:t>
            </w:r>
            <w:r>
              <w:rPr>
                <w:noProof/>
              </w:rPr>
              <w:t>d’autorisation uniforme pour les additifs, enzymes et arômes alimentaires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Règlement (CE) nº 1332/2008 du Parlement européen et du Conseil du 16 décembre 2008 concernant les enzymes alimentaires et modifiant la directive 83/417/CEE du Conseil, le </w:t>
            </w:r>
            <w:r>
              <w:rPr>
                <w:noProof/>
              </w:rPr>
              <w:t>règlement (CE) nº 1493/1999 du Conseil, la directive 2000/13/CE, la directive 2001/112/CE du Conseil et le règlement (CE) nº 258/97</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2009/32/CE du Parlement européen et du Conseil du 23 avril 2009 relative au rapprochement des législations d</w:t>
            </w:r>
            <w:r>
              <w:rPr>
                <w:noProof/>
              </w:rPr>
              <w:t>es États membres concernant les solvants d’extraction utilisés dans la fabrication des denrées alimentaires et de leurs ingrédients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(CE) nº 2232/96 du Parlement européen et du Conseil du 28 octobre 1996 fixant une procédure communautaire da</w:t>
            </w:r>
            <w:r>
              <w:rPr>
                <w:noProof/>
              </w:rPr>
              <w:t>ns le domaine des substances aromatisantes utilisées ou destinées à être utilisées dans ou sur les denrées alimentaires – article 1er, l’article 2, l’article 3, paragraphes 1 et 2, conformément à l’article 6, paragraphe 2, du règlement d’exécution (UE) nº </w:t>
            </w:r>
            <w:r>
              <w:rPr>
                <w:noProof/>
              </w:rPr>
              <w:t>872/2012 de la Commission du 1</w:t>
            </w:r>
            <w:r>
              <w:rPr>
                <w:noProof/>
                <w:vertAlign w:val="superscript"/>
              </w:rPr>
              <w:t>er</w:t>
            </w:r>
            <w:r>
              <w:rPr>
                <w:noProof/>
              </w:rPr>
              <w:t xml:space="preserve"> octobre 2012</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(CE) nº 2065/2003 du Parlement européen et du Conseil du 10 novembre 2003 relatif aux arômes de fumée utilisés ou destinés à être utilisés dans ou sur les denrées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Règlement (C</w:t>
            </w:r>
            <w:r>
              <w:rPr>
                <w:noProof/>
              </w:rPr>
              <w:t xml:space="preserve">E) nº 1334/2008 du Parlement européen et du Conseil du 16 décembre 2008 relatif aux arômes et à certains ingrédients alimentaires possédant des propriétés aromatisantes qui sont destinés à être utilisés dans et sur les denrées alimentaires et modifiant le </w:t>
            </w:r>
            <w:r>
              <w:rPr>
                <w:noProof/>
              </w:rPr>
              <w:t>règlement (CEE) nº 1601/91 du Conseil, les règlements (CE) nº 2232/96 et (CE) nº 110/2008 et la directive 2000/13/CE</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d’exécution (UE) nº 872/2012 de la Commission du 1</w:t>
            </w:r>
            <w:r>
              <w:rPr>
                <w:noProof/>
                <w:vertAlign w:val="superscript"/>
              </w:rPr>
              <w:t>er</w:t>
            </w:r>
            <w:r>
              <w:rPr>
                <w:noProof/>
              </w:rPr>
              <w:t xml:space="preserve"> octobre 2012 portant adoption de la liste de substances aromatisantes </w:t>
            </w:r>
            <w:r>
              <w:rPr>
                <w:noProof/>
              </w:rPr>
              <w:t>prévue par le règlement (CE) nº 2232/96 du Parlement européen et du Conseil, introduction de ladite liste dans l’annexe I du règlement (CE) nº 1334/2008 du Parlement européen et du Conseil et abrogation du règlement (CE) nº 1565/2000 de la Commission et de</w:t>
            </w:r>
            <w:r>
              <w:rPr>
                <w:noProof/>
              </w:rPr>
              <w:t xml:space="preserve"> la décision 1999/217/CE de la Commission</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ab/>
              <w:t>Règlement (UE) nº 873/2012 de la Commission du 1</w:t>
            </w:r>
            <w:r>
              <w:rPr>
                <w:noProof/>
                <w:vertAlign w:val="superscript"/>
              </w:rPr>
              <w:t>er</w:t>
            </w:r>
            <w:r>
              <w:rPr>
                <w:noProof/>
              </w:rPr>
              <w:t> octobre 2012 relatif à des mesures transitoires en ce qui concerne la liste de l’Union des arômes et matériaux de base établie à l’annexe I du règlement (CE</w:t>
            </w:r>
            <w:r>
              <w:rPr>
                <w:noProof/>
              </w:rPr>
              <w:t>) nº 1334/2008 du Parlement européen et du Conseil</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Règlement d’exécution (UE) nº 1321/2013 de la Commission du 10 décembre 2013 établissant la liste des produits primaires d’arômes de fumée autorisés dans l’Union pour une utilisation en l’état dans </w:t>
            </w:r>
            <w:r>
              <w:rPr>
                <w:noProof/>
              </w:rPr>
              <w:t>ou sur des denrées alimentaires et/ou pour la production d’arômes de fumée dérivés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Directive 82/711/CEE du Conseil du 18 octobre 1982 établissant les règles de base nécessaires à la vérification de la migration des constituants des matériaux et objet</w:t>
            </w:r>
            <w:r>
              <w:rPr>
                <w:noProof/>
              </w:rPr>
              <w:t>s en matière plastique destinés à entrer en contact avec les denrées alimentaires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Règlement (UE) n º 10/2011 de la Commission du 14 janvier 2011 concernant les matériaux et objets en matière plastique destinés à entrer en contact avec des denrées </w:t>
            </w:r>
            <w:r>
              <w:rPr>
                <w:noProof/>
              </w:rPr>
              <w:t>alimentaires</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84/500/CEE du Conseil du 15 octobre 1984 relative au rapprochement des législations des États membres en ce qui concerne les objets céramiques destinés à entrer en contact avec les denrées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2015</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Directive </w:t>
            </w:r>
            <w:r>
              <w:rPr>
                <w:noProof/>
              </w:rPr>
              <w:t>2007/42/CEE de la Commission du 29 juin 2007 relative aux matériaux et aux objets en pellicule de cellulose régénérée, destinés à entrer en contact avec les denrées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ab/>
              <w:t>Directive 78/142/CEE du Conseil du 30 janvier 1978 relative au rapproch</w:t>
            </w:r>
            <w:r>
              <w:rPr>
                <w:noProof/>
              </w:rPr>
              <w:t>ement des législations des États membres en ce qui concerne les matériaux et objets contenant du chlorure de vinyle monomère destinés à entrer en contact avec des denrées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 xml:space="preserve">2017 </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93/11/CEE de la Commission du 15 mars 1993 concernant l</w:t>
            </w:r>
            <w:r>
              <w:rPr>
                <w:noProof/>
              </w:rPr>
              <w:t>a libération de N-nitrosamines et de substances N-nitrosables par les tétines et les sucettes en élastomère ou caoutchouc</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 xml:space="preserve">2017 </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Règlement (CE) nº 1895/2005 de la Commission du 18 novembre 2005 concernant la limitation de l’utilisation de certains dérivés </w:t>
            </w:r>
            <w:r>
              <w:rPr>
                <w:noProof/>
              </w:rPr>
              <w:t>époxydiques dans les matériaux et objets destinés à entrer en contact avec les denrées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(CE) nº 450/2009 de la Commission du 29 mai 2009 concernant les matériaux et objets actifs et intelligents destinés à entrer en contact avec</w:t>
            </w:r>
            <w:r>
              <w:rPr>
                <w:noProof/>
              </w:rPr>
              <w:t xml:space="preserve"> des denrées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(UE) nº 284/2011 de la Commission du 22 mars 2011 fixant des conditions particulières et des procédures détaillées pour l’importation d’ustensiles de cuisine en matière plastique polyamide et mélamine originaires o</w:t>
            </w:r>
            <w:r>
              <w:rPr>
                <w:noProof/>
              </w:rPr>
              <w:t>u en provenance de la République populaire de Chine et de la région administrative spéciale de Hong Kong, Chine</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d’exécution (UE) nº 321/2011 de la Commission du 1</w:t>
            </w:r>
            <w:r>
              <w:rPr>
                <w:noProof/>
                <w:vertAlign w:val="superscript"/>
              </w:rPr>
              <w:t>er</w:t>
            </w:r>
            <w:r>
              <w:rPr>
                <w:noProof/>
              </w:rPr>
              <w:t xml:space="preserve"> avril 2011 modifiant le règlement (UE) nº 10/2011 en ce qui concerne la </w:t>
            </w:r>
            <w:r>
              <w:rPr>
                <w:noProof/>
              </w:rPr>
              <w:t>restriction de l’utilisation du bisphénol A dans les biberons en plastique pour nourrissons</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spacing w:before="0" w:after="200"/>
              <w:rPr>
                <w:noProof/>
                <w:szCs w:val="24"/>
              </w:rPr>
            </w:pPr>
            <w:r>
              <w:rPr>
                <w:noProof/>
              </w:rPr>
              <w:t>Règlement (CE) nº 282/2008 de la Commission du 27 mars 2008 relatif aux matériaux et aux objets en matière plastique recyclée destinés à entrer en contact ave</w:t>
            </w:r>
            <w:r>
              <w:rPr>
                <w:noProof/>
              </w:rPr>
              <w:t xml:space="preserve">c des denrées alimentaires et modifiant le règlement (CE) nº 2023/2006 </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2015</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2002/46/CE du Parlement européen et du Conseil du 10 juin 2002 relative au rapprochement des législations des États membres concernant les compléments alimentaires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(UE) nº 609/2013 du Parlement européen et du Conseil du 12 juin 2013 concernant les denrées alimentaires destinées aux nourrissons et aux enfants en bas âge, les denrées alimentaires destinées à des fins médicales spéciales et les substituts de</w:t>
            </w:r>
            <w:r>
              <w:rPr>
                <w:noProof/>
              </w:rPr>
              <w:t xml:space="preserve"> la ration journalière totale pour contrôle du poids et abrogeant la directive 92/52/CEE du Conseil, les directives 96/8/CE, 1999/21/CE, 2006/125/CE et 2006/141/CE de la Commission, la directive 2009/39/CE du Parlement européen et du Conseil et les règleme</w:t>
            </w:r>
            <w:r>
              <w:rPr>
                <w:noProof/>
              </w:rPr>
              <w:t>nts (CE) nº 41/2009 et (CE) nº 953/2009 de la Commission</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Directive 2006/141/CE de la Commission du 22 décembre 2006 concernant les préparations pour nourrissons et les préparations de suite et modifiant la directive 1999/21/CE</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Règlement (CE) </w:t>
            </w:r>
            <w:r>
              <w:rPr>
                <w:noProof/>
              </w:rPr>
              <w:t>nº 41/2009 de la Commission du 20 janvier 2009 relatif à la composition et à l’étiquetage des denrées alimentaires convenant aux personnes souffrant d’une intolérance au gluten</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Règlement (CE) nº 953/2009 de la Commission du 13 octobre 2009 relatif </w:t>
            </w:r>
            <w:r>
              <w:rPr>
                <w:noProof/>
              </w:rPr>
              <w:t>aux substances qui peuvent être ajoutées dans un but nutritionnel spécifique aux denrées alimentaires destinées à une alimentation particulière</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Directive 92/2/CEE de la Commission du 13 janvier 1992 portant fixation des modalités relatives au </w:t>
            </w:r>
            <w:r>
              <w:rPr>
                <w:noProof/>
              </w:rPr>
              <w:t>prélèvement d’échantillons et de la méthode d’analyse communautaire pour le contrôle des températures des aliments surgelés destinés à l’alimentation humaine</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(CE) nº 37/2005 de la Commission du 12 janvier 2005 relatif au contrôle des tempér</w:t>
            </w:r>
            <w:r>
              <w:rPr>
                <w:noProof/>
              </w:rPr>
              <w:t>atures dans les moyens de transport et les locaux d’entreposage et de stockage des aliments surgelés destinés à l’alimentation humaine</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i/>
                <w:noProof/>
                <w:szCs w:val="24"/>
              </w:rPr>
            </w:pPr>
            <w:r>
              <w:rPr>
                <w:noProof/>
              </w:rPr>
              <w:t>Règlement (CEE) nº 315/93 du Conseil du 8 février 1993 portant établissement des procédures communautaires relative</w:t>
            </w:r>
            <w:r>
              <w:rPr>
                <w:noProof/>
              </w:rPr>
              <w:t>s aux contaminants dans les denrées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Recommandation 2006/794/CE de la Commission du 16 novembre 2006 relative au contrôle des niveaux de fond des dioxines, des PCB de type dioxine et des PCB autres que ceux de type dioxine dans les denrée</w:t>
            </w:r>
            <w:r>
              <w:rPr>
                <w:noProof/>
              </w:rPr>
              <w:t>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(CE) nº 1881/2006 de la Commission du 19 décembre 2006 portant fixation de teneurs maximales pour certains contaminants dans les denrées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 xml:space="preserve">Règlement (CE) nº 333/2007 de la Commission du 28 mars 2007 portant fixation des modes de prélèvement d’échantillons et des méthodes d’analyse pour le contrôle officiel des teneurs en plomb, en cadmium, en mercure, en étain inorganique, en 3-MCPD et en </w:t>
            </w:r>
            <w:r>
              <w:rPr>
                <w:noProof/>
                <w:szCs w:val="24"/>
              </w:rPr>
              <w:t>hyd</w:t>
            </w:r>
            <w:r>
              <w:rPr>
                <w:noProof/>
                <w:szCs w:val="24"/>
              </w:rPr>
              <w:t>rocarbures aromatiques polycycliques</w:t>
            </w:r>
            <w:r>
              <w:rPr>
                <w:noProof/>
                <w:sz w:val="19"/>
                <w:szCs w:val="19"/>
              </w:rPr>
              <w:t xml:space="preserve"> </w:t>
            </w:r>
            <w:r>
              <w:rPr>
                <w:noProof/>
              </w:rPr>
              <w:t>dans les denrées alimentaires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Recommandation 2011/516/UE de la Commission du 23 août 2011 sur la réduction de la présence de dioxines, de furannes et de PCB dans les aliments pour animaux et les denrées </w:t>
            </w:r>
            <w:r>
              <w:rPr>
                <w:noProof/>
              </w:rPr>
              <w:t>alimentaires</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Règlement (UE) nº 589/2014 de la Commission du 2 juin 2014 portant fixation des méthodes de prélèvement et d’analyse d’échantillons à utiliser pour le contrôle des teneurs en dioxines, en PCB de type dioxine et en PCB autres que ceux de </w:t>
            </w:r>
            <w:r>
              <w:rPr>
                <w:noProof/>
              </w:rPr>
              <w:t>type dioxine de certaines denrées alimentaires et abrogeant le règlement (UE) nº 252/2012</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Recommandation 2013/165/UE de la Commission du 27 mars 2013 concernant la présence de toxines T-2 et HT-2 dans les céréales et les produits à base de céréales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i/>
                <w:noProof/>
                <w:szCs w:val="24"/>
              </w:rPr>
            </w:pPr>
            <w:r>
              <w:rPr>
                <w:noProof/>
              </w:rPr>
              <w:t>Règlement (CE) nº 258/97 du Parlement européen et du Conseil du 27 janvier 1997 relatif aux nouveaux aliments et aux nouveaux ingrédients alimentaires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Directive 1999/2/CE du Parlement européen et du Conseil du 22 février 1999 relative au rappro</w:t>
            </w:r>
            <w:r>
              <w:rPr>
                <w:noProof/>
              </w:rPr>
              <w:t>chement des législations des États membres sur les denrées et ingrédients alimentaires traités par ionisation</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Directive 1999/3/CE du Parlement européen et du Conseil du 22 février 1999 établissant une liste communautaire de denrées et ingrédients </w:t>
            </w:r>
            <w:r>
              <w:rPr>
                <w:noProof/>
              </w:rPr>
              <w:t>alimentaires traités par ionisation</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2009/54/CE du Parlement européen et du Conseil du 18 juin 2009 relative à l’exploitation et à la mise dans le commerce des eaux minérales naturelles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Directive 2003/40/CE de la Commission du 16 mai </w:t>
            </w:r>
            <w:r>
              <w:rPr>
                <w:noProof/>
              </w:rPr>
              <w:t>2003 fixant la liste, les limites de concentration et les mentions d’étiquetage pour les constituants des eaux minérales naturelles, ainsi que les conditions d’utilisation de l’air enrichi en ozone pour le traitement des eaux minérales naturelles et des ea</w:t>
            </w:r>
            <w:r>
              <w:rPr>
                <w:noProof/>
              </w:rPr>
              <w:t>ux de source</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(UE) nº 115/2010 de la Commission du 9 février 2010 énonçant les conditions d’utilisation de l’alumine activée pour l’élimination des fluorures dans les eaux minérales naturelles et les eaux de source</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9729" w:type="dxa"/>
            <w:gridSpan w:val="2"/>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0"/>
              <w:jc w:val="center"/>
              <w:rPr>
                <w:rFonts w:eastAsia="Times New Roman"/>
                <w:noProof/>
                <w:szCs w:val="24"/>
              </w:rPr>
            </w:pPr>
            <w:bookmarkStart w:id="5" w:name="_Toc394585681"/>
            <w:r>
              <w:rPr>
                <w:b/>
                <w:noProof/>
              </w:rPr>
              <w:t xml:space="preserve">Section 5 — Règles </w:t>
            </w:r>
            <w:r>
              <w:rPr>
                <w:b/>
                <w:noProof/>
              </w:rPr>
              <w:t>spécifiques applicables aux aliments pour animaux</w:t>
            </w:r>
            <w:bookmarkEnd w:id="5"/>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Règlement (CE) nº 767/2009 du Parlement européen et du Conseil du 13 juillet 2009 concernant la mise sur le marché et l’utilisation des aliments pour animaux, modifiant le règlement (CE) nº 1831/2003 du </w:t>
            </w:r>
            <w:r>
              <w:rPr>
                <w:noProof/>
              </w:rPr>
              <w:t>Parlement européen et du Conseil et abrogeant la directive 79/373/CEE du Conseil, la directive 80/511/CEE de la Commission, les directives 82/471/CEE, 83/228/CEE, 93/74/CEE, 93/113/CE et 96/25/CE du Conseil, ainsi que la décision 2004/217/CE de la Commissi</w:t>
            </w:r>
            <w:r>
              <w:rPr>
                <w:noProof/>
              </w:rPr>
              <w:t>on</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Directive 82/475/CEE de la Commission du 23 juin 1982 fixant les catégories d’ingrédients pouvant être utilisées pour le marquage des aliments composés pour animaux familiers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2008/38/CE de la Commission du 5 mars 2008 établissant u</w:t>
            </w:r>
            <w:r>
              <w:rPr>
                <w:noProof/>
              </w:rPr>
              <w:t>ne liste des destinations des aliments pour animaux visant des objectifs nutritionnels particuliers (version codifiée)</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 xml:space="preserve">2019 </w:t>
            </w:r>
          </w:p>
        </w:tc>
      </w:tr>
      <w:tr w:rsidR="00D557DC">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Recommandation 2011/25/UE de la Commission du 14 janvier 2011 arrêtant des lignes directrices pour la distinction entre les </w:t>
            </w:r>
            <w:r>
              <w:rPr>
                <w:noProof/>
              </w:rPr>
              <w:t>matières premières pour aliments des animaux, les additifs pour l’alimentation animale, les produits biocides et les médicaments vétérinaires</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Règlement (UE) nº 68/2013 de la Commission du 16 janvier 2013 relatif au catalogue des matières premières </w:t>
            </w:r>
            <w:r>
              <w:rPr>
                <w:noProof/>
              </w:rPr>
              <w:t>pour aliments des animaux</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(CE) nº 1876/2006 de la Commission du 18 décembre 2006 portant autorisation provisoire ou permanente de certains additifs dans l’alimentation des animaux</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Règlement (CE) nº 429/2008 de la Commission du 25 </w:t>
            </w:r>
            <w:r>
              <w:rPr>
                <w:noProof/>
              </w:rPr>
              <w:t>avril 2008 relatif aux modalités d’application du règlement (CE) nº 1831/2003 du Parlement européen et du Conseil en ce qui concerne l’établissement et la présentation des demandes ainsi que l’évaluation et l’autorisation des additifs pour l’alimentation a</w:t>
            </w:r>
            <w:r>
              <w:rPr>
                <w:noProof/>
              </w:rPr>
              <w:t>nimale</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(UE) nº 1270/2009 de la Commission du 21 décembre 2009 concernant l’autorisation permanente de certains additifs dans l’alimentation des animaux</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(UE) nº 892/2010 de la Commission du 8 octobre 2010 concernant le statut</w:t>
            </w:r>
            <w:r>
              <w:rPr>
                <w:noProof/>
              </w:rPr>
              <w:t xml:space="preserve"> de certains produits au regard des additifs pour l’alimentation animale relevant du champ d’application du règlement (CE) nº 1831/2003 du Parlement européen et du Conseil</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i/>
                <w:noProof/>
                <w:szCs w:val="24"/>
              </w:rPr>
            </w:pPr>
            <w:r>
              <w:rPr>
                <w:noProof/>
              </w:rPr>
              <w:t>Recommandation 2004/704/CE de la Commission du 11 octobre 2004 relative au con</w:t>
            </w:r>
            <w:r>
              <w:rPr>
                <w:noProof/>
              </w:rPr>
              <w:t>trôle des niveaux de fond de dioxines et de PCB de type dioxine dans les aliments pour animaux</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9729" w:type="dxa"/>
            <w:gridSpan w:val="2"/>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0"/>
              <w:jc w:val="center"/>
              <w:rPr>
                <w:rFonts w:eastAsia="Times New Roman"/>
                <w:b/>
                <w:noProof/>
                <w:szCs w:val="24"/>
              </w:rPr>
            </w:pPr>
            <w:bookmarkStart w:id="6" w:name="_Toc127327624"/>
            <w:bookmarkStart w:id="7" w:name="_Toc303008844"/>
            <w:r>
              <w:rPr>
                <w:b/>
                <w:noProof/>
              </w:rPr>
              <w:t>Section 6 – Dispositions phytosanitaires</w:t>
            </w:r>
            <w:bookmarkEnd w:id="6"/>
            <w:bookmarkEnd w:id="7"/>
            <w:r>
              <w:rPr>
                <w:b/>
                <w:i/>
                <w:noProof/>
              </w:rPr>
              <w:t xml:space="preserve"> </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Directive 2000/29/CE du Conseil du 8 mai 2000 concernant les mesures de protection contre l’introduction dans la</w:t>
            </w:r>
            <w:r>
              <w:rPr>
                <w:noProof/>
              </w:rPr>
              <w:t xml:space="preserve"> Communauté d’organismes nuisibles aux végétaux ou aux produits végétaux et contre leur propagation à l’intérieur de la Communauté</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2020</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Règlement (CE) nº 1756/2004 de la Commission du 11 octobre 2004 fixant les conditions spécifiques relatives aux élément</w:t>
            </w:r>
            <w:r>
              <w:rPr>
                <w:noProof/>
              </w:rPr>
              <w:t>s probants requis et les critères relatifs aux type et niveau de réduction des contrôles phytosanitaires de certains végétaux, produits végétaux ou autres objets énumérés à l’annexe V, partie B, de la directive 2000/29/CE du Conseil</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Directive </w:t>
            </w:r>
            <w:r>
              <w:rPr>
                <w:noProof/>
              </w:rPr>
              <w:t>2004/103/CE de la Commission du 7 octobre 2004 relative aux contrôles d’identité et aux contrôles sanitaires des végétaux, produits végétaux et autres objets inscrits à l’annexe V, partie B, de la directive 2000/29/CE du Conseil, qui peuvent être effectués</w:t>
            </w:r>
            <w:r>
              <w:rPr>
                <w:noProof/>
              </w:rPr>
              <w:t xml:space="preserve"> dans un autre lieu que le point d’entrée dans la Communauté ou dans un endroit situé à proximité, et établissant les conditions régissant ces contrôles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Directive d’exécution 2014/78/UE de la Commission du 17 juin 2014 modifiant les annexes I, II, II</w:t>
            </w:r>
            <w:r>
              <w:rPr>
                <w:noProof/>
              </w:rPr>
              <w:t>I, IV et V de la directive 2000/29/CE du Conseil concernant les mesures de protection contre l’introduction dans la Communauté d’organismes nuisibles aux végétaux ou aux produits végétaux et contre leur propagation à l’intérieur de la Communauté</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Dire</w:t>
            </w:r>
            <w:r>
              <w:rPr>
                <w:noProof/>
              </w:rPr>
              <w:t xml:space="preserve">ctive d’exécution 2014/83/UE de la Commission du 25 juin 2014 modifiant les annexes I, II, III, IV et V de la directive 2000/29/CE du Conseil concernant les mesures de protection contre l’introduction dans la Communauté d’organismes nuisibles aux végétaux </w:t>
            </w:r>
            <w:r>
              <w:rPr>
                <w:noProof/>
              </w:rPr>
              <w:t>ou aux produits végétaux et contre leur propagation à l’intérieur de la Communauté</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Directive 74/647/CEE du Conseil du 9 décembre 1974 concernant la lutte contre les tordeuses de l’œillet</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Décision d’exécution 2014/497/UE de la Commission du 23 juillet 2014 concernant des mesures visant à empêcher l’introduction et la propagation dans l’Union de </w:t>
            </w:r>
            <w:r>
              <w:rPr>
                <w:i/>
                <w:noProof/>
              </w:rPr>
              <w:t>Xylella fastidiosa</w:t>
            </w:r>
            <w:r>
              <w:rPr>
                <w:noProof/>
              </w:rPr>
              <w:t xml:space="preserve"> (Well et Raju)</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Décision 2002/757/CE de la Commission du 19 septembre </w:t>
            </w:r>
            <w:r>
              <w:rPr>
                <w:noProof/>
              </w:rPr>
              <w:t>2002 relative à des mesures provisoires d’urgence en matière phytosanitaire visant à empêcher l’introduction et la propagation dans la Communauté de Phytophtora ramorum Werres, De Cock &amp; Man in ’t Veld sp. nov.</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2006/464/CE de la Commission d</w:t>
            </w:r>
            <w:r>
              <w:rPr>
                <w:noProof/>
              </w:rPr>
              <w:t xml:space="preserve">u 27 juin 2006 relative à des mesures provisoires d’urgence destinées à éviter l’introduction et la propagation dans la Communauté de l’organisme </w:t>
            </w:r>
            <w:r>
              <w:rPr>
                <w:i/>
                <w:noProof/>
              </w:rPr>
              <w:t>Dryocosmus kuriphilus</w:t>
            </w:r>
            <w:r>
              <w:rPr>
                <w:noProof/>
              </w:rPr>
              <w:t xml:space="preserve"> Yasumatsu</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0"/>
              <w:rPr>
                <w:rFonts w:eastAsia="Times New Roman"/>
                <w:noProof/>
                <w:szCs w:val="24"/>
              </w:rPr>
            </w:pPr>
            <w:r>
              <w:rPr>
                <w:noProof/>
              </w:rPr>
              <w:t xml:space="preserve">Décision 2003/766/CE de la Commission du 24 octobre 2003 relative à des mesures d’urgence visant à prévenir la propagation dans la Communauté de </w:t>
            </w:r>
            <w:r>
              <w:rPr>
                <w:i/>
                <w:noProof/>
              </w:rPr>
              <w:t>Diabrotica virgifera</w:t>
            </w:r>
            <w:r>
              <w:rPr>
                <w:noProof/>
              </w:rPr>
              <w:t xml:space="preserve"> Le Conte</w:t>
            </w:r>
          </w:p>
          <w:p w:rsidR="00D557DC" w:rsidRDefault="00D557DC">
            <w:pPr>
              <w:widowControl w:val="0"/>
              <w:tabs>
                <w:tab w:val="center" w:pos="1418"/>
                <w:tab w:val="left" w:pos="1985"/>
                <w:tab w:val="right" w:pos="2997"/>
                <w:tab w:val="left" w:pos="3087"/>
              </w:tabs>
              <w:autoSpaceDE w:val="0"/>
              <w:autoSpaceDN w:val="0"/>
              <w:adjustRightInd w:val="0"/>
              <w:spacing w:before="0" w:after="0"/>
              <w:rPr>
                <w:rFonts w:eastAsia="Times New Roman"/>
                <w:noProof/>
                <w:szCs w:val="24"/>
              </w:rPr>
            </w:pP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d’exécution 2014/19/UE de la Commission du 6 février 2014 modifiant l’annexe I de la directive 2000/29/CE du Conseil concernant les mesures de protection contre l’introduction dans la Communauté d’organismes nuisibles aux végétaux ou aux produits</w:t>
            </w:r>
            <w:r>
              <w:rPr>
                <w:noProof/>
              </w:rPr>
              <w:t xml:space="preserve"> végétaux et contre leur propagation à l’intérieur de la Communauté </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Décision d’exécution (UE) 2015/749 de la Commission du 7 mai 2015 abrogeant la décision 2007/410/CE relative à des mesures destinées à éviter l’introduction et la propagation dans l</w:t>
            </w:r>
            <w:r>
              <w:rPr>
                <w:noProof/>
              </w:rPr>
              <w:t>a Communauté du viroïde du tubercule en fuseau de la pomme de terre</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2008/840/CE de la Commission du 7 novembre 2008 relative à des mesures d’urgence destinées à éviter l’introduction et la propagation dans la Communauté d’</w:t>
            </w:r>
            <w:r>
              <w:rPr>
                <w:i/>
                <w:noProof/>
              </w:rPr>
              <w:t xml:space="preserve">Anoplophora </w:t>
            </w:r>
            <w:r>
              <w:rPr>
                <w:i/>
                <w:noProof/>
              </w:rPr>
              <w:t>chinensis</w:t>
            </w:r>
            <w:r>
              <w:rPr>
                <w:noProof/>
              </w:rPr>
              <w:t xml:space="preserve"> (Forster)</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d’exécution 2012/270/UE de la Commission du 16 mai 2012 en ce qui concerne des mesures d’urgence destinées à prévenir l’introduction et la propagation dans l’Union d’</w:t>
            </w:r>
            <w:r>
              <w:rPr>
                <w:i/>
                <w:noProof/>
              </w:rPr>
              <w:t>Epitrix cucumeris</w:t>
            </w:r>
            <w:r>
              <w:rPr>
                <w:noProof/>
              </w:rPr>
              <w:t xml:space="preserve"> (Harris), d’</w:t>
            </w:r>
            <w:r>
              <w:rPr>
                <w:i/>
                <w:noProof/>
              </w:rPr>
              <w:t>Epitrix similaris</w:t>
            </w:r>
            <w:r>
              <w:rPr>
                <w:noProof/>
              </w:rPr>
              <w:t xml:space="preserve"> (Gentne</w:t>
            </w:r>
            <w:r>
              <w:rPr>
                <w:noProof/>
              </w:rPr>
              <w:t>r), d’</w:t>
            </w:r>
            <w:r>
              <w:rPr>
                <w:i/>
                <w:noProof/>
              </w:rPr>
              <w:t>Epitrix subcrinita</w:t>
            </w:r>
            <w:r>
              <w:rPr>
                <w:noProof/>
              </w:rPr>
              <w:t xml:space="preserve"> (Lec.) et d’</w:t>
            </w:r>
            <w:r>
              <w:rPr>
                <w:i/>
                <w:noProof/>
              </w:rPr>
              <w:t>Epitrix tuberis</w:t>
            </w:r>
            <w:r>
              <w:rPr>
                <w:noProof/>
              </w:rPr>
              <w:t xml:space="preserve"> (Gentner)</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Décision 2006/133/CE de la Commission du 13 février 2006 exigeant des États membres qu’ils prennent provisoirement des mesures supplémentaires contre la propagation de </w:t>
            </w:r>
            <w:r>
              <w:rPr>
                <w:i/>
                <w:noProof/>
              </w:rPr>
              <w:t xml:space="preserve">Bursaphelenchus </w:t>
            </w:r>
            <w:r>
              <w:rPr>
                <w:i/>
                <w:noProof/>
              </w:rPr>
              <w:t>xylophilus</w:t>
            </w:r>
            <w:r>
              <w:rPr>
                <w:noProof/>
              </w:rPr>
              <w:t xml:space="preserve"> (Steiner et Buhrer) Nickle </w:t>
            </w:r>
            <w:r>
              <w:rPr>
                <w:i/>
                <w:noProof/>
              </w:rPr>
              <w:t>et al.</w:t>
            </w:r>
            <w:r>
              <w:rPr>
                <w:noProof/>
              </w:rPr>
              <w:t xml:space="preserve"> (nématode du pin) à partir des zones du Portugal autres que celles où son absence est attestée</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d’exécution 2012/535/UE de la Commission du 26 septembre 2012 relative aux mesures d’urgence destinée</w:t>
            </w:r>
            <w:r>
              <w:rPr>
                <w:noProof/>
              </w:rPr>
              <w:t xml:space="preserve">s à prévenir la propagation, dans l’Union, de </w:t>
            </w:r>
            <w:r>
              <w:rPr>
                <w:i/>
                <w:noProof/>
              </w:rPr>
              <w:t>Bursaphelenchus xylophilus</w:t>
            </w:r>
            <w:r>
              <w:rPr>
                <w:noProof/>
              </w:rPr>
              <w:t xml:space="preserve"> (Steiner et Buhrer) Nickle </w:t>
            </w:r>
            <w:r>
              <w:rPr>
                <w:i/>
                <w:noProof/>
              </w:rPr>
              <w:t>et al.</w:t>
            </w:r>
            <w:r>
              <w:rPr>
                <w:noProof/>
              </w:rPr>
              <w:t xml:space="preserve"> (nématode du pin)</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d’exécution 2012/138/UE de la Commission du 1</w:t>
            </w:r>
            <w:r>
              <w:rPr>
                <w:noProof/>
                <w:vertAlign w:val="superscript"/>
              </w:rPr>
              <w:t>er</w:t>
            </w:r>
            <w:r>
              <w:rPr>
                <w:noProof/>
              </w:rPr>
              <w:t xml:space="preserve"> mars 2012 relative à des mesures d’urgence destinées à éviter l’introduction et la propagation d’</w:t>
            </w:r>
            <w:r>
              <w:rPr>
                <w:i/>
                <w:noProof/>
              </w:rPr>
              <w:t>Anoplophora chinensis</w:t>
            </w:r>
            <w:r>
              <w:rPr>
                <w:noProof/>
              </w:rPr>
              <w:t xml:space="preserve"> (Forster) dans l’Union</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Règlement (CE) nº 690/2008 de la Commission du 4 juillet 2008 reconnaissant des zones protégées, exposées à</w:t>
            </w:r>
            <w:r>
              <w:rPr>
                <w:noProof/>
              </w:rPr>
              <w:t xml:space="preserve"> des dangers phytosanitaires particuliers, dans la Communauté</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Directive 93/50/CEE de la Commission du 24 juin 1993 déterminant certains végétaux non énumérés à l’annexe V, partie A, de la directive 77/93/CEE du Conseil, dont les producteurs, les </w:t>
            </w:r>
            <w:r>
              <w:rPr>
                <w:noProof/>
              </w:rPr>
              <w:t>magasins ou les centres d’expédition, situés dans les zones de production de ces végétaux, doivent être inscrits sur un registre officiel</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2004/416/CE de la Commission du 29 avril 2004 relative à des mesures d’urgence concernant certains agru</w:t>
            </w:r>
            <w:r>
              <w:rPr>
                <w:noProof/>
              </w:rPr>
              <w:t>mes originaires du Brésil</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2020</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Décision 2006/473/CE de la Commission du 5 juillet 2006 reconnaissant certains pays tiers et certaines régions de pays tiers comme indemnes de </w:t>
            </w:r>
            <w:r>
              <w:rPr>
                <w:i/>
                <w:noProof/>
              </w:rPr>
              <w:t>Xanthomonas campestris</w:t>
            </w:r>
            <w:r>
              <w:rPr>
                <w:noProof/>
              </w:rPr>
              <w:t xml:space="preserve"> (toutes les souches pathogènes aux Citrus), </w:t>
            </w:r>
            <w:r>
              <w:rPr>
                <w:i/>
                <w:noProof/>
              </w:rPr>
              <w:t>Cercospora ang</w:t>
            </w:r>
            <w:r>
              <w:rPr>
                <w:i/>
                <w:noProof/>
              </w:rPr>
              <w:t>olensis Carv.</w:t>
            </w:r>
            <w:r>
              <w:rPr>
                <w:noProof/>
              </w:rPr>
              <w:t xml:space="preserve"> et </w:t>
            </w:r>
            <w:r>
              <w:rPr>
                <w:i/>
                <w:noProof/>
              </w:rPr>
              <w:t>Mendes ou Guignardia citricarpa Kiely</w:t>
            </w:r>
            <w:r>
              <w:rPr>
                <w:noProof/>
              </w:rPr>
              <w:t xml:space="preserve"> (toutes les souches pathogènes aux Citrus)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2020</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d’exécution 2012/756/UE de la Commission du 5 décembre 2012 relative à des mesures visant à prévenir l’introduction et la propagation dans l’Un</w:t>
            </w:r>
            <w:r>
              <w:rPr>
                <w:noProof/>
              </w:rPr>
              <w:t xml:space="preserve">ion de </w:t>
            </w:r>
            <w:r>
              <w:rPr>
                <w:i/>
                <w:noProof/>
              </w:rPr>
              <w:t>Pseudomonas syringae</w:t>
            </w:r>
            <w:r>
              <w:rPr>
                <w:noProof/>
              </w:rPr>
              <w:t xml:space="preserve"> pv. </w:t>
            </w:r>
            <w:r>
              <w:rPr>
                <w:i/>
                <w:noProof/>
              </w:rPr>
              <w:t>actinidiae</w:t>
            </w:r>
            <w:r>
              <w:rPr>
                <w:noProof/>
              </w:rPr>
              <w:t xml:space="preserve"> Takikawa, Serizawa, Ichikawa, Tsuyumu et Goto</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2020</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Décision d’exécution 2013/92/UE de la Commission du 18 février 2013 relative à la surveillance, aux contrôles phytosanitaires et aux mesures à prendre en ce qui </w:t>
            </w:r>
            <w:r>
              <w:rPr>
                <w:noProof/>
              </w:rPr>
              <w:t>concerne le matériel d’emballage en bois utilisé pour le transport de marchandises spécifiées en provenance de Chine</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d’exécution 2014/237/UE de la Commission du 24 avril 2014 relative à des mesures visant à prévenir l’introduction et la prop</w:t>
            </w:r>
            <w:r>
              <w:rPr>
                <w:noProof/>
              </w:rPr>
              <w:t>agation dans l’Union d’organismes nuisibles concernant certains fruits et légumes en provenance de l’Inde</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Décision d’exécution 2014/422/UE de la Commission du 2 juillet 2014 établissant des mesures à l’égard de certains agrumes originaires d’Afrique </w:t>
            </w:r>
            <w:r>
              <w:rPr>
                <w:noProof/>
              </w:rPr>
              <w:t xml:space="preserve">du Sud visant à éviter l’introduction et la propagation dans l’Union de </w:t>
            </w:r>
            <w:r>
              <w:rPr>
                <w:i/>
                <w:noProof/>
              </w:rPr>
              <w:t>Phyllosticta citricarpa</w:t>
            </w:r>
            <w:r>
              <w:rPr>
                <w:noProof/>
              </w:rPr>
              <w:t xml:space="preserve"> (McAlpine) Van der Aa</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2020</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Directive 98/22/CE de la Commission du 15 avril 1998 fixant les conditions minimales pour la réalisation de contrôles </w:t>
            </w:r>
            <w:r>
              <w:rPr>
                <w:noProof/>
              </w:rPr>
              <w:t>phytosanitaires dans la Communauté, à des postes d’inspection autres que ceux situés au lieu de destination, de végétaux, produits végétaux ou autres objets en provenance de pays tiers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Directive 2008/61/CE de la Commission fixant les conditions dans </w:t>
            </w:r>
            <w:r>
              <w:rPr>
                <w:noProof/>
              </w:rPr>
              <w:t>lesquelles certains organismes nuisibles, végétaux, produits végétaux et autres objets énumérés aux annexes I à V de la directive 2000/29/CE du Conseil peuvent être introduits ou circuler dans la Communauté ou dans certaines zones protégées de la Communaut</w:t>
            </w:r>
            <w:r>
              <w:rPr>
                <w:noProof/>
              </w:rPr>
              <w:t>é pour des travaux à des fins d’essai ou à des fins scientifiques ou pour des travaux sur les sélections variétales (version codifiée)</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2016</w:t>
            </w:r>
          </w:p>
        </w:tc>
      </w:tr>
      <w:tr w:rsidR="00D557DC">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Règlement (CE) nº 1107/2009 du Parlement européen et du Conseil du 21 octobre 2009 concernant la mise sur le marché</w:t>
            </w:r>
            <w:r>
              <w:rPr>
                <w:noProof/>
              </w:rPr>
              <w:t xml:space="preserve"> des produits phytopharmaceutiques et abrogeant les directives 79/117/CEE et 91/414/CEE du Conseil</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2020</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Règlement d’exécution (UE) nº 540/2011 de la Commission du 25 mai 2011 portant application du règlement (CE) nº 1107/2009 du Parlement européen et du </w:t>
            </w:r>
            <w:r>
              <w:rPr>
                <w:noProof/>
              </w:rPr>
              <w:t>Conseil, en ce qui concerne la liste des substances actives approuvées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Règlement (UE) nº 544/2011 de la Commission du 10 juin 2011 portant application du règlement (CE) nº 1107/2009 du Parlement européen et du Conseil, en ce qui concerne la liste des</w:t>
            </w:r>
            <w:r>
              <w:rPr>
                <w:noProof/>
              </w:rPr>
              <w:t xml:space="preserve"> substances actives approuvées</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Règlement (UE) nº 545/2011 de la Commission du 10 juin 2011 portant application du règlement (CE) nº 1107/2009 du Parlement européen et du Conseil concernant les exigences en matière d’étiquetage de produits </w:t>
            </w:r>
            <w:r>
              <w:rPr>
                <w:noProof/>
              </w:rPr>
              <w:t>phytopharmaceutiques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Règlement (UE) nº 546/2011 de la Commission du 10 juin 2011 portant application du règlement (CE) nº 1107/2009 du Parlement européen et du Conseil en ce qui concerne les principes uniformes d’évaluation et d’autorisation des prod</w:t>
            </w:r>
            <w:r>
              <w:rPr>
                <w:noProof/>
              </w:rPr>
              <w:t xml:space="preserve">uits phytopharmaceutiques </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 xml:space="preserve">Règlement (UE) nº 547/2011 de la Commission du 8 juin 2011 portant application du règlement (CE) nº 1107/2009 du Parlement européen et du Conseil concernant les exigences en matière d’étiquetage de produits phytopharmaceutiques </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2009/128/CE</w:t>
            </w:r>
            <w:r>
              <w:rPr>
                <w:noProof/>
              </w:rPr>
              <w:t xml:space="preserve"> du Parlement européen et du Conseil du 21 octobre 2009 instaurant un cadre d’action communautaire pour parvenir à une utilisation des pesticides compatible avec le développement durable</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Décision 2005/834/CE du Conseil du 8 novembre 2005 concernant l</w:t>
            </w:r>
            <w:r>
              <w:rPr>
                <w:noProof/>
              </w:rPr>
              <w:t>’équivalence des contrôles des sélections conservatrices effectués dans certains pays tiers et modifiant la décision 2003/17/CE</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Directive 2004/29/CE de la Commission du 4 mars 2004 concernant la fixation des caractères et des conditions minimales </w:t>
            </w:r>
            <w:r>
              <w:rPr>
                <w:noProof/>
              </w:rPr>
              <w:t>pour l’examen des variétés de vigne</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1999/105/CE du Conseil du 22 décembre 1999 concernant la commercialisation des matériels forestiers de reproduction</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ab/>
              <w:t xml:space="preserve">Règlement (CE) nº 1597/2002 de la Commission du 6 septembre 2002 portant </w:t>
            </w:r>
            <w:r>
              <w:rPr>
                <w:noProof/>
              </w:rPr>
              <w:t>modalités d’application de la directive 1999/105/CE du Conseil en ce qui concerne le modèle des listes nationales de matériels de base destinés aux matériels forestiers de reproduction</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Règlement (CE) nº 2301/2002 de la Commission du 20 décembre 2002 </w:t>
            </w:r>
            <w:r>
              <w:rPr>
                <w:noProof/>
              </w:rPr>
              <w:t>portant modalités d’application de la directive 1999/105/CE du Conseil en ce qui concerne la définition des termes "faibles quantités de graines"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ab/>
              <w:t xml:space="preserve">Règlement (CE) nº 69/2004 de la Commission du 15 janvier 2004 autorisant des dérogations à certaines </w:t>
            </w:r>
            <w:r>
              <w:rPr>
                <w:noProof/>
              </w:rPr>
              <w:t>dispositions de la directive 1999/105/CE du Conseil en ce qui concerne la commercialisation des matériels forestiers de reproduction issus de certains matériels de base</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Décision 2008/971/CE du Conseil du 16 décembre 2008 concernant l’équivalence des </w:t>
            </w:r>
            <w:r>
              <w:rPr>
                <w:noProof/>
              </w:rPr>
              <w:t>matériels forestiers de reproduction produits dans les pays tiers</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Décision 2008/989/CE de la Commission du 23 décembre 2008 autorisant les États membres, conformément à la directive 1999/105/CE du Conseil, à décider de l’équivalence des garanties </w:t>
            </w:r>
            <w:r>
              <w:rPr>
                <w:noProof/>
              </w:rPr>
              <w:t>offertes par les matériels forestiers de reproduction destinés à être importés de certains pays tiers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Recommandation 2012/90/UE de la Commission du 14 février 2012 concernant des lignes directrices pour la présentation des informations relatives à </w:t>
            </w:r>
            <w:r>
              <w:rPr>
                <w:noProof/>
              </w:rPr>
              <w:t>l’identification des lots de matériels forestiers de reproduction et des informations à indiquer sur l’étiquette ou dans le document du fournisseur</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2003/91/CE de la Commission du 6 octobre 2003 établissant des modalités d’application de l’a</w:t>
            </w:r>
            <w:r>
              <w:rPr>
                <w:noProof/>
              </w:rPr>
              <w:t>rticle 7 de la directive 2002/55/CE du Conseil en ce qui concerne les caractères devant être couverts au minimum par l’examen et les conditions minimales pour l’examen de certaines variétés d’espèces de légumes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Directive d’exécution 2014/20/UE de la </w:t>
            </w:r>
            <w:r>
              <w:rPr>
                <w:noProof/>
              </w:rPr>
              <w:t>Commission du 6 février 2014 portant définition des classes de l’Union de plants de pommes de terre de base et de plants de pommes de terre certifiés, ainsi que les conditions et dénominations applicables à ces classes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Directive d’exécution </w:t>
            </w:r>
            <w:r>
              <w:rPr>
                <w:noProof/>
              </w:rPr>
              <w:t>2014/21/UE de la Commission du 6 février 2014 portant définition de conditions minimales et de classes de l’Union pour les plants de pommes de terre prébase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Directive 2008/62/CE de la Commission du 20 juin 2008 introduisant certaines dérogations pour</w:t>
            </w:r>
            <w:r>
              <w:rPr>
                <w:noProof/>
              </w:rPr>
              <w:t xml:space="preserve"> l’admission des races primitives et variétés agricoles naturellement adaptées aux conditions locales et régionales et menacées d’érosion génétique, et pour la commercialisation de semences et de plants de pommes de terre de ces races primitives et variété</w:t>
            </w:r>
            <w:r>
              <w:rPr>
                <w:noProof/>
              </w:rPr>
              <w: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rPr>
            </w:pPr>
            <w:r>
              <w:rPr>
                <w:noProof/>
              </w:rPr>
              <w:t xml:space="preserve">Directive 2009/145/CE de la Commission du 26 novembre 2009 introduisant certaines dérogations pour l’admission des races primitives et variétés de légumes traditionnellement cultivées dans des localités et régions spécifiques et menacées d’érosion </w:t>
            </w:r>
            <w:r>
              <w:rPr>
                <w:noProof/>
              </w:rPr>
              <w:t>génétique, et des variétés de légumes sans valeur intrinsèque pour la production commerciale mais créées en vue de répondre à des conditions de culture particulières, ainsi que pour la commercialisation de semences de ces races primitives et variétés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9729" w:type="dxa"/>
            <w:gridSpan w:val="2"/>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0"/>
              <w:jc w:val="center"/>
              <w:rPr>
                <w:rFonts w:eastAsia="Times New Roman"/>
                <w:b/>
                <w:noProof/>
                <w:szCs w:val="24"/>
              </w:rPr>
            </w:pPr>
            <w:r>
              <w:rPr>
                <w:b/>
                <w:noProof/>
              </w:rPr>
              <w:t>Section 7 — Organismes génétiquement modifiés</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noProof/>
                <w:szCs w:val="24"/>
              </w:rPr>
            </w:pPr>
            <w:r>
              <w:rPr>
                <w:noProof/>
              </w:rPr>
              <w:t>Directive 2001/18/CE du Parlement européen et du Conseil du 12 mars 2001 relative à la dissémination volontaire d’organismes génétiquement modifiés dans l’environnement et abrogeant la directive 90/220/CEE du</w:t>
            </w:r>
            <w:r>
              <w:rPr>
                <w:noProof/>
              </w:rPr>
              <w:t xml:space="preserve"> Conseil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Tel que fixé à l’annexe XVI</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noProof/>
                <w:szCs w:val="24"/>
              </w:rPr>
            </w:pPr>
            <w:r>
              <w:rPr>
                <w:noProof/>
              </w:rPr>
              <w:t>Décision 2002/811/CE du Conseil du 3 octobre 2002 établissant les notes explicatives complétant l’annexe VII de la directive 2001/18/CE du Parlement européen et du Conseil relative à la dissémination volontaire d’organ</w:t>
            </w:r>
            <w:r>
              <w:rPr>
                <w:noProof/>
              </w:rPr>
              <w:t>ismes génétiquement modifiés dans l’environnement et abrogeant la directive 90/220/CEE du Conseil</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noProof/>
                <w:szCs w:val="24"/>
              </w:rPr>
            </w:pPr>
            <w:r>
              <w:rPr>
                <w:noProof/>
              </w:rPr>
              <w:t xml:space="preserve">Décision 2002/812/CE du Conseil du 3 octobre 2002 instituant, conformément à la directive 2001/18/CE du Parlement européen et du Conseil, le formulaire </w:t>
            </w:r>
            <w:r>
              <w:rPr>
                <w:noProof/>
              </w:rPr>
              <w:t>de synthèse de la notification concernant la mise sur le marché d’organismes génétiquement modifiés en tant que produits ou éléments de produits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noProof/>
                <w:szCs w:val="24"/>
              </w:rPr>
            </w:pPr>
            <w:r>
              <w:rPr>
                <w:noProof/>
              </w:rPr>
              <w:t>Règlement (CE) nº 1946/2003 du Parlement européen et du Conseil du 15 juillet 2003 relatif aux mouvements</w:t>
            </w:r>
            <w:r>
              <w:rPr>
                <w:noProof/>
              </w:rPr>
              <w:t xml:space="preserve"> transfrontières des organismes génétiquement modifiés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2017</w:t>
            </w:r>
          </w:p>
        </w:tc>
      </w:tr>
      <w:tr w:rsidR="00D557DC">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noProof/>
                <w:szCs w:val="24"/>
              </w:rPr>
            </w:pPr>
            <w:r>
              <w:rPr>
                <w:noProof/>
              </w:rPr>
              <w:t>Règlement (CE) nº 1829/2003 du Parlement européen et du Conseil du 22 septembre 2003 concernant les denrées alimentaires et les aliments pour animaux génétiquement modifiés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noProof/>
                <w:szCs w:val="24"/>
              </w:rPr>
            </w:pPr>
            <w:r>
              <w:rPr>
                <w:noProof/>
              </w:rPr>
              <w:t xml:space="preserve">Règlement (CE) </w:t>
            </w:r>
            <w:r>
              <w:rPr>
                <w:noProof/>
              </w:rPr>
              <w:t>nº 641/2004 de la Commission du 6 avril 2004 fixant les modalités d’application du règlement (CE) nº 1829/2003 du Parlement européen et du Conseil en ce qui concerne la demande d’autorisation de nouvelles denrées alimentaires et de nouveaux aliments pour a</w:t>
            </w:r>
            <w:r>
              <w:rPr>
                <w:noProof/>
              </w:rPr>
              <w:t>nimaux génétiquement modifiés, la notification de produits existants et la présence fortuite ou techniquement inévitable de matériel génétiquement modifié ayant fait l’objet d’une évaluation du risque et obtenu un avis favorable</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noProof/>
                <w:szCs w:val="24"/>
              </w:rPr>
            </w:pPr>
            <w:r>
              <w:rPr>
                <w:noProof/>
              </w:rPr>
              <w:t>Règlement (CE) nº 183</w:t>
            </w:r>
            <w:r>
              <w:rPr>
                <w:noProof/>
              </w:rPr>
              <w:t>0/2003 du Parlement européen et du Conseil du 22 septembre 2003 concernant la traçabilité et l’étiquetage des organismes génétiquement modifiés et la traçabilité des produits destinés à l’alimentation humaine ou animale produits à partir d’organismes génét</w:t>
            </w:r>
            <w:r>
              <w:rPr>
                <w:noProof/>
              </w:rPr>
              <w:t>iquement modifiés, et modifiant la directive 2001/18/CE.</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noProof/>
                <w:szCs w:val="24"/>
              </w:rPr>
            </w:pPr>
            <w:r>
              <w:rPr>
                <w:noProof/>
              </w:rPr>
              <w:t xml:space="preserve">Recommandation 2010/C 200/01 de la Commission du 13 juillet 2010 établissant des lignes directrices pour l’élaboration de mesures nationales de coexistence visant à éviter la présence </w:t>
            </w:r>
            <w:r>
              <w:rPr>
                <w:noProof/>
              </w:rPr>
              <w:t>accidentelle d’OGM dans les cultures conventionnelles et biologiques</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highlight w:val="yellow"/>
              </w:rPr>
            </w:pPr>
            <w:r>
              <w:rPr>
                <w:noProof/>
              </w:rPr>
              <w:t>Directive 2009/41/CE du Parlement Européen et du Conseil du 6 mai 2009 relative à l’utilisation confinée de micro-organismes génétiquement modifiés (refonte)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highlight w:val="yellow"/>
              </w:rPr>
            </w:pPr>
            <w:r>
              <w:rPr>
                <w:noProof/>
              </w:rPr>
              <w:t>Tel que fixé à l’annexe</w:t>
            </w:r>
            <w:r>
              <w:rPr>
                <w:noProof/>
              </w:rPr>
              <w:t> XVI</w:t>
            </w:r>
            <w:r>
              <w:rPr>
                <w:noProof/>
                <w:highlight w:val="yellow"/>
              </w:rPr>
              <w:t xml:space="preserve"> </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rPr>
            </w:pPr>
            <w:r>
              <w:rPr>
                <w:noProof/>
              </w:rPr>
              <w:t>Décision 2009/770/CE de la Commission du 13 octobre 2009 établissant des formulaires types pour la présentation des résultats de la surveillance relative à la dissémination volontaire dans l’environnement d’organismes génétiquement modifiés, en tant</w:t>
            </w:r>
            <w:r>
              <w:rPr>
                <w:noProof/>
              </w:rPr>
              <w:t xml:space="preserve"> que produits ou éléments de produits, aux fins de leur mise sur le marché, conformément à la directive 2001/18/CE du Parlement européen et du Conseil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2018</w:t>
            </w:r>
          </w:p>
        </w:tc>
      </w:tr>
      <w:tr w:rsidR="00D557DC">
        <w:trPr>
          <w:trHeight w:val="20"/>
        </w:trPr>
        <w:tc>
          <w:tcPr>
            <w:tcW w:w="9729" w:type="dxa"/>
            <w:gridSpan w:val="2"/>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0"/>
              <w:jc w:val="center"/>
              <w:rPr>
                <w:rFonts w:eastAsia="Times New Roman"/>
                <w:noProof/>
                <w:szCs w:val="24"/>
              </w:rPr>
            </w:pPr>
            <w:r>
              <w:rPr>
                <w:b/>
                <w:noProof/>
              </w:rPr>
              <w:t>Section 8 – Médicaments vétérinaires</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bCs/>
                <w:noProof/>
                <w:szCs w:val="24"/>
                <w:bdr w:val="none" w:sz="0" w:space="0" w:color="auto" w:frame="1"/>
                <w:shd w:val="clear" w:color="auto" w:fill="FFFFFF"/>
              </w:rPr>
            </w:pPr>
            <w:r>
              <w:rPr>
                <w:noProof/>
              </w:rPr>
              <w:t>Directive 2001/82/CE du Parlement européen et du Conseil du 6</w:t>
            </w:r>
            <w:r>
              <w:rPr>
                <w:noProof/>
              </w:rPr>
              <w:t> novembre 2001 instituant un code communautaire relatif aux médicaments vétérinaires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highlight w:val="yellow"/>
              </w:rPr>
            </w:pPr>
            <w:r>
              <w:rPr>
                <w:noProof/>
              </w:rPr>
              <w:t>Tel que fixé à l’annexe XVI</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bCs/>
                <w:noProof/>
                <w:szCs w:val="24"/>
                <w:bdr w:val="none" w:sz="0" w:space="0" w:color="auto" w:frame="1"/>
                <w:shd w:val="clear" w:color="auto" w:fill="FFFFFF"/>
              </w:rPr>
            </w:pPr>
            <w:r>
              <w:rPr>
                <w:noProof/>
              </w:rPr>
              <w:t xml:space="preserve">Directive 2004/28/CE du Parlement européen et du Conseil du 31 mars 2004 modifiant la directive 2001/82/CE instituant un code communautaire </w:t>
            </w:r>
            <w:r>
              <w:rPr>
                <w:noProof/>
              </w:rPr>
              <w:t>relatif aux médicaments vétérinaires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rPr>
            </w:pPr>
            <w:r>
              <w:rPr>
                <w:noProof/>
              </w:rPr>
              <w:t>2019</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bCs/>
                <w:noProof/>
                <w:szCs w:val="24"/>
                <w:highlight w:val="yellow"/>
                <w:bdr w:val="none" w:sz="0" w:space="0" w:color="auto" w:frame="1"/>
                <w:shd w:val="clear" w:color="auto" w:fill="FFFFFF"/>
              </w:rPr>
            </w:pPr>
            <w:r>
              <w:rPr>
                <w:noProof/>
              </w:rPr>
              <w:t>Règlement (UE) nº 37/2010 de la Commission du 22 décembre 2009 relatif aux substances pharmacologiquement actives et à leur classification en ce qui concerne les limites maximales de résidus dans les aliments d’or</w:t>
            </w:r>
            <w:r>
              <w:rPr>
                <w:noProof/>
              </w:rPr>
              <w:t>igine animale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highlight w:val="yellow"/>
              </w:rPr>
            </w:pPr>
            <w:r>
              <w:rPr>
                <w:noProof/>
              </w:rPr>
              <w:t>2018</w:t>
            </w:r>
          </w:p>
        </w:tc>
      </w:tr>
      <w:tr w:rsidR="00D557DC">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shd w:val="clear" w:color="auto" w:fill="FFFFFF"/>
              </w:rPr>
            </w:pPr>
            <w:r>
              <w:rPr>
                <w:noProof/>
              </w:rPr>
              <w:t>Directive 2006/130/CE de la Commission du 11 décembre 2006 portant exécution de la directive 2001/82/CE du Parlement européen et du Conseil en ce qui concerne l’établissement de critères pour déroger à l’exigence d’une ordonnance vétéri</w:t>
            </w:r>
            <w:r>
              <w:rPr>
                <w:noProof/>
              </w:rPr>
              <w:t>naire pour certains médicaments vétérinaires destinés aux animaux producteurs de denrées alimentaires </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highlight w:val="yellow"/>
              </w:rPr>
            </w:pPr>
            <w:r>
              <w:rPr>
                <w:noProof/>
              </w:rPr>
              <w:t>Tel que fixé à l’annexe XVI</w:t>
            </w:r>
          </w:p>
        </w:tc>
      </w:tr>
      <w:tr w:rsidR="00D557DC">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noProof/>
                <w:szCs w:val="24"/>
                <w:shd w:val="clear" w:color="auto" w:fill="FFFFFF"/>
              </w:rPr>
            </w:pPr>
            <w:r>
              <w:rPr>
                <w:noProof/>
              </w:rPr>
              <w:t>Règlement (CE) nº 1662/95 de la Commission du 7 juillet 1995 établissant certaines modalités de mise en œuvre des procédures</w:t>
            </w:r>
            <w:r>
              <w:rPr>
                <w:noProof/>
              </w:rPr>
              <w:t xml:space="preserve"> décisionnelles communautaires en matière d’autorisation de mise sur le marché de médicaments à usage humain ou vétérinaire </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highlight w:val="yellow"/>
              </w:rPr>
            </w:pPr>
            <w:r>
              <w:rPr>
                <w:noProof/>
              </w:rPr>
              <w:t>Tel que fixé à l’annexe XVI</w:t>
            </w:r>
          </w:p>
        </w:tc>
      </w:tr>
      <w:tr w:rsidR="00D557DC">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0" w:after="200"/>
              <w:rPr>
                <w:rFonts w:eastAsia="Times New Roman"/>
                <w:bCs/>
                <w:noProof/>
                <w:szCs w:val="24"/>
                <w:bdr w:val="none" w:sz="0" w:space="0" w:color="auto" w:frame="1"/>
                <w:shd w:val="clear" w:color="auto" w:fill="FFFFFF"/>
              </w:rPr>
            </w:pPr>
            <w:r>
              <w:rPr>
                <w:noProof/>
              </w:rPr>
              <w:t xml:space="preserve">Règlement (CE) nº 469/2009 du Parlement européen et du Conseil du 6 mai 2009 concernant le certificat </w:t>
            </w:r>
            <w:r>
              <w:rPr>
                <w:noProof/>
              </w:rPr>
              <w:t>complémentaire de protection pour les médicaments (version codifiée)</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D557DC" w:rsidRDefault="00600BB5">
            <w:pPr>
              <w:widowControl w:val="0"/>
              <w:spacing w:before="40" w:after="40"/>
              <w:jc w:val="center"/>
              <w:rPr>
                <w:rFonts w:eastAsia="Times New Roman"/>
                <w:noProof/>
                <w:szCs w:val="24"/>
                <w:highlight w:val="yellow"/>
              </w:rPr>
            </w:pPr>
            <w:r>
              <w:rPr>
                <w:noProof/>
              </w:rPr>
              <w:t>Tel que fixé à l’annexe XVI</w:t>
            </w:r>
          </w:p>
        </w:tc>
      </w:tr>
    </w:tbl>
    <w:p w:rsidR="00D557DC" w:rsidRDefault="00600BB5">
      <w:pPr>
        <w:widowControl w:val="0"/>
        <w:spacing w:before="0" w:after="0" w:line="360" w:lineRule="auto"/>
        <w:jc w:val="left"/>
        <w:rPr>
          <w:caps/>
          <w:noProof/>
        </w:rPr>
      </w:pPr>
      <w:r>
        <w:rPr>
          <w:noProof/>
        </w:rPr>
        <w:t>»</w:t>
      </w:r>
    </w:p>
    <w:sectPr w:rsidR="00D557DC" w:rsidSect="00600BB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7DC" w:rsidRDefault="00600BB5">
      <w:pPr>
        <w:spacing w:before="0" w:after="0"/>
      </w:pPr>
      <w:r>
        <w:separator/>
      </w:r>
    </w:p>
  </w:endnote>
  <w:endnote w:type="continuationSeparator" w:id="0">
    <w:p w:rsidR="00D557DC" w:rsidRDefault="00600B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B5" w:rsidRPr="00600BB5" w:rsidRDefault="00600BB5" w:rsidP="00600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DC" w:rsidRPr="00600BB5" w:rsidRDefault="00600BB5" w:rsidP="00600BB5">
    <w:pPr>
      <w:pStyle w:val="Footer"/>
      <w:rPr>
        <w:rFonts w:ascii="Arial" w:hAnsi="Arial" w:cs="Arial"/>
        <w:b/>
        <w:sz w:val="48"/>
      </w:rPr>
    </w:pPr>
    <w:r w:rsidRPr="00600BB5">
      <w:rPr>
        <w:rFonts w:ascii="Arial" w:hAnsi="Arial" w:cs="Arial"/>
        <w:b/>
        <w:sz w:val="48"/>
      </w:rPr>
      <w:t>FR</w:t>
    </w:r>
    <w:r w:rsidRPr="00600BB5">
      <w:rPr>
        <w:rFonts w:ascii="Arial" w:hAnsi="Arial" w:cs="Arial"/>
        <w:b/>
        <w:sz w:val="48"/>
      </w:rPr>
      <w:tab/>
    </w:r>
    <w:r w:rsidRPr="00600BB5">
      <w:rPr>
        <w:rFonts w:ascii="Arial" w:hAnsi="Arial" w:cs="Arial"/>
        <w:b/>
        <w:sz w:val="48"/>
      </w:rPr>
      <w:tab/>
    </w:r>
    <w:fldSimple w:instr=" DOCVARIABLE &quot;LW_Confidence&quot; \* MERGEFORMAT ">
      <w:r>
        <w:t xml:space="preserve"> </w:t>
      </w:r>
    </w:fldSimple>
    <w:r w:rsidRPr="00600BB5">
      <w:tab/>
    </w:r>
    <w:proofErr w:type="spellStart"/>
    <w:r w:rsidRPr="00600BB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B5" w:rsidRPr="00600BB5" w:rsidRDefault="00600BB5" w:rsidP="00600B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DC" w:rsidRPr="00600BB5" w:rsidRDefault="00600BB5" w:rsidP="00600BB5">
    <w:pPr>
      <w:pStyle w:val="Footer"/>
      <w:rPr>
        <w:rFonts w:ascii="Arial" w:hAnsi="Arial" w:cs="Arial"/>
        <w:b/>
        <w:sz w:val="48"/>
      </w:rPr>
    </w:pPr>
    <w:r w:rsidRPr="00600BB5">
      <w:rPr>
        <w:rFonts w:ascii="Arial" w:hAnsi="Arial" w:cs="Arial"/>
        <w:b/>
        <w:sz w:val="48"/>
      </w:rPr>
      <w:t>FR</w:t>
    </w:r>
    <w:r w:rsidRPr="00600BB5">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fldSimple w:instr=" DOCVARIABLE &quot;LW_Confidence&quot; \* MERGEFORMAT ">
      <w:r>
        <w:t xml:space="preserve"> </w:t>
      </w:r>
    </w:fldSimple>
    <w:r w:rsidRPr="00600BB5">
      <w:tab/>
    </w:r>
    <w:r w:rsidRPr="00600BB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B5" w:rsidRPr="00600BB5" w:rsidRDefault="00600BB5" w:rsidP="0060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7DC" w:rsidRDefault="00600BB5">
      <w:pPr>
        <w:spacing w:before="0" w:after="0"/>
      </w:pPr>
      <w:r>
        <w:separator/>
      </w:r>
    </w:p>
  </w:footnote>
  <w:footnote w:type="continuationSeparator" w:id="0">
    <w:p w:rsidR="00D557DC" w:rsidRDefault="00600BB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B5" w:rsidRPr="00600BB5" w:rsidRDefault="00600BB5" w:rsidP="00600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B5" w:rsidRPr="00600BB5" w:rsidRDefault="00600BB5" w:rsidP="00600B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B5" w:rsidRPr="00600BB5" w:rsidRDefault="00600BB5" w:rsidP="00600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3418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B022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489B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D012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1C280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8AA6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3E8CCE"/>
    <w:lvl w:ilvl="0">
      <w:start w:val="1"/>
      <w:numFmt w:val="decimal"/>
      <w:pStyle w:val="ListNumber"/>
      <w:lvlText w:val="%1."/>
      <w:lvlJc w:val="left"/>
      <w:pPr>
        <w:tabs>
          <w:tab w:val="num" w:pos="360"/>
        </w:tabs>
        <w:ind w:left="360" w:hanging="360"/>
      </w:pPr>
    </w:lvl>
  </w:abstractNum>
  <w:abstractNum w:abstractNumId="7">
    <w:nsid w:val="FFFFFF89"/>
    <w:multiLevelType w:val="singleLevel"/>
    <w:tmpl w:val="AE80DE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1 10:29: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AAD7DCC3B59B41AEBD4ED12C89E63C6B"/>
    <w:docVar w:name="LW_CROSSREFERENCE" w:val="&lt;UNUSED&gt;"/>
    <w:docVar w:name="LW_DocType" w:val="ANNEX"/>
    <w:docVar w:name="LW_EMISSION" w:val="18.4.2016"/>
    <w:docVar w:name="LW_EMISSION_ISODATE" w:val="2016-04-1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position à adopter au nom de l\u8217?Union européenne au sein du sous-comité sanitaire et phytosanitaire institué par l\u8217?accord d\u8217?association entre l\u8217?Union européenne et la Communauté européenne de l\u8217?énergie atomique et leurs États membres, d\u8217?une part, et la République de Moldavie, d\u8217?autre part "/>
    <w:docVar w:name="LW_OBJETACTEPRINCIPAL.CP" w:val="relative à la position à adopter au nom de l\u8217?Union européenne au sein du sous-comité sanitaire et phytosanitaire institué par l\u8217?accord d\u8217?association entre l\u8217?Union européenne et la Communauté européenne de l\u8217?énergie atomique et leurs États membres, d\u8217?une part, et la République de Moldavie, d\u8217?autre part "/>
    <w:docVar w:name="LW_PART_NBR" w:val="1"/>
    <w:docVar w:name="LW_PART_NBR_TOTAL" w:val="1"/>
    <w:docVar w:name="LW_REF.INST.NEW" w:val="COM"/>
    <w:docVar w:name="LW_REF.INST.NEW_ADOPTED" w:val="final"/>
    <w:docVar w:name="LW_REF.INST.NEW_TEXT" w:val="(2016) 211"/>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w:rsids>
    <w:rsidRoot w:val="00D557DC"/>
    <w:rsid w:val="00600BB5"/>
    <w:rsid w:val="00D5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26</Pages>
  <Words>9564</Words>
  <Characters>54479</Characters>
  <Application>Microsoft Office Word</Application>
  <DocSecurity>0</DocSecurity>
  <Lines>1222</Lines>
  <Paragraphs>523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JANSEN Colette (SG)</cp:lastModifiedBy>
  <cp:revision>8</cp:revision>
  <cp:lastPrinted>2016-04-11T09:42:00Z</cp:lastPrinted>
  <dcterms:created xsi:type="dcterms:W3CDTF">2016-04-04T10:03:00Z</dcterms:created>
  <dcterms:modified xsi:type="dcterms:W3CDTF">2016-04-11T09:42:00Z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