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ABB89BC3E03F4B2B9E8557331E08BFF2" style="width:450.8pt;height:379.4pt">
            <v:imagedata r:id="rId8" o:title=""/>
          </v:shape>
        </w:pict>
      </w:r>
    </w:p>
    <w:p>
      <w:pPr>
        <w:rPr>
          <w:noProof/>
        </w:rPr>
        <w:sectPr>
          <w:footerReference w:type="default" r:id="rId9"/>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1.</w:t>
      </w:r>
      <w:r>
        <w:rPr>
          <w:noProof/>
        </w:rPr>
        <w:tab/>
        <w:t>CONTEXT OF THE PROPOSAL</w:t>
      </w:r>
    </w:p>
    <w:p>
      <w:pPr>
        <w:pStyle w:val="Bullet0"/>
        <w:numPr>
          <w:ilvl w:val="0"/>
          <w:numId w:val="1"/>
        </w:numPr>
        <w:rPr>
          <w:b/>
          <w:noProof/>
        </w:rPr>
      </w:pPr>
      <w:r>
        <w:rPr>
          <w:b/>
          <w:noProof/>
        </w:rPr>
        <w:t>Reasons for and objectives of the proposal</w:t>
      </w:r>
    </w:p>
    <w:p>
      <w:pPr>
        <w:rPr>
          <w:noProof/>
          <w:color w:val="000000"/>
          <w:szCs w:val="20"/>
        </w:rPr>
      </w:pPr>
      <w:r>
        <w:rPr>
          <w:noProof/>
          <w:color w:val="000000"/>
          <w:szCs w:val="20"/>
        </w:rPr>
        <w:t xml:space="preserve">The attached proposal for a Council decision establishes the Union position on a Decision by the Sanitary and Phytosanitary Sub-Committee under the Association Agreement between the European Union </w:t>
      </w:r>
      <w:r>
        <w:rPr>
          <w:noProof/>
        </w:rPr>
        <w:t xml:space="preserve">and the European Atomic Energy Community and their Member States, of the one part, and the Republic of Moldova, of the other part </w:t>
      </w:r>
      <w:r>
        <w:rPr>
          <w:noProof/>
          <w:color w:val="000000"/>
          <w:szCs w:val="20"/>
        </w:rPr>
        <w:t xml:space="preserve">('the Agreement') on the modification of Annex XXIV of the Agreement. The Agreement was signed on 27 June 2014, and is provisionally applied in part, since 1 September 2014. </w:t>
      </w:r>
    </w:p>
    <w:p>
      <w:pPr>
        <w:rPr>
          <w:noProof/>
          <w:color w:val="000000"/>
          <w:szCs w:val="20"/>
        </w:rPr>
      </w:pPr>
      <w:r>
        <w:rPr>
          <w:noProof/>
          <w:color w:val="000000"/>
          <w:szCs w:val="20"/>
        </w:rPr>
        <w:t xml:space="preserve">The proposed modification aims to implement the provisions of Chapter 4 (Sanitary and Phytosanitary Measures) of Title V (Trade and trade-related matters) of the Agreement. In particular, in Article 181 of the Agreement the Republic of Moldova committed to submit a list of Union sanitary and phytosanitary </w:t>
      </w:r>
      <w:r>
        <w:rPr>
          <w:i/>
          <w:noProof/>
          <w:color w:val="000000"/>
          <w:szCs w:val="20"/>
        </w:rPr>
        <w:t>acquis</w:t>
      </w:r>
      <w:r>
        <w:rPr>
          <w:noProof/>
          <w:color w:val="000000"/>
          <w:szCs w:val="20"/>
        </w:rPr>
        <w:t xml:space="preserve"> to which it intends to approximate its domestic legislation. That list is to be added to Annex XXIV of the Agreement, by decision of the EU-Moldova Sanitary and Phytosanitary Sub-Committee.</w:t>
      </w:r>
    </w:p>
    <w:p>
      <w:pPr>
        <w:pStyle w:val="Bullet0"/>
        <w:numPr>
          <w:ilvl w:val="0"/>
          <w:numId w:val="2"/>
        </w:numPr>
        <w:rPr>
          <w:b/>
          <w:noProof/>
          <w:color w:val="000000"/>
          <w:szCs w:val="20"/>
        </w:rPr>
      </w:pPr>
      <w:r>
        <w:rPr>
          <w:b/>
          <w:noProof/>
          <w:color w:val="000000"/>
          <w:szCs w:val="20"/>
        </w:rPr>
        <w:t>Consistency with existing policy provisions in the policy area</w:t>
      </w:r>
    </w:p>
    <w:p>
      <w:pPr>
        <w:rPr>
          <w:noProof/>
          <w:color w:val="000000"/>
          <w:szCs w:val="20"/>
        </w:rPr>
      </w:pPr>
      <w:r>
        <w:rPr>
          <w:noProof/>
          <w:color w:val="000000"/>
          <w:szCs w:val="20"/>
        </w:rPr>
        <w:t xml:space="preserve">This proposal implements the Union’s common commercial policy towards the Republic of Moldova, an Eastern Neighbourhood Partner country, based on the provisions of the above-mentioned Agreement and in particular its objective to create a free-trade area between the parties. This proposal implements the Agreement's provisions that aim to boost agricultural trade between the parties and in particular improve agricultural export capacity of the Republic of Moldova, on the basis of the Union </w:t>
      </w:r>
      <w:r>
        <w:rPr>
          <w:i/>
          <w:noProof/>
          <w:color w:val="000000"/>
          <w:szCs w:val="20"/>
        </w:rPr>
        <w:t>acquis</w:t>
      </w:r>
      <w:r>
        <w:rPr>
          <w:noProof/>
          <w:color w:val="000000"/>
          <w:szCs w:val="20"/>
        </w:rPr>
        <w:t xml:space="preserve">. </w:t>
      </w:r>
    </w:p>
    <w:p>
      <w:pPr>
        <w:pStyle w:val="Bullet0"/>
        <w:numPr>
          <w:ilvl w:val="0"/>
          <w:numId w:val="2"/>
        </w:numPr>
        <w:rPr>
          <w:b/>
          <w:noProof/>
        </w:rPr>
      </w:pPr>
      <w:r>
        <w:rPr>
          <w:b/>
          <w:noProof/>
          <w:color w:val="000000"/>
          <w:szCs w:val="20"/>
        </w:rPr>
        <w:t>Consistency</w:t>
      </w:r>
      <w:r>
        <w:rPr>
          <w:b/>
          <w:noProof/>
        </w:rPr>
        <w:t xml:space="preserve"> </w:t>
      </w:r>
      <w:r>
        <w:rPr>
          <w:rFonts w:eastAsia="Arial Unicode MS"/>
          <w:b/>
          <w:noProof/>
          <w:bdr w:val="none" w:sz="0" w:space="0" w:color="auto" w:frame="1"/>
          <w:lang w:val="en-US"/>
        </w:rPr>
        <w:t>with</w:t>
      </w:r>
      <w:r>
        <w:rPr>
          <w:b/>
          <w:noProof/>
        </w:rPr>
        <w:t xml:space="preserve"> other Union policies</w:t>
      </w:r>
    </w:p>
    <w:p>
      <w:pPr>
        <w:rPr>
          <w:noProof/>
          <w:color w:val="000000"/>
          <w:szCs w:val="20"/>
        </w:rPr>
      </w:pPr>
      <w:r>
        <w:rPr>
          <w:noProof/>
          <w:color w:val="000000"/>
          <w:szCs w:val="20"/>
        </w:rPr>
        <w:t>This proposal is consistent with and contributes to the implementation of other external policies of the Union, notably the European Neighbourhood Policy and the development cooperation policy in relation to the Republic of Moldova.</w:t>
      </w:r>
    </w:p>
    <w:p>
      <w:pPr>
        <w:pStyle w:val="ManualHeading1"/>
        <w:rPr>
          <w:noProof/>
        </w:rPr>
      </w:pPr>
      <w:r>
        <w:rPr>
          <w:noProof/>
        </w:rPr>
        <w:t>2.</w:t>
      </w:r>
      <w:r>
        <w:rPr>
          <w:noProof/>
        </w:rPr>
        <w:tab/>
        <w:t>LEGAL BASIS, SUBSIDIARITY AND PROPORTIONALITY</w:t>
      </w:r>
    </w:p>
    <w:p>
      <w:pPr>
        <w:pStyle w:val="Bullet0"/>
        <w:numPr>
          <w:ilvl w:val="0"/>
          <w:numId w:val="2"/>
        </w:numPr>
        <w:rPr>
          <w:b/>
          <w:noProof/>
          <w:color w:val="000000"/>
          <w:szCs w:val="20"/>
        </w:rPr>
      </w:pPr>
      <w:r>
        <w:rPr>
          <w:b/>
          <w:noProof/>
          <w:color w:val="000000"/>
          <w:szCs w:val="20"/>
        </w:rPr>
        <w:t>Legal basis</w:t>
      </w:r>
    </w:p>
    <w:p>
      <w:pPr>
        <w:autoSpaceDE w:val="0"/>
        <w:autoSpaceDN w:val="0"/>
        <w:adjustRightInd w:val="0"/>
        <w:rPr>
          <w:noProof/>
          <w:color w:val="000000"/>
          <w:szCs w:val="20"/>
        </w:rPr>
      </w:pPr>
      <w:r>
        <w:rPr>
          <w:noProof/>
          <w:color w:val="000000"/>
          <w:szCs w:val="20"/>
        </w:rPr>
        <w:t>The legal basis for</w:t>
      </w:r>
      <w:r>
        <w:rPr>
          <w:noProof/>
        </w:rPr>
        <w:t xml:space="preserve"> </w:t>
      </w:r>
      <w:r>
        <w:rPr>
          <w:noProof/>
          <w:color w:val="000000"/>
          <w:szCs w:val="20"/>
        </w:rPr>
        <w:t xml:space="preserve">establishing the Union position to be taken in the committees set up by the Agreement is the Treaty on the Functioning of the European Union ('TFEU'), and in particular its Article 207(4) in conjunction with Article 218(9) thereof. </w:t>
      </w:r>
    </w:p>
    <w:p>
      <w:pPr>
        <w:pStyle w:val="Bullet0"/>
        <w:numPr>
          <w:ilvl w:val="0"/>
          <w:numId w:val="2"/>
        </w:numPr>
        <w:rPr>
          <w:b/>
          <w:noProof/>
        </w:rPr>
      </w:pPr>
      <w:r>
        <w:rPr>
          <w:b/>
          <w:noProof/>
        </w:rPr>
        <w:t xml:space="preserve">Subsidiarity (for </w:t>
      </w:r>
      <w:r>
        <w:rPr>
          <w:b/>
          <w:noProof/>
          <w:color w:val="000000"/>
          <w:szCs w:val="20"/>
        </w:rPr>
        <w:t>non</w:t>
      </w:r>
      <w:r>
        <w:rPr>
          <w:b/>
          <w:noProof/>
        </w:rPr>
        <w:t>-exclusive competence)</w:t>
      </w:r>
    </w:p>
    <w:p>
      <w:pPr>
        <w:rPr>
          <w:noProof/>
        </w:rPr>
      </w:pPr>
      <w:r>
        <w:rPr>
          <w:noProof/>
        </w:rPr>
        <w:t>The common commercial policy, in accordance with Article 3 of the TFEU, is defined as an exclusive Union competence. Therefore, the subsidiarity principle does not apply.</w:t>
      </w:r>
    </w:p>
    <w:p>
      <w:pPr>
        <w:pStyle w:val="Bullet0"/>
        <w:numPr>
          <w:ilvl w:val="0"/>
          <w:numId w:val="2"/>
        </w:numPr>
        <w:rPr>
          <w:noProof/>
        </w:rPr>
      </w:pPr>
      <w:r>
        <w:rPr>
          <w:b/>
          <w:noProof/>
          <w:color w:val="000000"/>
          <w:szCs w:val="20"/>
        </w:rPr>
        <w:t>Proportionality</w:t>
      </w:r>
    </w:p>
    <w:p>
      <w:pPr>
        <w:rPr>
          <w:noProof/>
        </w:rPr>
      </w:pPr>
      <w:r>
        <w:rPr>
          <w:noProof/>
        </w:rPr>
        <w:t xml:space="preserve">This proposal is necessary in order to implement the Union’s international commitments set out in the Agreement with the Republic of Moldova. </w:t>
      </w:r>
    </w:p>
    <w:p>
      <w:pPr>
        <w:pStyle w:val="Bullet0"/>
        <w:numPr>
          <w:ilvl w:val="0"/>
          <w:numId w:val="2"/>
        </w:numPr>
        <w:rPr>
          <w:b/>
          <w:noProof/>
        </w:rPr>
      </w:pPr>
      <w:r>
        <w:rPr>
          <w:b/>
          <w:noProof/>
        </w:rPr>
        <w:t>Choice of the instrument</w:t>
      </w:r>
    </w:p>
    <w:p>
      <w:pPr>
        <w:rPr>
          <w:noProof/>
        </w:rPr>
      </w:pPr>
      <w:r>
        <w:rPr>
          <w:noProof/>
        </w:rPr>
        <w:t xml:space="preserve">This proposal is in accordance with Article 218(9) of the TFEU, which envisages the adoption by the Council of decisions. There exists no other legal instrument that could be used in order to achieve the objective expressed in this proposal. </w:t>
      </w:r>
    </w:p>
    <w:p>
      <w:pPr>
        <w:pStyle w:val="ManualHeading1"/>
        <w:rPr>
          <w:noProof/>
        </w:rPr>
      </w:pPr>
      <w:r>
        <w:rPr>
          <w:noProof/>
        </w:rPr>
        <w:t>3.</w:t>
      </w:r>
      <w:r>
        <w:rPr>
          <w:noProof/>
        </w:rPr>
        <w:tab/>
        <w:t>RESULTS OF EX-POST EVALUATIONS, STAKEHOLDER CONSULTATIONS AND IMPACT ASSESSMENTS</w:t>
      </w:r>
    </w:p>
    <w:p>
      <w:pPr>
        <w:pStyle w:val="Bullet0"/>
        <w:numPr>
          <w:ilvl w:val="0"/>
          <w:numId w:val="2"/>
        </w:numPr>
        <w:rPr>
          <w:b/>
          <w:noProof/>
          <w:bdr w:val="none" w:sz="0" w:space="0" w:color="auto" w:frame="1"/>
          <w:lang w:val="en-US"/>
        </w:rPr>
      </w:pPr>
      <w:r>
        <w:rPr>
          <w:b/>
          <w:noProof/>
          <w:bdr w:val="none" w:sz="0" w:space="0" w:color="auto" w:frame="1"/>
          <w:lang w:val="en-US"/>
        </w:rPr>
        <w:t xml:space="preserve">Ex-post </w:t>
      </w:r>
      <w:r>
        <w:rPr>
          <w:b/>
          <w:noProof/>
        </w:rPr>
        <w:t>evaluations</w:t>
      </w:r>
      <w:r>
        <w:rPr>
          <w:b/>
          <w:noProof/>
          <w:bdr w:val="none" w:sz="0" w:space="0" w:color="auto" w:frame="1"/>
          <w:lang w:val="en-US"/>
        </w:rPr>
        <w:t>/fitness checks of existing legislation</w:t>
      </w:r>
    </w:p>
    <w:p>
      <w:pPr>
        <w:spacing w:before="0" w:after="240"/>
        <w:rPr>
          <w:rFonts w:eastAsia="Arial Unicode MS"/>
          <w:noProof/>
        </w:rPr>
      </w:pPr>
      <w:r>
        <w:rPr>
          <w:noProof/>
        </w:rPr>
        <w:t>Not applicable.</w:t>
      </w:r>
    </w:p>
    <w:p>
      <w:pPr>
        <w:pStyle w:val="Bullet0"/>
        <w:numPr>
          <w:ilvl w:val="0"/>
          <w:numId w:val="2"/>
        </w:numPr>
        <w:rPr>
          <w:rFonts w:eastAsia="Arial Unicode MS"/>
          <w:b/>
          <w:noProof/>
          <w:bdr w:val="none" w:sz="0" w:space="0" w:color="auto" w:frame="1"/>
          <w:lang w:val="en-US"/>
        </w:rPr>
      </w:pPr>
      <w:r>
        <w:rPr>
          <w:rFonts w:eastAsia="Arial Unicode MS"/>
          <w:b/>
          <w:noProof/>
          <w:bdr w:val="none" w:sz="0" w:space="0" w:color="auto" w:frame="1"/>
          <w:lang w:val="en-US"/>
        </w:rPr>
        <w:t>Stakeholder consultations</w:t>
      </w:r>
    </w:p>
    <w:p>
      <w:pPr>
        <w:keepNext/>
        <w:tabs>
          <w:tab w:val="left" w:pos="850"/>
        </w:tabs>
        <w:outlineLvl w:val="1"/>
        <w:rPr>
          <w:rFonts w:eastAsia="Calibri"/>
          <w:noProof/>
          <w:color w:val="000000"/>
          <w:szCs w:val="20"/>
        </w:rPr>
      </w:pPr>
      <w:r>
        <w:rPr>
          <w:noProof/>
          <w:color w:val="000000"/>
          <w:szCs w:val="20"/>
        </w:rPr>
        <w:t xml:space="preserve">The Republic of Moldova prepared the list of Union </w:t>
      </w:r>
      <w:r>
        <w:rPr>
          <w:i/>
          <w:noProof/>
          <w:color w:val="000000"/>
          <w:szCs w:val="20"/>
        </w:rPr>
        <w:t>acquis</w:t>
      </w:r>
      <w:r>
        <w:rPr>
          <w:noProof/>
          <w:color w:val="000000"/>
          <w:szCs w:val="20"/>
        </w:rPr>
        <w:t xml:space="preserve"> to which it intends to approximate its domestic legislation, in line with appropriate domestic procedures. EU stakeholder consultations are not applicable to this proposal.</w:t>
      </w:r>
    </w:p>
    <w:p>
      <w:pPr>
        <w:pStyle w:val="Bullet0"/>
        <w:numPr>
          <w:ilvl w:val="0"/>
          <w:numId w:val="2"/>
        </w:numPr>
        <w:rPr>
          <w:rFonts w:eastAsia="Arial Unicode MS"/>
          <w:b/>
          <w:noProof/>
          <w:bdr w:val="none" w:sz="0" w:space="0" w:color="auto" w:frame="1"/>
          <w:lang w:val="en-US"/>
        </w:rPr>
      </w:pPr>
      <w:r>
        <w:rPr>
          <w:rFonts w:eastAsia="Arial Unicode MS"/>
          <w:b/>
          <w:noProof/>
          <w:bdr w:val="none" w:sz="0" w:space="0" w:color="auto" w:frame="1"/>
          <w:lang w:val="en-US"/>
        </w:rPr>
        <w:t>Collection and use of expertise</w:t>
      </w:r>
    </w:p>
    <w:p>
      <w:pPr>
        <w:spacing w:before="0" w:after="240"/>
        <w:rPr>
          <w:rFonts w:eastAsia="Arial Unicode MS"/>
          <w:noProof/>
        </w:rPr>
      </w:pPr>
      <w:r>
        <w:rPr>
          <w:noProof/>
        </w:rPr>
        <w:t xml:space="preserve">The Union made its expertise in sanitary, phytosanitary and animal welfare matters available to the authorities of the Republic of Moldova for the purpose of preparing the list of Union </w:t>
      </w:r>
      <w:r>
        <w:rPr>
          <w:i/>
          <w:noProof/>
        </w:rPr>
        <w:t>acquis</w:t>
      </w:r>
      <w:r>
        <w:rPr>
          <w:noProof/>
        </w:rPr>
        <w:t xml:space="preserve"> intended for approximation by that partner country. </w:t>
      </w:r>
    </w:p>
    <w:p>
      <w:pPr>
        <w:pStyle w:val="Bullet0"/>
        <w:numPr>
          <w:ilvl w:val="0"/>
          <w:numId w:val="2"/>
        </w:numPr>
        <w:rPr>
          <w:rFonts w:eastAsia="Arial Unicode MS"/>
          <w:b/>
          <w:noProof/>
          <w:bdr w:val="none" w:sz="0" w:space="0" w:color="auto" w:frame="1"/>
          <w:lang w:val="en-US"/>
        </w:rPr>
      </w:pPr>
      <w:r>
        <w:rPr>
          <w:rFonts w:eastAsia="Arial Unicode MS"/>
          <w:b/>
          <w:noProof/>
          <w:bdr w:val="none" w:sz="0" w:space="0" w:color="auto" w:frame="1"/>
          <w:lang w:val="en-US"/>
        </w:rPr>
        <w:t>Impact assessment</w:t>
      </w:r>
    </w:p>
    <w:p>
      <w:pPr>
        <w:spacing w:before="0" w:after="240"/>
        <w:rPr>
          <w:rFonts w:eastAsia="Calibri"/>
          <w:noProof/>
        </w:rPr>
      </w:pPr>
      <w:r>
        <w:rPr>
          <w:noProof/>
        </w:rPr>
        <w:t xml:space="preserve">The trade and trade-related provisions of the Agreement have been subject to an ex-ante impact assessment in 2009, followed by the Commission DG Trade's Trade Sustainability Impact Assessment of 2012, which fed into the DCFTA negotiation process. That study confirmed that implementation of trade and trade-related provisions would have no negative impact on the Union, its </w:t>
      </w:r>
      <w:r>
        <w:rPr>
          <w:i/>
          <w:noProof/>
        </w:rPr>
        <w:t>acquis</w:t>
      </w:r>
      <w:r>
        <w:rPr>
          <w:noProof/>
        </w:rPr>
        <w:t xml:space="preserve"> or its policies, while projecting a positive impact on the economic development of the Republic of Moldova. This proposal does not have any impact on the economic, social or environmental policy of the Union. </w:t>
      </w:r>
    </w:p>
    <w:p>
      <w:pPr>
        <w:pStyle w:val="Bullet0"/>
        <w:numPr>
          <w:ilvl w:val="0"/>
          <w:numId w:val="2"/>
        </w:numPr>
        <w:rPr>
          <w:rFonts w:eastAsia="Arial Unicode MS"/>
          <w:b/>
          <w:noProof/>
          <w:bdr w:val="none" w:sz="0" w:space="0" w:color="auto" w:frame="1"/>
          <w:lang w:val="en-US"/>
        </w:rPr>
      </w:pPr>
      <w:r>
        <w:rPr>
          <w:rFonts w:eastAsia="Arial Unicode MS"/>
          <w:b/>
          <w:noProof/>
          <w:bdr w:val="none" w:sz="0" w:space="0" w:color="auto" w:frame="1"/>
          <w:lang w:val="en-US"/>
        </w:rPr>
        <w:t>Regulatory fitness and simplification</w:t>
      </w:r>
    </w:p>
    <w:p>
      <w:pPr>
        <w:spacing w:before="0" w:after="240"/>
        <w:rPr>
          <w:rFonts w:eastAsia="Calibri"/>
          <w:noProof/>
        </w:rPr>
      </w:pPr>
      <w:r>
        <w:rPr>
          <w:noProof/>
        </w:rPr>
        <w:t xml:space="preserve">The Agreement is not subject to REFIT procedures at this stage; it does not imply any costs for the Union SMEs; and it does not raise any issues from the viewpoint of the digital environment. </w:t>
      </w:r>
    </w:p>
    <w:p>
      <w:pPr>
        <w:pStyle w:val="Bullet0"/>
        <w:numPr>
          <w:ilvl w:val="0"/>
          <w:numId w:val="2"/>
        </w:numPr>
        <w:rPr>
          <w:rFonts w:eastAsia="Arial Unicode MS"/>
          <w:b/>
          <w:noProof/>
          <w:bdr w:val="none" w:sz="0" w:space="0" w:color="auto" w:frame="1"/>
          <w:lang w:val="en-US"/>
        </w:rPr>
      </w:pPr>
      <w:r>
        <w:rPr>
          <w:rFonts w:eastAsia="Arial Unicode MS"/>
          <w:b/>
          <w:noProof/>
          <w:bdr w:val="none" w:sz="0" w:space="0" w:color="auto" w:frame="1"/>
          <w:lang w:val="en-US"/>
        </w:rPr>
        <w:t>Fundamental rights</w:t>
      </w:r>
    </w:p>
    <w:p>
      <w:pPr>
        <w:keepNext/>
        <w:tabs>
          <w:tab w:val="left" w:pos="850"/>
        </w:tabs>
        <w:outlineLvl w:val="1"/>
        <w:rPr>
          <w:rFonts w:eastAsia="Arial Unicode MS"/>
          <w:noProof/>
          <w:bdr w:val="none" w:sz="0" w:space="0" w:color="auto" w:frame="1"/>
          <w:lang w:val="en-US"/>
        </w:rPr>
      </w:pPr>
      <w:r>
        <w:rPr>
          <w:rFonts w:eastAsia="Arial Unicode MS"/>
          <w:noProof/>
          <w:bdr w:val="none" w:sz="0" w:space="0" w:color="auto" w:frame="1"/>
          <w:lang w:val="en-US"/>
        </w:rPr>
        <w:t xml:space="preserve">The proposal does not have consequences for the protection of fundamental rights in the Union. </w:t>
      </w:r>
    </w:p>
    <w:p>
      <w:pPr>
        <w:pStyle w:val="ManualHeading1"/>
        <w:rPr>
          <w:rFonts w:eastAsia="Calibri"/>
          <w:noProof/>
        </w:rPr>
      </w:pPr>
      <w:r>
        <w:rPr>
          <w:noProof/>
        </w:rPr>
        <w:t>4.</w:t>
      </w:r>
      <w:r>
        <w:rPr>
          <w:noProof/>
        </w:rPr>
        <w:tab/>
        <w:t>BUDGETARY IMPLICATIONS</w:t>
      </w:r>
    </w:p>
    <w:p>
      <w:pPr>
        <w:spacing w:before="0" w:after="240"/>
        <w:rPr>
          <w:rFonts w:eastAsia="Arial Unicode MS"/>
          <w:noProof/>
        </w:rPr>
      </w:pPr>
      <w:r>
        <w:rPr>
          <w:noProof/>
        </w:rPr>
        <w:t>Not applicable.</w:t>
      </w:r>
    </w:p>
    <w:p>
      <w:pPr>
        <w:pStyle w:val="ManualHeading1"/>
        <w:rPr>
          <w:rFonts w:eastAsia="Calibri"/>
          <w:noProof/>
        </w:rPr>
      </w:pPr>
      <w:r>
        <w:rPr>
          <w:noProof/>
        </w:rPr>
        <w:t>5.</w:t>
      </w:r>
      <w:r>
        <w:rPr>
          <w:noProof/>
        </w:rPr>
        <w:tab/>
        <w:t>OTHER ELEMENTS</w:t>
      </w:r>
    </w:p>
    <w:p>
      <w:pPr>
        <w:pStyle w:val="Bullet0"/>
        <w:numPr>
          <w:ilvl w:val="0"/>
          <w:numId w:val="2"/>
        </w:numPr>
        <w:rPr>
          <w:rFonts w:eastAsia="Arial Unicode MS"/>
          <w:b/>
          <w:noProof/>
          <w:bdr w:val="none" w:sz="0" w:space="0" w:color="auto" w:frame="1"/>
          <w:lang w:val="en-US"/>
        </w:rPr>
      </w:pPr>
      <w:r>
        <w:rPr>
          <w:rFonts w:eastAsia="Arial Unicode MS"/>
          <w:b/>
          <w:noProof/>
          <w:bdr w:val="none" w:sz="0" w:space="0" w:color="auto" w:frame="1"/>
          <w:lang w:val="en-US"/>
        </w:rPr>
        <w:t>Implementation plans and monitoring, evaluation and reporting arrangements</w:t>
      </w:r>
    </w:p>
    <w:p>
      <w:pPr>
        <w:spacing w:before="0" w:after="240"/>
        <w:rPr>
          <w:rFonts w:eastAsia="Arial Unicode MS"/>
          <w:noProof/>
        </w:rPr>
      </w:pPr>
      <w:r>
        <w:rPr>
          <w:noProof/>
        </w:rPr>
        <w:t>The implementation of the Agreement is reviewed regularly by the EU-Republic of Moldova Association Council and its sub-ordinate bodies established by that Agreement. The European Commission also committed to report annually on the implementation of Title V (Trade and trade-related matters) of the Agreement, including on the elements included in this proposal, to the European Parliament and the Council.</w:t>
      </w:r>
    </w:p>
    <w:p>
      <w:pPr>
        <w:pStyle w:val="Bullet0"/>
        <w:numPr>
          <w:ilvl w:val="0"/>
          <w:numId w:val="2"/>
        </w:numPr>
        <w:rPr>
          <w:rFonts w:eastAsia="Arial Unicode MS"/>
          <w:b/>
          <w:noProof/>
          <w:bdr w:val="none" w:sz="0" w:space="0" w:color="auto" w:frame="1"/>
          <w:lang w:val="en-US"/>
        </w:rPr>
      </w:pPr>
      <w:r>
        <w:rPr>
          <w:rFonts w:eastAsia="Arial Unicode MS"/>
          <w:b/>
          <w:noProof/>
          <w:bdr w:val="none" w:sz="0" w:space="0" w:color="auto" w:frame="1"/>
          <w:lang w:val="en-US"/>
        </w:rPr>
        <w:t>Explanatory documents (for directives)</w:t>
      </w:r>
    </w:p>
    <w:p>
      <w:pPr>
        <w:spacing w:before="0" w:after="240"/>
        <w:rPr>
          <w:rFonts w:eastAsia="Calibri"/>
          <w:noProof/>
        </w:rPr>
      </w:pPr>
      <w:r>
        <w:rPr>
          <w:noProof/>
        </w:rPr>
        <w:t>Not applicable.</w:t>
      </w:r>
    </w:p>
    <w:p>
      <w:pPr>
        <w:pStyle w:val="Bullet0"/>
        <w:numPr>
          <w:ilvl w:val="0"/>
          <w:numId w:val="2"/>
        </w:numPr>
        <w:rPr>
          <w:rFonts w:eastAsia="Arial Unicode MS"/>
          <w:b/>
          <w:noProof/>
          <w:bdr w:val="none" w:sz="0" w:space="0" w:color="auto" w:frame="1"/>
          <w:lang w:val="en-US"/>
        </w:rPr>
      </w:pPr>
      <w:r>
        <w:rPr>
          <w:rFonts w:eastAsia="Arial Unicode MS"/>
          <w:b/>
          <w:noProof/>
          <w:bdr w:val="none" w:sz="0" w:space="0" w:color="auto" w:frame="1"/>
          <w:lang w:val="en-US"/>
        </w:rPr>
        <w:t>Detailed explanation of the specific provisions of the proposal</w:t>
      </w:r>
    </w:p>
    <w:p>
      <w:pPr>
        <w:spacing w:before="0" w:after="240"/>
        <w:rPr>
          <w:rFonts w:eastAsia="Calibri"/>
          <w:noProof/>
          <w:color w:val="000000"/>
          <w:szCs w:val="20"/>
        </w:rPr>
      </w:pPr>
      <w:r>
        <w:rPr>
          <w:noProof/>
          <w:color w:val="000000"/>
          <w:szCs w:val="20"/>
        </w:rPr>
        <w:t xml:space="preserve">The proposal aims to adopt a Union position in relation to the amendment of Annex XXIV-B to the Agreement. In accordance with Article 181(4) of the Agreement, that Annex is to list the Union </w:t>
      </w:r>
      <w:r>
        <w:rPr>
          <w:i/>
          <w:noProof/>
          <w:color w:val="000000"/>
          <w:szCs w:val="20"/>
        </w:rPr>
        <w:t>acquis</w:t>
      </w:r>
      <w:r>
        <w:rPr>
          <w:noProof/>
          <w:color w:val="000000"/>
          <w:szCs w:val="20"/>
        </w:rPr>
        <w:t xml:space="preserve"> to which the Republic of Moldova intends to approximate its legislation in the area of sanitary, phytosanitary and animal welfare measures, for the purpose of achieving a status of equivalence for a product or a group of products, as provided for in Article 183 of the Agreement. </w:t>
      </w:r>
    </w:p>
    <w:p>
      <w:pPr>
        <w:spacing w:before="0" w:after="240"/>
        <w:rPr>
          <w:noProof/>
          <w:color w:val="000000"/>
          <w:szCs w:val="20"/>
        </w:rPr>
      </w:pPr>
      <w:r>
        <w:rPr>
          <w:noProof/>
          <w:color w:val="000000"/>
          <w:szCs w:val="20"/>
        </w:rPr>
        <w:t xml:space="preserve">The Republic of Moldova prepared such a list of Union </w:t>
      </w:r>
      <w:r>
        <w:rPr>
          <w:i/>
          <w:noProof/>
          <w:color w:val="000000"/>
          <w:szCs w:val="20"/>
        </w:rPr>
        <w:t>acquis</w:t>
      </w:r>
      <w:r>
        <w:rPr>
          <w:noProof/>
          <w:color w:val="000000"/>
          <w:szCs w:val="20"/>
        </w:rPr>
        <w:t xml:space="preserve"> in accordance with its domestic procedures, submitted the proposal in November 2014 and finalised it, in consultation with the European Commission, in July 2015. </w:t>
      </w:r>
    </w:p>
    <w:p>
      <w:pPr>
        <w:rPr>
          <w:noProof/>
          <w:color w:val="000000"/>
          <w:szCs w:val="20"/>
        </w:rPr>
      </w:pPr>
      <w:r>
        <w:rPr>
          <w:noProof/>
          <w:color w:val="000000"/>
          <w:szCs w:val="20"/>
        </w:rPr>
        <w:t>The EU-Republic of Moldova Sanitary and Phytosanitary Sub-Committee is empowered to take a decision on modification of Annex XXIV-B in accordance with Article 191 of the Agreement. In line with the provisions of that Article, the Sub-Committee monitors the implementation of Chapter 4 (Sanitary and Phytosanitary Measures) of Title V (Trade and trade-related matters) of the Agreement and takes decisions, as appropriate, on the modification of Annexes XVII-XXV to the Agreement.</w:t>
      </w:r>
    </w:p>
    <w:p>
      <w:pPr>
        <w:rPr>
          <w:noProof/>
        </w:rPr>
        <w:sectPr>
          <w:footerReference w:type="default" r:id="rId10"/>
          <w:footerReference w:type="first" r:id="rId11"/>
          <w:pgSz w:w="11907" w:h="16839"/>
          <w:pgMar w:top="1134" w:right="1417" w:bottom="1134" w:left="1417" w:header="709" w:footer="709" w:gutter="0"/>
          <w:cols w:space="708"/>
          <w:docGrid w:linePitch="360"/>
        </w:sectPr>
      </w:pPr>
    </w:p>
    <w:p>
      <w:pPr>
        <w:pStyle w:val="Rfrenceinterinstitutionnelle"/>
        <w:rPr>
          <w:noProof/>
        </w:rPr>
      </w:pPr>
      <w:r>
        <w:rPr>
          <w:noProof/>
        </w:rPr>
        <w:t>2016/0114 (NLE)</w:t>
      </w:r>
    </w:p>
    <w:p>
      <w:pPr>
        <w:pStyle w:val="Statut"/>
        <w:rPr>
          <w:noProof/>
        </w:rPr>
      </w:pPr>
      <w:r>
        <w:rPr>
          <w:noProof/>
        </w:rPr>
        <w:t>Proposal for a</w:t>
      </w:r>
    </w:p>
    <w:p>
      <w:pPr>
        <w:pStyle w:val="Typedudocument"/>
        <w:rPr>
          <w:noProof/>
        </w:rPr>
      </w:pPr>
      <w:r>
        <w:rPr>
          <w:noProof/>
        </w:rPr>
        <w:t>COUNCIL DECISION</w:t>
      </w:r>
    </w:p>
    <w:p>
      <w:pPr>
        <w:pStyle w:val="Titreobjet"/>
        <w:rPr>
          <w:noProof/>
        </w:rPr>
      </w:pPr>
      <w:r>
        <w:rPr>
          <w:noProof/>
        </w:rPr>
        <w:t xml:space="preserve">on the position to be adopted, on behalf of the European Union, in the Sanitary and Phytosanitary Sub-Committee established by the Association Agreement between the European Union and the European Atomic Energy Community and their Member States, of the one part, and the Republic of Moldova, of the other </w:t>
      </w:r>
    </w:p>
    <w:p>
      <w:pPr>
        <w:pStyle w:val="Institutionquiagit"/>
        <w:rPr>
          <w:noProof/>
        </w:rPr>
      </w:pPr>
      <w:r>
        <w:rPr>
          <w:noProof/>
        </w:rPr>
        <w:t xml:space="preserve">THE COUNCIL OF THE EUROPEAN </w:t>
      </w:r>
      <w:smartTag w:uri="urn:schemas-microsoft-com:office:smarttags" w:element="place">
        <w:r>
          <w:rPr>
            <w:noProof/>
          </w:rPr>
          <w:t>UNION</w:t>
        </w:r>
      </w:smartTag>
      <w:r>
        <w:rPr>
          <w:noProof/>
        </w:rPr>
        <w:t>,</w:t>
      </w:r>
    </w:p>
    <w:p>
      <w:pPr>
        <w:rPr>
          <w:noProof/>
        </w:rPr>
      </w:pPr>
      <w:r>
        <w:rPr>
          <w:noProof/>
        </w:rPr>
        <w:t>Having regard to the Treaty on the Functioning of the European Union, and in particular the first paragraph of Article 207(4) in conjunction with Article 218(9) thereof,</w:t>
      </w:r>
    </w:p>
    <w:p>
      <w:pPr>
        <w:rPr>
          <w:noProof/>
        </w:rPr>
      </w:pPr>
      <w:r>
        <w:rPr>
          <w:noProof/>
        </w:rPr>
        <w:t>Having regard to the proposal from the European Commission,</w:t>
      </w:r>
    </w:p>
    <w:p>
      <w:pPr>
        <w:rPr>
          <w:noProof/>
        </w:rPr>
      </w:pPr>
      <w:r>
        <w:rPr>
          <w:noProof/>
        </w:rPr>
        <w:t>Whereas:</w:t>
      </w:r>
    </w:p>
    <w:p>
      <w:pPr>
        <w:pStyle w:val="ManualConsidrant"/>
        <w:rPr>
          <w:noProof/>
        </w:rPr>
      </w:pPr>
      <w:r>
        <w:t>(1)</w:t>
      </w:r>
      <w:r>
        <w:tab/>
      </w:r>
      <w:r>
        <w:rPr>
          <w:noProof/>
        </w:rPr>
        <w:t>Article 464(3) and (4) of the Association Agreement between the European Union and the European Atomic Energy Community, and their Member States of the one part, and the Republic of Moldova, of the other part, ('the Agreement') provide for the provisional application of the Agreement in part, as specified by the Union.</w:t>
      </w:r>
    </w:p>
    <w:p>
      <w:pPr>
        <w:pStyle w:val="ManualConsidrant"/>
        <w:rPr>
          <w:noProof/>
        </w:rPr>
      </w:pPr>
      <w:r>
        <w:t>(1)</w:t>
      </w:r>
      <w:r>
        <w:tab/>
      </w:r>
      <w:r>
        <w:rPr>
          <w:noProof/>
        </w:rPr>
        <w:t>Article 3 of Council Decision 2014/492/EU</w:t>
      </w:r>
      <w:r>
        <w:rPr>
          <w:rStyle w:val="FootnoteReference"/>
          <w:noProof/>
        </w:rPr>
        <w:footnoteReference w:id="1"/>
      </w:r>
      <w:r>
        <w:rPr>
          <w:noProof/>
        </w:rPr>
        <w:t xml:space="preserve"> specifies the provisions of the Agreement to be applied provisionally, including the provisions on the sanitary, phytosanitary and animal welfare measures, the establishment and functioning of the Sanitary and Phytosanitary Sub-Committee and the related Annexes XVII to XXV to the Agreement. In accordance with Article 464(4) of the Agreement, the provisional application of those provisions is effective from 1 September 2014.</w:t>
      </w:r>
    </w:p>
    <w:p>
      <w:pPr>
        <w:pStyle w:val="ManualConsidrant"/>
        <w:rPr>
          <w:noProof/>
        </w:rPr>
      </w:pPr>
      <w:r>
        <w:t>(2)</w:t>
      </w:r>
      <w:r>
        <w:tab/>
      </w:r>
      <w:r>
        <w:rPr>
          <w:noProof/>
        </w:rPr>
        <w:t xml:space="preserve">Article 181 of the Agreement provides that the Republic of Moldova is to gradually approximate its sanitary and phytosanitary and animal welfare law to that of the Union as set out in Annex XXIV to that Agreement. </w:t>
      </w:r>
    </w:p>
    <w:p>
      <w:pPr>
        <w:pStyle w:val="ManualConsidrant"/>
        <w:rPr>
          <w:noProof/>
        </w:rPr>
      </w:pPr>
      <w:r>
        <w:t>(3)</w:t>
      </w:r>
      <w:r>
        <w:tab/>
      </w:r>
      <w:r>
        <w:rPr>
          <w:noProof/>
        </w:rPr>
        <w:t xml:space="preserve">Article 181(4) of the Agreement commits the Republic of Moldova to submit a list of the Union </w:t>
      </w:r>
      <w:r>
        <w:rPr>
          <w:i/>
          <w:noProof/>
        </w:rPr>
        <w:t>acquis</w:t>
      </w:r>
      <w:r>
        <w:rPr>
          <w:noProof/>
        </w:rPr>
        <w:t xml:space="preserve"> regarding sanitary, phytosanitary and animal welfare to which it intends to approximate its domestic legislation, no later than three months after the entry into force of the Agreement. That approximation list is to serve as a reference document for the implementation of Chapter 4 (Sanitary and Phytosanitary Measures) of Title V (Trade and trade-related matters) of the Agreement, and is to be added to Annex XXIV to the Agreement. Accordingly, Annex XXIV-B to the Agreement is to be modified by a decision of the Sanitary and Phytosanitary Sub-Committee, as set out in Article 191 of the Agreement.</w:t>
      </w:r>
    </w:p>
    <w:p>
      <w:pPr>
        <w:pStyle w:val="ManualConsidrant"/>
        <w:rPr>
          <w:noProof/>
        </w:rPr>
      </w:pPr>
      <w:r>
        <w:t>(4)</w:t>
      </w:r>
      <w:r>
        <w:tab/>
      </w:r>
      <w:r>
        <w:rPr>
          <w:noProof/>
        </w:rPr>
        <w:t xml:space="preserve">The Republic of Moldova submitted the above-mentioned list of the Union </w:t>
      </w:r>
      <w:r>
        <w:rPr>
          <w:i/>
          <w:noProof/>
        </w:rPr>
        <w:t>acquis</w:t>
      </w:r>
      <w:r>
        <w:rPr>
          <w:noProof/>
        </w:rPr>
        <w:t xml:space="preserve"> and finalised it, in consultation with the European Commission, in July 2015. </w:t>
      </w:r>
    </w:p>
    <w:p>
      <w:pPr>
        <w:pStyle w:val="ManualConsidrant"/>
        <w:rPr>
          <w:noProof/>
        </w:rPr>
      </w:pPr>
      <w:r>
        <w:t>(5)</w:t>
      </w:r>
      <w:r>
        <w:tab/>
      </w:r>
      <w:r>
        <w:rPr>
          <w:noProof/>
        </w:rPr>
        <w:t>It is therefore appropriate to establish the position to be taken on behalf of the Union within the Sanitary and Phytosanitary Sub-Committee in relation to the modification of Annex XXIV-B to the Agreement,</w:t>
      </w:r>
    </w:p>
    <w:p>
      <w:pPr>
        <w:pStyle w:val="Formuledadoption"/>
        <w:rPr>
          <w:noProof/>
        </w:rPr>
      </w:pPr>
      <w:r>
        <w:rPr>
          <w:noProof/>
        </w:rPr>
        <w:t xml:space="preserve">HAS ADOPTED THIS DECISION: </w:t>
      </w:r>
    </w:p>
    <w:p>
      <w:pPr>
        <w:pStyle w:val="Titrearticle"/>
        <w:rPr>
          <w:noProof/>
        </w:rPr>
      </w:pPr>
      <w:r>
        <w:rPr>
          <w:noProof/>
        </w:rPr>
        <w:t>Article 1</w:t>
      </w:r>
    </w:p>
    <w:p>
      <w:pPr>
        <w:rPr>
          <w:noProof/>
        </w:rPr>
      </w:pPr>
      <w:r>
        <w:rPr>
          <w:noProof/>
        </w:rPr>
        <w:t>The position to be taken by the European Union in the Sanitary and Phytosanitary Sub-Committee established by Article 191 of the Association Agreement between the European Union and the European Atomic Energy Community and their Member States, of the one part, and the Republic of Moldova, of the other part ('the Agreement'), in relation to the modification of Annex XXIV-B of the Association Agreement shall be based on the draft Decision of that Sanitary and Phytosanitary Sub-Committee, attached to this Decision.</w:t>
      </w:r>
    </w:p>
    <w:p>
      <w:pPr>
        <w:rPr>
          <w:noProof/>
        </w:rPr>
      </w:pPr>
      <w:r>
        <w:rPr>
          <w:noProof/>
        </w:rPr>
        <w:t>Minor changes to the draft Decision may be agreed to by the representatives of the Union within the Sanitary and Phytosanitary Sub-Committee without further decision of the Council.</w:t>
      </w:r>
    </w:p>
    <w:p>
      <w:pPr>
        <w:pStyle w:val="Titrearticle"/>
        <w:keepNext w:val="0"/>
        <w:rPr>
          <w:noProof/>
        </w:rPr>
      </w:pPr>
      <w:r>
        <w:rPr>
          <w:noProof/>
        </w:rPr>
        <w:t>Article 2</w:t>
      </w:r>
    </w:p>
    <w:p>
      <w:pPr>
        <w:keepLines/>
        <w:rPr>
          <w:noProof/>
        </w:rPr>
      </w:pPr>
      <w:r>
        <w:rPr>
          <w:noProof/>
        </w:rPr>
        <w:t xml:space="preserve">After its adoption, the Decision of the Sanitary and Phytosanitary Sub-Committee shall be published in the </w:t>
      </w:r>
      <w:r>
        <w:rPr>
          <w:i/>
          <w:noProof/>
        </w:rPr>
        <w:t>Official Journal of the European Union</w:t>
      </w:r>
      <w:r>
        <w:rPr>
          <w:noProof/>
        </w:rPr>
        <w:t xml:space="preserve">. </w:t>
      </w:r>
    </w:p>
    <w:p>
      <w:pPr>
        <w:keepLines/>
        <w:jc w:val="center"/>
        <w:rPr>
          <w:i/>
          <w:noProof/>
        </w:rPr>
      </w:pPr>
      <w:r>
        <w:rPr>
          <w:i/>
          <w:noProof/>
        </w:rPr>
        <w:t>Article 3</w:t>
      </w:r>
    </w:p>
    <w:p>
      <w:pPr>
        <w:keepLines/>
        <w:rPr>
          <w:noProof/>
        </w:rPr>
      </w:pPr>
      <w:r>
        <w:rPr>
          <w:noProof/>
        </w:rPr>
        <w:t>This Decision shall enter into force on the day of its adoption.</w:t>
      </w:r>
    </w:p>
    <w:p>
      <w:pPr>
        <w:pStyle w:val="Fait"/>
        <w:rPr>
          <w:noProof/>
        </w:rPr>
      </w:pPr>
      <w:r>
        <w:rPr>
          <w:noProof/>
        </w:rPr>
        <w:t>Done at Brussels,</w:t>
      </w:r>
    </w:p>
    <w:p>
      <w:pPr>
        <w:pStyle w:val="Institutionquisigne"/>
        <w:rPr>
          <w:noProof/>
        </w:rPr>
      </w:pPr>
      <w:r>
        <w:rPr>
          <w:noProof/>
        </w:rPr>
        <w:tab/>
        <w:t>For the Council</w:t>
      </w:r>
    </w:p>
    <w:p>
      <w:pPr>
        <w:pStyle w:val="Personnequisigne"/>
        <w:rPr>
          <w:noProof/>
          <w:szCs w:val="24"/>
        </w:rPr>
      </w:pPr>
      <w:r>
        <w:rPr>
          <w:noProof/>
        </w:rPr>
        <w:tab/>
        <w:t>The President</w:t>
      </w:r>
      <w:r>
        <w:rPr>
          <w:noProof/>
          <w:szCs w:val="24"/>
        </w:rPr>
        <w:t xml:space="preserve"> </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 xml:space="preserve">Council Decision 2014/492/EU of 16 June 2014 on the signing, on behalf of the European Union, and provisional application of the Association Agreement between the European Union and the European Atomic Energy Community and their Member States, of the one part, and the Republic of Moldova, of the other part (OJ L 260, 30.8.2014, p. 1).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1404546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F9DE49D6"/>
    <w:lvl w:ilvl="0">
      <w:start w:val="1"/>
      <w:numFmt w:val="decimal"/>
      <w:pStyle w:val="ListNumber3"/>
      <w:lvlText w:val="%1."/>
      <w:lvlJc w:val="left"/>
      <w:pPr>
        <w:tabs>
          <w:tab w:val="num" w:pos="926"/>
        </w:tabs>
        <w:ind w:left="926" w:hanging="360"/>
      </w:pPr>
    </w:lvl>
  </w:abstractNum>
  <w:abstractNum w:abstractNumId="2">
    <w:nsid w:val="FFFFFF7F"/>
    <w:multiLevelType w:val="singleLevel"/>
    <w:tmpl w:val="3CE0A786"/>
    <w:lvl w:ilvl="0">
      <w:start w:val="1"/>
      <w:numFmt w:val="decimal"/>
      <w:pStyle w:val="ListNumber2"/>
      <w:lvlText w:val="%1."/>
      <w:lvlJc w:val="left"/>
      <w:pPr>
        <w:tabs>
          <w:tab w:val="num" w:pos="643"/>
        </w:tabs>
        <w:ind w:left="643" w:hanging="360"/>
      </w:pPr>
    </w:lvl>
  </w:abstractNum>
  <w:abstractNum w:abstractNumId="3">
    <w:nsid w:val="FFFFFF81"/>
    <w:multiLevelType w:val="singleLevel"/>
    <w:tmpl w:val="63CE61E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20C8081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6D20F1C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35C64642"/>
    <w:lvl w:ilvl="0">
      <w:start w:val="1"/>
      <w:numFmt w:val="decimal"/>
      <w:pStyle w:val="ListNumber"/>
      <w:lvlText w:val="%1."/>
      <w:lvlJc w:val="left"/>
      <w:pPr>
        <w:tabs>
          <w:tab w:val="num" w:pos="360"/>
        </w:tabs>
        <w:ind w:left="360" w:hanging="360"/>
      </w:pPr>
    </w:lvl>
  </w:abstractNum>
  <w:abstractNum w:abstractNumId="7">
    <w:nsid w:val="FFFFFF89"/>
    <w:multiLevelType w:val="singleLevel"/>
    <w:tmpl w:val="301AA0C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4"/>
    <w:lvlOverride w:ilvl="0">
      <w:startOverride w:val="1"/>
    </w:lvlOverride>
  </w:num>
  <w:num w:numId="2">
    <w:abstractNumId w:val="14"/>
  </w:num>
  <w:num w:numId="3">
    <w:abstractNumId w:val="21"/>
    <w:lvlOverride w:ilvl="0">
      <w:startOverride w:val="1"/>
    </w:lvlOverride>
  </w:num>
  <w:num w:numId="4">
    <w:abstractNumId w:val="21"/>
    <w:lvlOverride w:ilvl="0">
      <w:startOverride w:val="1"/>
    </w:lvlOverride>
  </w:num>
  <w:num w:numId="5">
    <w:abstractNumId w:val="7"/>
  </w:num>
  <w:num w:numId="6">
    <w:abstractNumId w:val="5"/>
  </w:num>
  <w:num w:numId="7">
    <w:abstractNumId w:val="4"/>
  </w:num>
  <w:num w:numId="8">
    <w:abstractNumId w:val="3"/>
  </w:num>
  <w:num w:numId="9">
    <w:abstractNumId w:val="6"/>
  </w:num>
  <w:num w:numId="10">
    <w:abstractNumId w:val="2"/>
  </w:num>
  <w:num w:numId="11">
    <w:abstractNumId w:val="1"/>
  </w:num>
  <w:num w:numId="12">
    <w:abstractNumId w:val="0"/>
  </w:num>
  <w:num w:numId="13">
    <w:abstractNumId w:val="18"/>
  </w:num>
  <w:num w:numId="14">
    <w:abstractNumId w:val="12"/>
  </w:num>
  <w:num w:numId="15">
    <w:abstractNumId w:val="20"/>
  </w:num>
  <w:num w:numId="16">
    <w:abstractNumId w:val="11"/>
  </w:num>
  <w:num w:numId="17">
    <w:abstractNumId w:val="13"/>
  </w:num>
  <w:num w:numId="18">
    <w:abstractNumId w:val="9"/>
  </w:num>
  <w:num w:numId="19">
    <w:abstractNumId w:val="19"/>
  </w:num>
  <w:num w:numId="20">
    <w:abstractNumId w:val="8"/>
  </w:num>
  <w:num w:numId="21">
    <w:abstractNumId w:val="14"/>
  </w:num>
  <w:num w:numId="22">
    <w:abstractNumId w:val="16"/>
  </w:num>
  <w:num w:numId="23">
    <w:abstractNumId w:val="17"/>
  </w:num>
  <w:num w:numId="24">
    <w:abstractNumId w:val="10"/>
  </w:num>
  <w:num w:numId="25">
    <w:abstractNumId w:val="15"/>
  </w:num>
  <w:num w:numId="26">
    <w:abstractNumId w:val="2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0"/>
  <w:displayBackgroundShape/>
  <w:hideSpellingErrors/>
  <w:hideGrammaticalErrors/>
  <w:attachedTemplate r:id="rId1"/>
  <w:revisionView w:markup="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02-23 17:15:19"/>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Yellow"/>
    <w:docVar w:name="DQCVersion" w:val="3"/>
    <w:docVar w:name="DQCWithWarnings" w:val="1"/>
    <w:docVar w:name="LW_CONFIDENCE" w:val=" "/>
    <w:docVar w:name="LW_CONST_RESTREINT_UE" w:val="RESTREINT UE"/>
    <w:docVar w:name="LW_CORRIGENDUM" w:val="&lt;UNUSED&gt;"/>
    <w:docVar w:name="LW_COVERPAGE_GUID" w:val="ABB89BC3E03F4B2B9E8557331E08BFF2"/>
    <w:docVar w:name="LW_CROSSREFERENCE" w:val="&lt;UNUSED&gt;"/>
    <w:docVar w:name="LW_DocType" w:val="COM"/>
    <w:docVar w:name="LW_EMISSION" w:val="18.4.2016"/>
    <w:docVar w:name="LW_EMISSION_ISODATE" w:val="2016-04-18"/>
    <w:docVar w:name="LW_EMISSION_LOCATION" w:val="BRX"/>
    <w:docVar w:name="LW_EMISSION_PREFIX" w:val="Brussels, "/>
    <w:docVar w:name="LW_EMISSION_SUFFIX" w:val=" "/>
    <w:docVar w:name="LW_ID_DOCMODEL" w:val="SJ-019"/>
    <w:docVar w:name="LW_ID_DOCSIGNATURE" w:val="SJ-019"/>
    <w:docVar w:name="LW_ID_DOCSTRUCTURE" w:val="COM/PL/ORG"/>
    <w:docVar w:name="LW_ID_DOCTYPE" w:val="SJ-019"/>
    <w:docVar w:name="LW_ID_STATUT" w:val="SJ-019"/>
    <w:docVar w:name="LW_INTERETEEE.CP" w:val="&lt;UNUSED&gt;"/>
    <w:docVar w:name="LW_LANGUE" w:val="EN"/>
    <w:docVar w:name="LW_MARKING" w:val="&lt;UNUSED&gt;"/>
    <w:docVar w:name="LW_NOM.INST" w:val="EUROPEAN COMMISSION"/>
    <w:docVar w:name="LW_NOM.INST_JOINTDOC" w:val="&lt;EMPTY&gt;"/>
    <w:docVar w:name="LW_PART_NBR" w:val="1"/>
    <w:docVar w:name="LW_PART_NBR_TOTAL" w:val="1"/>
    <w:docVar w:name="LW_REF.II.NEW.CP" w:val="NLE"/>
    <w:docVar w:name="LW_REF.II.NEW.CP_NUMBER" w:val="0114"/>
    <w:docVar w:name="LW_REF.II.NEW.CP_YEAR" w:val="2016"/>
    <w:docVar w:name="LW_REF.INST.NEW" w:val="COM"/>
    <w:docVar w:name="LW_REF.INST.NEW_ADOPTED" w:val="final"/>
    <w:docVar w:name="LW_REF.INST.NEW_TEXT" w:val="(2016) 211"/>
    <w:docVar w:name="LW_REF.INTERNE" w:val="&lt;UNUSED&gt;"/>
    <w:docVar w:name="LW_SOUS.TITRE.OBJ.CP" w:val="&lt;UNUSED&gt;"/>
    <w:docVar w:name="LW_STATUT.CP" w:val="Proposal for a"/>
    <w:docVar w:name="LW_SUPERTITRE" w:val="&lt;UNUSED&gt;"/>
    <w:docVar w:name="LW_TITRE.OBJ.CP" w:val="on the position to be adopted, on behalf of the European Union, in the Sanitary and Phytosanitary Sub-Committee established by the Association Agreement between the European Union and the European Atomic Energy Community and their Member States, of the one part, and the Republic of Moldova, of the other "/>
    <w:docVar w:name="LW_TYPE.DOC.CP" w:val="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5"/>
      </w:numPr>
      <w:contextualSpacing/>
    </w:pPr>
  </w:style>
  <w:style w:type="paragraph" w:styleId="ListBullet2">
    <w:name w:val="List Bullet 2"/>
    <w:basedOn w:val="Normal"/>
    <w:uiPriority w:val="99"/>
    <w:semiHidden/>
    <w:unhideWhenUsed/>
    <w:pPr>
      <w:numPr>
        <w:numId w:val="6"/>
      </w:numPr>
      <w:contextualSpacing/>
    </w:pPr>
  </w:style>
  <w:style w:type="paragraph" w:styleId="ListBullet3">
    <w:name w:val="List Bullet 3"/>
    <w:basedOn w:val="Normal"/>
    <w:uiPriority w:val="99"/>
    <w:semiHidden/>
    <w:unhideWhenUsed/>
    <w:pPr>
      <w:numPr>
        <w:numId w:val="7"/>
      </w:numPr>
      <w:contextualSpacing/>
    </w:pPr>
  </w:style>
  <w:style w:type="paragraph" w:styleId="ListBullet4">
    <w:name w:val="List Bullet 4"/>
    <w:basedOn w:val="Normal"/>
    <w:uiPriority w:val="99"/>
    <w:semiHidden/>
    <w:unhideWhenUsed/>
    <w:pPr>
      <w:numPr>
        <w:numId w:val="8"/>
      </w:numPr>
      <w:contextualSpacing/>
    </w:pPr>
  </w:style>
  <w:style w:type="paragraph" w:styleId="ListNumber">
    <w:name w:val="List Number"/>
    <w:basedOn w:val="Normal"/>
    <w:uiPriority w:val="99"/>
    <w:semiHidden/>
    <w:unhideWhenUsed/>
    <w:pPr>
      <w:numPr>
        <w:numId w:val="9"/>
      </w:numPr>
      <w:contextualSpacing/>
    </w:pPr>
  </w:style>
  <w:style w:type="paragraph" w:styleId="ListNumber2">
    <w:name w:val="List Number 2"/>
    <w:basedOn w:val="Normal"/>
    <w:uiPriority w:val="99"/>
    <w:semiHidden/>
    <w:unhideWhenUsed/>
    <w:pPr>
      <w:numPr>
        <w:numId w:val="10"/>
      </w:numPr>
      <w:contextualSpacing/>
    </w:pPr>
  </w:style>
  <w:style w:type="paragraph" w:styleId="ListNumber3">
    <w:name w:val="List Number 3"/>
    <w:basedOn w:val="Normal"/>
    <w:uiPriority w:val="99"/>
    <w:semiHidden/>
    <w:unhideWhenUsed/>
    <w:pPr>
      <w:numPr>
        <w:numId w:val="11"/>
      </w:numPr>
      <w:contextualSpacing/>
    </w:pPr>
  </w:style>
  <w:style w:type="paragraph" w:styleId="ListNumber4">
    <w:name w:val="List Number 4"/>
    <w:basedOn w:val="Normal"/>
    <w:uiPriority w:val="99"/>
    <w:semiHidden/>
    <w:unhideWhenUsed/>
    <w:pPr>
      <w:numPr>
        <w:numId w:val="12"/>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3"/>
      </w:numPr>
    </w:pPr>
  </w:style>
  <w:style w:type="paragraph" w:customStyle="1" w:styleId="Tiret1">
    <w:name w:val="Tiret 1"/>
    <w:basedOn w:val="Point1"/>
    <w:pPr>
      <w:numPr>
        <w:numId w:val="14"/>
      </w:numPr>
    </w:pPr>
  </w:style>
  <w:style w:type="paragraph" w:customStyle="1" w:styleId="Tiret2">
    <w:name w:val="Tiret 2"/>
    <w:basedOn w:val="Point2"/>
    <w:pPr>
      <w:numPr>
        <w:numId w:val="15"/>
      </w:numPr>
    </w:pPr>
  </w:style>
  <w:style w:type="paragraph" w:customStyle="1" w:styleId="Tiret3">
    <w:name w:val="Tiret 3"/>
    <w:basedOn w:val="Point3"/>
    <w:pPr>
      <w:numPr>
        <w:numId w:val="16"/>
      </w:numPr>
    </w:pPr>
  </w:style>
  <w:style w:type="paragraph" w:customStyle="1" w:styleId="Tiret4">
    <w:name w:val="Tiret 4"/>
    <w:basedOn w:val="Point4"/>
    <w:pPr>
      <w:numPr>
        <w:numId w:val="1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8"/>
      </w:numPr>
    </w:pPr>
  </w:style>
  <w:style w:type="paragraph" w:customStyle="1" w:styleId="NumPar2">
    <w:name w:val="NumPar 2"/>
    <w:basedOn w:val="Normal"/>
    <w:next w:val="Text1"/>
    <w:pPr>
      <w:numPr>
        <w:ilvl w:val="1"/>
        <w:numId w:val="18"/>
      </w:numPr>
    </w:pPr>
  </w:style>
  <w:style w:type="paragraph" w:customStyle="1" w:styleId="NumPar3">
    <w:name w:val="NumPar 3"/>
    <w:basedOn w:val="Normal"/>
    <w:next w:val="Text1"/>
    <w:pPr>
      <w:numPr>
        <w:ilvl w:val="2"/>
        <w:numId w:val="18"/>
      </w:numPr>
    </w:pPr>
  </w:style>
  <w:style w:type="paragraph" w:customStyle="1" w:styleId="NumPar4">
    <w:name w:val="NumPar 4"/>
    <w:basedOn w:val="Normal"/>
    <w:next w:val="Text1"/>
    <w:pPr>
      <w:numPr>
        <w:ilvl w:val="3"/>
        <w:numId w:val="1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0"/>
      </w:numPr>
    </w:pPr>
  </w:style>
  <w:style w:type="paragraph" w:customStyle="1" w:styleId="Point1number">
    <w:name w:val="Point 1 (number)"/>
    <w:basedOn w:val="Normal"/>
    <w:pPr>
      <w:numPr>
        <w:ilvl w:val="2"/>
        <w:numId w:val="20"/>
      </w:numPr>
    </w:pPr>
  </w:style>
  <w:style w:type="paragraph" w:customStyle="1" w:styleId="Point2number">
    <w:name w:val="Point 2 (number)"/>
    <w:basedOn w:val="Normal"/>
    <w:pPr>
      <w:numPr>
        <w:ilvl w:val="4"/>
        <w:numId w:val="20"/>
      </w:numPr>
    </w:pPr>
  </w:style>
  <w:style w:type="paragraph" w:customStyle="1" w:styleId="Point3number">
    <w:name w:val="Point 3 (number)"/>
    <w:basedOn w:val="Normal"/>
    <w:pPr>
      <w:numPr>
        <w:ilvl w:val="6"/>
        <w:numId w:val="20"/>
      </w:numPr>
    </w:pPr>
  </w:style>
  <w:style w:type="paragraph" w:customStyle="1" w:styleId="Point0letter">
    <w:name w:val="Point 0 (letter)"/>
    <w:basedOn w:val="Normal"/>
    <w:pPr>
      <w:numPr>
        <w:ilvl w:val="1"/>
        <w:numId w:val="20"/>
      </w:numPr>
    </w:pPr>
  </w:style>
  <w:style w:type="paragraph" w:customStyle="1" w:styleId="Point1letter">
    <w:name w:val="Point 1 (letter)"/>
    <w:basedOn w:val="Normal"/>
    <w:pPr>
      <w:numPr>
        <w:ilvl w:val="3"/>
        <w:numId w:val="20"/>
      </w:numPr>
    </w:pPr>
  </w:style>
  <w:style w:type="paragraph" w:customStyle="1" w:styleId="Point2letter">
    <w:name w:val="Point 2 (letter)"/>
    <w:basedOn w:val="Normal"/>
    <w:pPr>
      <w:numPr>
        <w:ilvl w:val="5"/>
        <w:numId w:val="20"/>
      </w:numPr>
    </w:pPr>
  </w:style>
  <w:style w:type="paragraph" w:customStyle="1" w:styleId="Point3letter">
    <w:name w:val="Point 3 (letter)"/>
    <w:basedOn w:val="Normal"/>
    <w:pPr>
      <w:numPr>
        <w:ilvl w:val="7"/>
        <w:numId w:val="20"/>
      </w:numPr>
    </w:pPr>
  </w:style>
  <w:style w:type="paragraph" w:customStyle="1" w:styleId="Point4letter">
    <w:name w:val="Point 4 (letter)"/>
    <w:basedOn w:val="Normal"/>
    <w:pPr>
      <w:numPr>
        <w:ilvl w:val="8"/>
        <w:numId w:val="20"/>
      </w:numPr>
    </w:pPr>
  </w:style>
  <w:style w:type="paragraph" w:customStyle="1" w:styleId="Bullet0">
    <w:name w:val="Bullet 0"/>
    <w:basedOn w:val="Normal"/>
    <w:pPr>
      <w:numPr>
        <w:numId w:val="21"/>
      </w:numPr>
    </w:pPr>
  </w:style>
  <w:style w:type="paragraph" w:customStyle="1" w:styleId="Bullet1">
    <w:name w:val="Bullet 1"/>
    <w:basedOn w:val="Normal"/>
    <w:pPr>
      <w:numPr>
        <w:numId w:val="22"/>
      </w:numPr>
    </w:pPr>
  </w:style>
  <w:style w:type="paragraph" w:customStyle="1" w:styleId="Bullet2">
    <w:name w:val="Bullet 2"/>
    <w:basedOn w:val="Normal"/>
    <w:pPr>
      <w:numPr>
        <w:numId w:val="23"/>
      </w:numPr>
    </w:pPr>
  </w:style>
  <w:style w:type="paragraph" w:customStyle="1" w:styleId="Bullet3">
    <w:name w:val="Bullet 3"/>
    <w:basedOn w:val="Normal"/>
    <w:pPr>
      <w:numPr>
        <w:numId w:val="24"/>
      </w:numPr>
    </w:pPr>
  </w:style>
  <w:style w:type="paragraph" w:customStyle="1" w:styleId="Bullet4">
    <w:name w:val="Bullet 4"/>
    <w:basedOn w:val="Normal"/>
    <w:pPr>
      <w:numPr>
        <w:numId w:val="25"/>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5"/>
      </w:numPr>
      <w:contextualSpacing/>
    </w:pPr>
  </w:style>
  <w:style w:type="paragraph" w:styleId="ListBullet2">
    <w:name w:val="List Bullet 2"/>
    <w:basedOn w:val="Normal"/>
    <w:uiPriority w:val="99"/>
    <w:semiHidden/>
    <w:unhideWhenUsed/>
    <w:pPr>
      <w:numPr>
        <w:numId w:val="6"/>
      </w:numPr>
      <w:contextualSpacing/>
    </w:pPr>
  </w:style>
  <w:style w:type="paragraph" w:styleId="ListBullet3">
    <w:name w:val="List Bullet 3"/>
    <w:basedOn w:val="Normal"/>
    <w:uiPriority w:val="99"/>
    <w:semiHidden/>
    <w:unhideWhenUsed/>
    <w:pPr>
      <w:numPr>
        <w:numId w:val="7"/>
      </w:numPr>
      <w:contextualSpacing/>
    </w:pPr>
  </w:style>
  <w:style w:type="paragraph" w:styleId="ListBullet4">
    <w:name w:val="List Bullet 4"/>
    <w:basedOn w:val="Normal"/>
    <w:uiPriority w:val="99"/>
    <w:semiHidden/>
    <w:unhideWhenUsed/>
    <w:pPr>
      <w:numPr>
        <w:numId w:val="8"/>
      </w:numPr>
      <w:contextualSpacing/>
    </w:pPr>
  </w:style>
  <w:style w:type="paragraph" w:styleId="ListNumber">
    <w:name w:val="List Number"/>
    <w:basedOn w:val="Normal"/>
    <w:uiPriority w:val="99"/>
    <w:semiHidden/>
    <w:unhideWhenUsed/>
    <w:pPr>
      <w:numPr>
        <w:numId w:val="9"/>
      </w:numPr>
      <w:contextualSpacing/>
    </w:pPr>
  </w:style>
  <w:style w:type="paragraph" w:styleId="ListNumber2">
    <w:name w:val="List Number 2"/>
    <w:basedOn w:val="Normal"/>
    <w:uiPriority w:val="99"/>
    <w:semiHidden/>
    <w:unhideWhenUsed/>
    <w:pPr>
      <w:numPr>
        <w:numId w:val="10"/>
      </w:numPr>
      <w:contextualSpacing/>
    </w:pPr>
  </w:style>
  <w:style w:type="paragraph" w:styleId="ListNumber3">
    <w:name w:val="List Number 3"/>
    <w:basedOn w:val="Normal"/>
    <w:uiPriority w:val="99"/>
    <w:semiHidden/>
    <w:unhideWhenUsed/>
    <w:pPr>
      <w:numPr>
        <w:numId w:val="11"/>
      </w:numPr>
      <w:contextualSpacing/>
    </w:pPr>
  </w:style>
  <w:style w:type="paragraph" w:styleId="ListNumber4">
    <w:name w:val="List Number 4"/>
    <w:basedOn w:val="Normal"/>
    <w:uiPriority w:val="99"/>
    <w:semiHidden/>
    <w:unhideWhenUsed/>
    <w:pPr>
      <w:numPr>
        <w:numId w:val="12"/>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3"/>
      </w:numPr>
    </w:pPr>
  </w:style>
  <w:style w:type="paragraph" w:customStyle="1" w:styleId="Tiret1">
    <w:name w:val="Tiret 1"/>
    <w:basedOn w:val="Point1"/>
    <w:pPr>
      <w:numPr>
        <w:numId w:val="14"/>
      </w:numPr>
    </w:pPr>
  </w:style>
  <w:style w:type="paragraph" w:customStyle="1" w:styleId="Tiret2">
    <w:name w:val="Tiret 2"/>
    <w:basedOn w:val="Point2"/>
    <w:pPr>
      <w:numPr>
        <w:numId w:val="15"/>
      </w:numPr>
    </w:pPr>
  </w:style>
  <w:style w:type="paragraph" w:customStyle="1" w:styleId="Tiret3">
    <w:name w:val="Tiret 3"/>
    <w:basedOn w:val="Point3"/>
    <w:pPr>
      <w:numPr>
        <w:numId w:val="16"/>
      </w:numPr>
    </w:pPr>
  </w:style>
  <w:style w:type="paragraph" w:customStyle="1" w:styleId="Tiret4">
    <w:name w:val="Tiret 4"/>
    <w:basedOn w:val="Point4"/>
    <w:pPr>
      <w:numPr>
        <w:numId w:val="1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8"/>
      </w:numPr>
    </w:pPr>
  </w:style>
  <w:style w:type="paragraph" w:customStyle="1" w:styleId="NumPar2">
    <w:name w:val="NumPar 2"/>
    <w:basedOn w:val="Normal"/>
    <w:next w:val="Text1"/>
    <w:pPr>
      <w:numPr>
        <w:ilvl w:val="1"/>
        <w:numId w:val="18"/>
      </w:numPr>
    </w:pPr>
  </w:style>
  <w:style w:type="paragraph" w:customStyle="1" w:styleId="NumPar3">
    <w:name w:val="NumPar 3"/>
    <w:basedOn w:val="Normal"/>
    <w:next w:val="Text1"/>
    <w:pPr>
      <w:numPr>
        <w:ilvl w:val="2"/>
        <w:numId w:val="18"/>
      </w:numPr>
    </w:pPr>
  </w:style>
  <w:style w:type="paragraph" w:customStyle="1" w:styleId="NumPar4">
    <w:name w:val="NumPar 4"/>
    <w:basedOn w:val="Normal"/>
    <w:next w:val="Text1"/>
    <w:pPr>
      <w:numPr>
        <w:ilvl w:val="3"/>
        <w:numId w:val="1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0"/>
      </w:numPr>
    </w:pPr>
  </w:style>
  <w:style w:type="paragraph" w:customStyle="1" w:styleId="Point1number">
    <w:name w:val="Point 1 (number)"/>
    <w:basedOn w:val="Normal"/>
    <w:pPr>
      <w:numPr>
        <w:ilvl w:val="2"/>
        <w:numId w:val="20"/>
      </w:numPr>
    </w:pPr>
  </w:style>
  <w:style w:type="paragraph" w:customStyle="1" w:styleId="Point2number">
    <w:name w:val="Point 2 (number)"/>
    <w:basedOn w:val="Normal"/>
    <w:pPr>
      <w:numPr>
        <w:ilvl w:val="4"/>
        <w:numId w:val="20"/>
      </w:numPr>
    </w:pPr>
  </w:style>
  <w:style w:type="paragraph" w:customStyle="1" w:styleId="Point3number">
    <w:name w:val="Point 3 (number)"/>
    <w:basedOn w:val="Normal"/>
    <w:pPr>
      <w:numPr>
        <w:ilvl w:val="6"/>
        <w:numId w:val="20"/>
      </w:numPr>
    </w:pPr>
  </w:style>
  <w:style w:type="paragraph" w:customStyle="1" w:styleId="Point0letter">
    <w:name w:val="Point 0 (letter)"/>
    <w:basedOn w:val="Normal"/>
    <w:pPr>
      <w:numPr>
        <w:ilvl w:val="1"/>
        <w:numId w:val="20"/>
      </w:numPr>
    </w:pPr>
  </w:style>
  <w:style w:type="paragraph" w:customStyle="1" w:styleId="Point1letter">
    <w:name w:val="Point 1 (letter)"/>
    <w:basedOn w:val="Normal"/>
    <w:pPr>
      <w:numPr>
        <w:ilvl w:val="3"/>
        <w:numId w:val="20"/>
      </w:numPr>
    </w:pPr>
  </w:style>
  <w:style w:type="paragraph" w:customStyle="1" w:styleId="Point2letter">
    <w:name w:val="Point 2 (letter)"/>
    <w:basedOn w:val="Normal"/>
    <w:pPr>
      <w:numPr>
        <w:ilvl w:val="5"/>
        <w:numId w:val="20"/>
      </w:numPr>
    </w:pPr>
  </w:style>
  <w:style w:type="paragraph" w:customStyle="1" w:styleId="Point3letter">
    <w:name w:val="Point 3 (letter)"/>
    <w:basedOn w:val="Normal"/>
    <w:pPr>
      <w:numPr>
        <w:ilvl w:val="7"/>
        <w:numId w:val="20"/>
      </w:numPr>
    </w:pPr>
  </w:style>
  <w:style w:type="paragraph" w:customStyle="1" w:styleId="Point4letter">
    <w:name w:val="Point 4 (letter)"/>
    <w:basedOn w:val="Normal"/>
    <w:pPr>
      <w:numPr>
        <w:ilvl w:val="8"/>
        <w:numId w:val="20"/>
      </w:numPr>
    </w:pPr>
  </w:style>
  <w:style w:type="paragraph" w:customStyle="1" w:styleId="Bullet0">
    <w:name w:val="Bullet 0"/>
    <w:basedOn w:val="Normal"/>
    <w:pPr>
      <w:numPr>
        <w:numId w:val="21"/>
      </w:numPr>
    </w:pPr>
  </w:style>
  <w:style w:type="paragraph" w:customStyle="1" w:styleId="Bullet1">
    <w:name w:val="Bullet 1"/>
    <w:basedOn w:val="Normal"/>
    <w:pPr>
      <w:numPr>
        <w:numId w:val="22"/>
      </w:numPr>
    </w:pPr>
  </w:style>
  <w:style w:type="paragraph" w:customStyle="1" w:styleId="Bullet2">
    <w:name w:val="Bullet 2"/>
    <w:basedOn w:val="Normal"/>
    <w:pPr>
      <w:numPr>
        <w:numId w:val="23"/>
      </w:numPr>
    </w:pPr>
  </w:style>
  <w:style w:type="paragraph" w:customStyle="1" w:styleId="Bullet3">
    <w:name w:val="Bullet 3"/>
    <w:basedOn w:val="Normal"/>
    <w:pPr>
      <w:numPr>
        <w:numId w:val="24"/>
      </w:numPr>
    </w:pPr>
  </w:style>
  <w:style w:type="paragraph" w:customStyle="1" w:styleId="Bullet4">
    <w:name w:val="Bullet 4"/>
    <w:basedOn w:val="Normal"/>
    <w:pPr>
      <w:numPr>
        <w:numId w:val="25"/>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0954842">
      <w:bodyDiv w:val="1"/>
      <w:marLeft w:val="0"/>
      <w:marRight w:val="0"/>
      <w:marTop w:val="0"/>
      <w:marBottom w:val="0"/>
      <w:divBdr>
        <w:top w:val="none" w:sz="0" w:space="0" w:color="auto"/>
        <w:left w:val="none" w:sz="0" w:space="0" w:color="auto"/>
        <w:bottom w:val="none" w:sz="0" w:space="0" w:color="auto"/>
        <w:right w:val="none" w:sz="0" w:space="0" w:color="auto"/>
      </w:divBdr>
    </w:div>
    <w:div w:id="1621496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1</TotalTime>
  <Pages>6</Pages>
  <Words>1559</Words>
  <Characters>8578</Characters>
  <Application>Microsoft Office Word</Application>
  <DocSecurity>0</DocSecurity>
  <Lines>155</Lines>
  <Paragraphs>79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dcterms:created xsi:type="dcterms:W3CDTF">2016-02-23T16:15:00Z</dcterms:created>
  <dcterms:modified xsi:type="dcterms:W3CDTF">2016-04-11T08:27:00Z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SJ-019</vt:lpwstr>
  </property>
  <property fmtid="{D5CDD505-2E9C-101B-9397-08002B2CF9AE}" pid="10" name="DQCStatus">
    <vt:lpwstr>Yellow (DQC version 03)</vt:lpwstr>
  </property>
</Properties>
</file>