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CB0757264AC454DBC91CCE0FD99AAFC" style="width:450.8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ПРИТУРКА</w:t>
      </w:r>
    </w:p>
    <w:p>
      <w:pPr>
        <w:spacing w:after="240"/>
        <w:jc w:val="center"/>
        <w:rPr>
          <w:b/>
          <w:caps/>
          <w:noProof/>
        </w:rPr>
      </w:pPr>
      <w:r>
        <w:rPr>
          <w:b/>
          <w:caps/>
          <w:noProof/>
        </w:rPr>
        <w:t>Проект на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 xml:space="preserve">Решение № 1/2016 на Подкомитета по санитарните и фитосанитарните въпроси ЕС — РЕПУБЛИКА МОЛДОВА 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от ... 2016 година </w:t>
      </w:r>
    </w:p>
    <w:p>
      <w:pPr>
        <w:spacing w:after="240"/>
        <w:jc w:val="center"/>
        <w:rPr>
          <w:b/>
          <w:noProof/>
          <w:szCs w:val="24"/>
        </w:rPr>
      </w:pPr>
      <w:r>
        <w:rPr>
          <w:b/>
          <w:noProof/>
        </w:rPr>
        <w:t xml:space="preserve">за изменение на приложение XXIV-Б към Споразумението за асоцииране </w:t>
      </w:r>
    </w:p>
    <w:p>
      <w:pPr>
        <w:spacing w:line="276" w:lineRule="auto"/>
        <w:rPr>
          <w:noProof/>
        </w:rPr>
      </w:pPr>
      <w:r>
        <w:rPr>
          <w:noProof/>
        </w:rPr>
        <w:t>ПОДКОМИТЕТЪТ ПО САНИТАРНИТЕ И ФИТОСАНИТАРНИТЕ ВЪПРОСИ,</w:t>
      </w:r>
    </w:p>
    <w:p>
      <w:pPr>
        <w:rPr>
          <w:noProof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страна, подписано в Брюксел на 27 юни 2014 г., и по</w:t>
      </w:r>
      <w:r>
        <w:rPr>
          <w:noProof/>
        </w:rPr>
        <w:noBreakHyphen/>
        <w:t>специално членове 181 и 191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NumPar1"/>
        <w:rPr>
          <w:noProof/>
          <w:color w:val="000000"/>
        </w:rPr>
      </w:pPr>
      <w:r>
        <w:rPr>
          <w:noProof/>
        </w:rPr>
        <w:t>(1)</w:t>
      </w:r>
      <w:r>
        <w:rPr>
          <w:noProof/>
        </w:rPr>
        <w:tab/>
        <w:t xml:space="preserve">В съответствие с член 464 от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(„споразумението“), отделни части от споразумението, включително разпоредбите относно санитарните и фитосанитарните мерки, се прилагат временно от 1 септември 2014 г. </w:t>
      </w:r>
    </w:p>
    <w:p>
      <w:pPr>
        <w:pStyle w:val="ManualNumPar1"/>
        <w:ind w:left="851" w:hanging="851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В член 181, параграф 1 от споразумението се предвижда Република Молдова да сближи постепенно своето законодателство в областта на санитарните и фитосанитарните въпроси и на хуманното отношение към животните с това на Съюза, както е посочено в приложение XXIV към същото споразумение. </w:t>
      </w:r>
    </w:p>
    <w:p>
      <w:pPr>
        <w:pStyle w:val="ManualNumPar1"/>
        <w:ind w:left="851" w:hanging="851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По силата на член 181, параграф 4 от споразумението Република Молдова се ангажира да представи списък на достиженията на правото на Съюза в областта на санитарните и фитосанитарните въпроси и на хуманното отношение към животните, с които тя възнамерява да сближи своето вътрешно законодателство, не по-късно от три месеца след влизането в сила на споразумението. Този списък е предназначен да служи за референтен документ за прилагането на глава 4 от дял V (Търговия и свързани с търговията въпроси) на споразумението. </w:t>
      </w:r>
    </w:p>
    <w:p>
      <w:pPr>
        <w:pStyle w:val="ManualNumPar1"/>
        <w:ind w:left="851" w:hanging="851"/>
        <w:rPr>
          <w:noProof/>
        </w:rPr>
      </w:pPr>
      <w:r>
        <w:rPr>
          <w:noProof/>
        </w:rPr>
        <w:t>(4)</w:t>
      </w:r>
      <w:r>
        <w:rPr>
          <w:noProof/>
        </w:rPr>
        <w:tab/>
        <w:t>По силата на член 191 от споразумението бе създаден Подкомитет по санитарните и фитосанитарните въпроси, който има за задача да разглежда всички въпроси във връзка с глава 4 от дял V (Търговия и свързани с търговията въпроси), включително нейното прилагане, и може да преразгледа и измени приложение XXIV към споразумението.</w:t>
      </w:r>
    </w:p>
    <w:p>
      <w:pPr>
        <w:pStyle w:val="ManualNumPar1"/>
        <w:ind w:left="851" w:hanging="851"/>
        <w:rPr>
          <w:noProof/>
        </w:rPr>
      </w:pPr>
      <w:r>
        <w:rPr>
          <w:noProof/>
        </w:rPr>
        <w:t>(5)</w:t>
      </w:r>
      <w:r>
        <w:rPr>
          <w:noProof/>
        </w:rPr>
        <w:tab/>
        <w:t xml:space="preserve">През ноември 2014 г. Република Молдова представи на Европейската комисия посочения по-горе списък на достиженията на правото на Съюза, след което, след консултации с Европейската комисия, списъкът бе финализиран през юли 2015 г. </w:t>
      </w:r>
    </w:p>
    <w:p>
      <w:pPr>
        <w:pStyle w:val="ManualNumPar1"/>
        <w:ind w:left="851" w:hanging="851"/>
        <w:rPr>
          <w:noProof/>
        </w:rPr>
      </w:pPr>
      <w:r>
        <w:rPr>
          <w:noProof/>
        </w:rPr>
        <w:t>(6)</w:t>
      </w:r>
      <w:r>
        <w:rPr>
          <w:noProof/>
        </w:rPr>
        <w:tab/>
        <w:t xml:space="preserve">Е целесъобразно Подкомитетът по санитарните и фитосанитарните въпроси да вземе решение за изменение на приложение XXIV-Б към споразумението с </w:t>
      </w:r>
      <w:r>
        <w:rPr>
          <w:noProof/>
        </w:rPr>
        <w:lastRenderedPageBreak/>
        <w:t>включването в него на съдържащия се в приложението към настоящото решение списък,</w:t>
      </w:r>
    </w:p>
    <w:p>
      <w:pPr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Приложение XXIV-Б към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страна, се изменя в съответствие с предвиденото в приложението към настоящото решение. 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2</w:t>
      </w:r>
    </w:p>
    <w:p>
      <w:pPr>
        <w:pStyle w:val="ManualNumPar1"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spacing w:after="360"/>
        <w:rPr>
          <w:noProof/>
        </w:rPr>
      </w:pPr>
      <w:r>
        <w:rPr>
          <w:noProof/>
        </w:rPr>
        <w:t>Съставено в … на […] година.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 xml:space="preserve">За Подкомитета по санитарните и фитосанитарните въпроси </w:t>
            </w:r>
          </w:p>
          <w:p>
            <w:pPr>
              <w:spacing w:before="0" w:after="0"/>
              <w:rPr>
                <w:i/>
                <w:noProof/>
              </w:rPr>
            </w:pPr>
          </w:p>
        </w:tc>
      </w:tr>
      <w:tr>
        <w:tc>
          <w:tcPr>
            <w:tcW w:w="4643" w:type="dxa"/>
            <w:shd w:val="clear" w:color="auto" w:fill="auto"/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jc w:val="center"/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jc w:val="right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ПРИЛОЖЕНИЕ</w:t>
      </w:r>
    </w:p>
    <w:p>
      <w:pPr>
        <w:spacing w:after="360"/>
        <w:jc w:val="center"/>
        <w:rPr>
          <w:b/>
          <w:caps/>
          <w:noProof/>
        </w:rPr>
      </w:pPr>
      <w:r>
        <w:rPr>
          <w:b/>
          <w:caps/>
          <w:noProof/>
        </w:rPr>
        <w:t>изменение на приложение XXIV-Б към Споразумението за асоцииране</w:t>
      </w:r>
    </w:p>
    <w:p>
      <w:pPr>
        <w:spacing w:after="360"/>
        <w:rPr>
          <w:noProof/>
        </w:rPr>
      </w:pPr>
      <w:r>
        <w:rPr>
          <w:noProof/>
        </w:rPr>
        <w:t xml:space="preserve">С настоящото се изменя приложение XXIV-Б към споразумението и се чете, както следва: </w:t>
      </w:r>
    </w:p>
    <w:p>
      <w:pPr>
        <w:spacing w:after="360"/>
        <w:jc w:val="center"/>
        <w:rPr>
          <w:caps/>
          <w:noProof/>
        </w:rPr>
      </w:pPr>
      <w:r>
        <w:rPr>
          <w:caps/>
          <w:noProof/>
        </w:rPr>
        <w:t>„ПРИЛОЖЕНИЕ XХIV-Б</w:t>
      </w:r>
    </w:p>
    <w:p>
      <w:pPr>
        <w:spacing w:after="360"/>
        <w:jc w:val="center"/>
        <w:rPr>
          <w:caps/>
          <w:noProof/>
        </w:rPr>
      </w:pPr>
      <w:r>
        <w:rPr>
          <w:caps/>
          <w:noProof/>
        </w:rPr>
        <w:t>СПИСЪК НА ЗАКОНОДАТЕЛНИТЕ АКТОВЕ НА ЕС, СПРЯМО КОИТО РЕПУБЛИКА МОЛДОВА СЛЕДВА ДА ОСЪЩЕСТВИ СБЛИЖАВАНЕ</w:t>
      </w:r>
    </w:p>
    <w:p>
      <w:pPr>
        <w:widowControl w:val="0"/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В съответствие с член 181, параграф 4 от настоящото споразумение Република Молдова следва да сближи своето законодателство със следните законодателни актове на Съюза в посочените по-долу срокове.</w:t>
      </w:r>
    </w:p>
    <w:tbl>
      <w:tblPr>
        <w:tblW w:w="9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42"/>
        <w:gridCol w:w="1887"/>
      </w:tblGrid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br/>
              <w:t>Законодателство на Съюза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>
            <w:pPr>
              <w:widowControl w:val="0"/>
              <w:spacing w:before="40" w:after="40"/>
              <w:jc w:val="center"/>
              <w:rPr>
                <w:b/>
                <w:noProof/>
              </w:rPr>
            </w:pPr>
          </w:p>
          <w:p>
            <w:pPr>
              <w:widowControl w:val="0"/>
              <w:spacing w:before="40" w:after="40"/>
              <w:jc w:val="center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Краен срок за сближаване</w:t>
            </w:r>
          </w:p>
        </w:tc>
      </w:tr>
      <w:tr>
        <w:trPr>
          <w:trHeight w:val="20"/>
        </w:trPr>
        <w:tc>
          <w:tcPr>
            <w:tcW w:w="9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center"/>
              <w:rPr>
                <w:rFonts w:eastAsia="Times New Roman"/>
                <w:bCs/>
                <w:noProof/>
                <w:szCs w:val="24"/>
              </w:rPr>
            </w:pPr>
            <w:r>
              <w:rPr>
                <w:b/>
                <w:noProof/>
              </w:rPr>
              <w:t>Раздел 1 — Общи положения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 178/2002 на Европейския парламент и на Съвета от 28 януари 2002 г.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храните, с изключение на членове 58, 59 и 62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 1304/2003 на Комисията от 23 юли 2003 г. относно процедурата на Европейския орган за безопасност на храните по отношение на искания за научни становища, които са отправени към него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2004/478/ЕО на Комисията от 29 април 2004 г. относно приемането на общ план за управление на кризите в областта на безопасността на храните/фуражите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(ЕС) № 16/2011 на Комисията от 10 януари 2011 г. за установяване на мерки за прилагане за Системата за бързо предупреждение за храни и фуражи.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 1151/2009 на Комисията от 27 ноември 2009 г. за налагане на специални условия по отношение на вноса на слънчогледово масло с произход или в пратки от Украйна поради риск от замърсяване с минерално масло и за отмяна на Решение 2008/433/ЕО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strike/>
                <w:noProof/>
                <w:szCs w:val="24"/>
              </w:rPr>
            </w:pPr>
            <w:r>
              <w:rPr>
                <w:noProof/>
              </w:rPr>
              <w:t xml:space="preserve">Регламент за изпълнение (ЕС) № 884/2014 на Комисията от 13 август 2014 г. за налагане на специални условия за вноса на определени фуражи и храни от някои трети държави във връзка с рисковете от замърсяване на </w:t>
            </w:r>
            <w:r>
              <w:rPr>
                <w:noProof/>
              </w:rPr>
              <w:lastRenderedPageBreak/>
              <w:t xml:space="preserve">тези продукти с афлатоксини и за отмяна на Регламент (ЕО) № 1152/2009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Регламент (ЕС) № 258/2010 на Комисията от 25 март 2010 г. за налагане на специални условия върху вноса на гума гуар, която е с произход от Индия или е изпратена от същата държава, поради риска от замърсяване с пентахлорфенол и диоксини и за отмяна на Решение 2008/352/ЕО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208/2013 на Комисията от 11 март 2013 г. относно изискванията за проследяване на кълновете и на семената, предназначени за производство на кълнове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за изпълнение (ЕС) № 931/2011 на Комисията от 19 септември 2011 г. относно изискванията за възможността за проследяване, установени с Регламент (ЕО) № 178/2002 на Европейския парламент и на Съвета относно храните от животински произход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 178/2002 на Европейския парламент и на Съвета от 28 януари 2002 г.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 — членове 58, 59 и 62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  <w:bookmarkStart w:id="1" w:name="_Toc127327582"/>
            <w:bookmarkStart w:id="2" w:name="_Toc127327583"/>
            <w:bookmarkStart w:id="3" w:name="_Toc394585565"/>
            <w:r>
              <w:rPr>
                <w:b/>
                <w:noProof/>
              </w:rPr>
              <w:t xml:space="preserve">Раздел 2 — </w:t>
            </w:r>
            <w:bookmarkEnd w:id="1"/>
            <w:bookmarkEnd w:id="2"/>
            <w:bookmarkEnd w:id="3"/>
            <w:r>
              <w:rPr>
                <w:b/>
                <w:noProof/>
              </w:rPr>
              <w:t>Ветеринарна област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i/>
                <w:noProof/>
                <w:szCs w:val="24"/>
              </w:rPr>
            </w:pPr>
            <w:r>
              <w:rPr>
                <w:noProof/>
              </w:rPr>
              <w:t>Директива 2002/99/ЕО на Съвета от 16 декември 2002 г. за установяване на ветеринарно-санитарни правила, регулиращи производството, преработката, разпространението и пускането на пазара на продукти от животински произход за консумация от човека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2003/24/EО на Комисията от 30 декември 2002 г. относно разработването на интегрирана компютризирана ветеринарна система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2005/734/ЕО на Комисията от 19 октомври 2005 г. за установяване на мерки за биосигурност с цел намаляване на риска от пренасяне на високо патогенна инфлуенца по птиците, причинена от вирус на инфлуенца А, подтип H5N1, от птици, живеещи в дивата среда, към домашни птици и други птици, отглеждани на закрито, и за осигуряване на система за ранно откриване в области с особен риск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2006/415/ЕО на Комисията от 14 юни 2006 г. относно някои защитни мерки по отношение на високопатогенната инфлуенца по птиците от подтип H5N1 по домашните птици в Общността и за отмяна на Решение 2006/135/ЕО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2006/563/EО на Комисията от 11 август 2006 г. относно определени защитни мерки по отношение на високопатогенната инфлуенца по птиците от подтип H5N1 при дивите птици в Общността и за отмяна на Решение 2006/115/ЕО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2010/57/ЕС на Комисията от 3 февруари 2010 г. за определяне на здравни гаранции за транзита на еднокопитни животни, които се транспортират през териториите, изброени в приложение I към Директива 97/78/ЕО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за изпълнение (ЕС) № 139/2013 на Комисията от 7 януари 2013 г. за определяне на ветеринарно-санитарните условия за внос на някои птици в Съюза и на карантинните условия за този внос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за изпълнение (ЕС) № 750/2014 на Комисията от 10 юли 2014 г. относно защитните мерки във връзка с епидемичната дизентерия по свинете по отношение на ветеринарно-санитарните изисквания за въвеждане в Съюза на животни от рода на свинете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97/78/ЕО на Съвета от 18 декември 1997 г. за определяне на принципите, които регулират организацията на ветеринарните проверки на продуктите, въведени в Общността от трети страни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78/685/ЕИО на Комисията от 26 юли 1978 г. относно съставяне на списък на епизоотични болести в съответствие с Директива 72/462/ЕИО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560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64/432/ЕИО на Съвета от 26 юни 1964 г. относно проблеми, свързани със здравето на животните, които засягат търговията в Общността с говеда и свине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 494/98 на Комисията от 27 февруари 1998 г. относно определяне на подробни правила за прилагането на Регламент (ЕО) № 820/97 на Съвета относно прилагането на минимални административни санкции в рамките на системата за идентифициране и регистриране на едрия рогат добитък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 2006/968/ЕО на Комисията от 15 декември 2006 г. за прилагане на Регламент (ЕО) № 21/2004 на Съвета по отношение на насоки и процедури за електронната идентификация на животни от рода на овцете и козите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2009/156/ЕО на Съвета от 30 ноември 2009 г. относно ветеринарно-санитарните условия, регулиращи движението и вноса от трети страни на еднокопитни животни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504/2008 на Комисията от 6 юни 2008 г. за прилагане на Директива 90/426/ЕИО и Директива 90/427/ЕИО на Съвета относно методите за идентификация на еднокопитни животни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2001/89/ЕО на Съвета от 23 октомври 2001 г. относно мерки на Общността за борба с класическата чума по свинете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 2002/106/ЕО на Комисията от 1 февруари 2002 г. за одобряване на диагностично ръководство, с което се определят диагностичните процедури, методите за вземане на проби и критериите за оценка на лабораторните тестове за потвърждаване на класическата чума по свинете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2002/60/ЕО на Съвета от 27 юни 2002 г. за определяне на специфични разпоредби за борба с африканската чума по свинете и за изменение на Директива 92/119/ЕИО относно болестта на Тешен и африканската чума по свинете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 2003/422/ЕО на Комисията от 26 май 2003 г. за одобрение на Наръчника за диагностика на африканската чума по свинете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2006/437/EО на Комисията от 4 август 2006 г. относно одобряване на наръчник по диагностика за инфлуенца по птиците, както е предвидено в Директива 2005/94/ЕО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616/2009 на Комисията от 13 юли 2009 г. за прилагане на Директива 2005/94/ЕО на Съвета по отношение на одобрението на отделенията за домашни птици и отделенията за други птици, отглеждани в затворени помещения, във връзка с инфлуенцата по птиците и допълнителните предпазни мерки за биологична сигурност в такива отделения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92/66/ЕИО на Съвета от 14 юли 1992 г. за въвеждането на мерки на Общността за борба с нюкасълската болест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2000/75/ЕО на Съвета от 20 ноември 2000 г. за определяне на условията за борба и ликвидиране на болестта син език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1266/2007 на Комисията от 26 октомври 2007 г. относно правилата за прилагане на Директива 2000/75/ЕО на Съвета по отношение на контрола, наблюдението, надзора и ограниченията за движението на някои животни от видовете, възприемчиви към болестта син език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999/2001 на Европейския парламент и на Съвета от 22 май 2001 г. относно определяне на правила за превенция, контрол и ликвидиране на някои трансмисивни спонгиформни енцефалопатии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 xml:space="preserve">Решение 2007/843/EО на Комисията от 11 декември 2007 г. относно одобрение на програми за контрол на салмонела при птичите стада от вида </w:t>
            </w:r>
            <w:r>
              <w:rPr>
                <w:i/>
                <w:noProof/>
              </w:rPr>
              <w:t>Gallus gallus</w:t>
            </w:r>
            <w:r>
              <w:rPr>
                <w:noProof/>
              </w:rPr>
              <w:t xml:space="preserve"> в определени трети страни в съответствие с Регламент (ЕО) № 2160/2003 на Европейския парламент и на Съвета и за изменение на решение 2006/696/ЕО, по отношение на някои изисквания в областта на общественото здравеопазване относно вноса на домашни птици и яйца за люпене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 xml:space="preserve">Решение 2007/848/ЕО на Комисията от 11 декември 2007 г. относно одобрение на някои национални програми за контрол на салмонелата при стада от кокошки носачки от вида </w:t>
            </w:r>
            <w:r>
              <w:rPr>
                <w:i/>
                <w:noProof/>
              </w:rPr>
              <w:t>Gallus gallus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 xml:space="preserve">Решение 2008/815/ЕО на Комисията от 20 октомври 2008 г. за одобряване на някои национални програми за контрол на салмонелата при стада от бройлери от вида </w:t>
            </w:r>
            <w:r>
              <w:rPr>
                <w:i/>
                <w:noProof/>
              </w:rPr>
              <w:t>Gallus gallus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2009/771/ЕО на Комисията от 20 октомври 2009 г. за одобрение на някои национални програми за контрола на салмонела при пуйки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92/119/ЕИО на Съвета от 17 декември 1992 г. за въвеждане на общи мерки на Общността за борба с някои болести по животните и на специфични мерки относно везикулозната болест по свинете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2004/226/EО на Комисията от 4 март 2004 г. относно одобряване на тестовете за откриване на антитела против бруцелоза по говедата в рамките на Директива 64/432/ЕИО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 91/68/ЕИО на Съвета от 28 януари 1991 г. относно ветеринарно-санитарните изисквания относно търговията с овце и кози в рамките на Общността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95/329/ЕО на Комисията от 25 юли 1995 г. за определяне на категориите мъжки еднокопитни животни, към които се прилага изискването във връзка с вирусния артерит, определено в член 15, буква б), ii) от Директива 90/426/ЕИО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2001/183/ЕО на Комисията от 22 февруари 2001 г. относно определяне на плановете за вземане на проби и диагностичните методи за откриване и потвърждаване на някои болести по рибите и за отмяна на Решение 92/532/ЕИО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90/429/ЕИО на Съвета от 26 юни 1990 г. за определяне на ветеринарно-санитарните изисквания за внос и търговия в рамките на Общността със сперма от животни от рода на свинете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92/65/ЕИО на Съвета от 13 юли 1992 г. за определяне на ветеринарно-санитарните изисквания относно търговията и вноса в Общността на животни, сперма, яйцеклетки и ембриони, които не са предмет на ветеринарно-санитарните изисквания, определени в специалните правила на Общността, посочени в приложение А, раздел I към Директива 90/425/ЕИО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96/22/ЕО на Съвета от 29 април 1996 г. относно забрана на употребата на определени субстанции с хормонално или тиреостатично действие и на бета-агонисти в животновъдството и за отмяна на директиви 81/602/ЕИО, 88/146/ЕИО и 88/299/ЕИО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1999/879/ЕО на Съвета от 17 декември 1999 г. относно пускането на пазара и начина на употреба на говеждия соматотрофин (BST) и за отмяна на Решение 90/218/ЕИО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97/747/EО на Комисията от 27 октомври 1997 г. за определяне на равнищата и честотата на вземане на проби, предвидени от Директива 96/23/EО на Съвета относно наблюдение на някои вещества и остатъци от тях в определени продукти от животински произход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98/179/EО на Комисията от 23 февруари 1998 г. за определяне на подробни правила за вземане на официални проби за мониторинга на определени вещества и остатъци от тях в живи животни и животински продукти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2006/88/EО на Съвета от 24 октомври 2006 г. относно ветеринарномедицинските изисквания за аквакултури и продукти от тях и за предотвратяване и борба с някои болести по водните животни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2002/657/EО на Комисията от 14 август 2002 г. за прилагане на Директива 96/23/EО на Съвета по отношение изпълнението на аналитични методи и тълкуването на резултати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92/260/ЕИО на Комисията от 10 април 1992 г. относно ветеринарно-санитарните изисквания и ветеринарното сертифициране за временното допускане на регистрирани коне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2008/946/ЕО на Комисията от 12 декември 2008 г. за прилагане на Директива 2006/88/ЕО на Съвета по отношение на изискванията за карантина на аквакултури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2004/41/ЕО на Европейския парламент и на Съвета от 21 април 2004 г. за отмяна на някои директиви, отнасящи се до хигиената на хранитe и здравните условия при производството и пускането на пазара на някои продукти от животински произход, предназначени за консумация от човека, и за изменение на Директиви 89/662/ЕИО и 92/118/ЕИО на Съвета и на Решение 95/408/ЕО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2006/778/ЕО на Комисията от 14 ноември 2006 г. относно минималните изисквания за събиране на информация по време на инспекциите на производствените обекти относно определени животни, отглеждани за стопански цели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2008/119/ЕО на Съвета от 18 декември 2008 г. за определяне на минимални стандарти за защита на телетата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2008/120/ЕО на Съвета от 18 декември 2008 г. относно определяне на минималните стандарти за защита на свинете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за изпълнение 2013/188/EС на Комисията от 18 април 2013 г. относно годишните доклади за недискриминационните проверки, провеждани съгласно Регламент (ЕО) № 1/2005 относно защитата на животните по време на транспортиране и свързаните с това операции и за изменение на директиви 64/432/ЕИО и 93/119/ЕО и Регламент (ЕО) № 1255/97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(EО) № 1255/97 на Съвета от 25 юни 1997 г. относно критериите на Общността за контролни пунктове и относно изменение на маршрутния план, посочен в приложението към Директива 91/628/EИО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2009/157/ЕО на Съвета от 30 ноември 2009 г. относно чистопородните разплодни животни от рода на едрия рогат добитък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 84/247/ЕИО на Комисията от 27 април 1984 г. относно определяне на критериите за признаване на организации и сдружения на животновъди, които водят или създават родословни книги за чистопородни разплодни животни от рода на едрия рогат добитък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 84/419/ЕИО на Комисията от 19 юли 1984 г. относно определяне на критериите за вписване на говеда в родословните книги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87/328/ЕИО на Съвета от 18 юни 1987 г. относно одобрението за развъждане на чистопородни разплодни животни от рода на едрия рогат добитък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96/463/ЕО на Съвета от 23 юли 1996 г. за определяне на референтния орган, отговарящ за сътрудничеството при унифицирането на методите за тестване и на оценяването на резултатите за чистопородни разплодни животни от рода на едрия рогат добитък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2005/379/ЕО на Комисията от 17 май 2005 г. относно сертификатите за произход и данните за чистопородни животни за разплод от рода на едрия рогат добитък и тяхната сперма, яйцеклетки и ембриони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 2006/427/ЕО на Комисията от 20 юни 2006 г. за определяне на методи за мониторинг върху продуктивността и методи за оценка на генетичната стойност на чистопородни разплодни животни от рода на едрия рогат добитък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88/661/ЕИО на Съвета от 19 декември 1988 г. относно приложимите зоотехнически стандарти за разплодните свине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 89/501/ЕИО на Комисията от 18 юли 1989 г. за определяне на критериите за одобрение и контрол на сдруженията на животновъди и развъдните организации, които създават или водят родословни книги за чистокръвни породи свине за разплод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 89/502/ЕИО на Комисията от 18 юли 1989 г. за определяне на критериите за вписване в родословни книги на чистокръвни свине за разплод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 89/503/ЕИО на Комисията от 18 юли 1989 г. относно сертификата за чистопородни свине за разплод, тяхната сперма, яйцеклетки и ембриони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 89/504/ЕИО на Комисията от 18 юли 1989 г. за определяне на критериите за одобрение и контрол на сдруженията на животновъди, развъдните организации и частните предприятия, които създават или водят регистри за хибридни породи свине за разплод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 89/505/ЕИО на Комисията от 18 юли 1989 г. за определяне на критериите за вписване в регистри на хибридни свине за разплод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 89/506/ЕИО на Комисията от 18 юли 1989 г. относно сертификата на хибридните свине за разплод, тяхната сперма, яйцеклетки и ембриони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 89/507/ЕИО на Комисията от 18 юли 1989 г. за определяне на методите за наблюдение и контрол на продуктивността и за оценка на генетичната стойност на чистокръвни и хибридни свине за разплод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90/118/ЕИО на Съвета от 5 март 1990 г. относно допускането на чистопородни разплодни свине за разплод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90/119/ЕИО на Съвета от 5 март 1990 г. относно допускането на хибридни разплодни свине за разплод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89/361/ЕИО на Съвета от 30 май 1989 г. относно чистопородните разплодни овце и кози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 90/254/ЕИО на Комисията от 10 май 1990 г. за определяне на критериите за одобрение на организациите и сдруженията на животновъди, които създават или водят родословни книги за чистопородни разплодни овце и кози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 90/255/ЕИО на Комисията от 10 май 1990 г. относно определяне на критериите относно вписването в родословни книги на чистопородни разплодни овце и кози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90/258/ЕИО на Комисията от 10 май 1990 г. за определяне на зоотехническите сертификати за чистопородни разплодни овце и кози, техните сперма, яйцеклетки и ембриони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92/353/ЕИО на Комисията от 11 юни 1992 г. за определяне на критерии за одобряване или признаване на организации и сдружения, които водят или създават родословни книги за регистрирани еднокопитни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92/354/ЕИО на Комисията от 11 юни 1992 г. за определяне на някои правила, имащи за цел осигуряване на координация между организациите и сдруженията, които водят или създават родословни книги на регистрирани еднокопитни животни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96/78/ЕО на Комисията от 10 януари 1996 г. за определяне на критериите за вписването и регистрацията на еднокопитни в родословните книги за целите на разплода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96/79/ЕО на Комисията от 12 януари 1996 г. относно определяне на зоотехническите сертификати за сперма, яйцеклетки и ембриони от регистрирани еднокопитни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63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 504/2008 на Комисията от 6 юни 2008 г. за прилагане на Директива 90/426/ЕИО и Директива 90/427/ЕИО на Съвета относно методите за идентификация на еднокопитни животни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90/428/ЕИО на Съвета от 26 юни 1990 г. относно търговията с еднокопитни животни, предназначени за състезания, и определянето на условията за участие в тези състезания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92/216/ЕИО на Комисията от 26 март 1992 г. за събиране на данни относно състезанията за еднокопитни животни, посочени в член 4, параграф 2 от Директива 90/428/ЕИО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91/174/ЕИО на Съвета от 25 март 1991 г. за определяне на зоотехническите и генеалогичните изисквания за търговията с чистопородни животни и за изменение на директиви 77/504/ЕИО и 90/425/ЕИО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</w:rPr>
              <w:t>Раздел 3 — Пускане на пазара на храни, фуражи и странични животински продукти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i/>
                <w:noProof/>
                <w:szCs w:val="24"/>
              </w:rPr>
            </w:pPr>
            <w:r>
              <w:rPr>
                <w:noProof/>
              </w:rPr>
              <w:t>Регламент (ЕО) № 852/2004 на Европейския парламент и на Съвета от 29 април 2004 г. относно хигиената на храните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i/>
                <w:noProof/>
                <w:szCs w:val="24"/>
              </w:rPr>
            </w:pPr>
            <w:r>
              <w:rPr>
                <w:noProof/>
              </w:rPr>
              <w:t>Регламент (EО) № 853/2004 на Европейския парламент и на Съвета от 29 април 2004 г. относно определяне на специфични хигиенни правила за храните от животински произход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 2074/2005 на Комисията от 5 декември 2005 г. за установяване на мерки за прилагане по отношение на някои продукти съгласно Регламент (ЕО) № 853/2004 на Европейския парламент и на Съвета и по отношение на организацията на официалния контрол съгласно Регламент (ЕО) № 854/2004 на Европейския парламент и на Съвета и Регламент (ЕО) № 882/2004 на Европейския парламент и на Съвета, за дерогиране от Регламент (ЕО) № 852/2004 на Европейския парламент и на Съвета и за изменение на Регламенти (ЕО) № 853/2004 и (ЕО) № 854/2004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208/2013 на Комисията от 11 март 2013 г. относно изискванията за проследяване на кълновете и на семената, предназначени за производство на кълнове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(ЕС) № 210/2013 на Комисията от 11 март 2013 г. относно одобрението на предприятия, произвеждащи кълнове, в съответствие с Регламент (ЕО) № 852/2004 на Европейския парламент и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(ЕС) № 211/2013 на Комисията от 11 март 2013 г. относно изискванията за сертифициране на вноса в Съюза на кълнове и семена, предназначени за производство на кълнове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(ЕС) № 579/2014 на Комисията от 28 май 2014 г. oтносно предоставяне на дерогация от някои разпоредби на приложение II към Регламент (ЕО) № 852/2004 на Европейския парламент и на Съвета по отношение на превозa на течни масла и мазнини по море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92/118/ЕИО на Съвета от 17 декември 1992 г. за определяне на ветеринарно-санитарните и здравните изисквания относно търговията и вноса в Общността на продукти, които не са подчинени по отношение на посочените изисквания на специалните правила на Общността, посочени в глава I от приложение А към Директива 89/662/ЕИО и по отношение на патогените на Директива 90/425/ЕИО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(ЕС) № 101/2013 на Комисията от 4 февруари 2013 г. относно употребата на млечна киселина за намаляване на повърхностното микробиологично замърсяване на кланични трупове на животни от рода на едрия рогат добитък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за изпълнение (ЕС) № 636/2014 на Комисията от 13 юни 2014 г. относно образец на сертификат за търговия с неодран едър дивеч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2006/677/EО на Комисията от 29 септември 2006 г. за създаване на насоките, които определят критериите за извършването на одити съгласно Регламент (ЕО) № 882/2004 на Европейския парламент и на Съвета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2007/363/ЕО на Комисията от 21 май 2007 г. относно насоките за подпомагане на държавите членки при изготвянето на единния интегриран многогодишен национален план за контрол, предвиден в Регламент (ЕО) № 882/2004 на Европейския парламент и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 152/2009 на Комисията от 27 януари 2009 г. за определяне на методите за вземане на проби и анализ за целите на официалния контрол на фуражите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 (ЕО) № 669/2009 на Комисията от 24 юли 2009 г. за прилагане на Регламент (ЕО) № 882/2004 на Европейския парламент и на Съвета по отношение на засиления официален контрол върху вноса на някои фуражи и храни от неживотински произход и за изменение на Решение 2006/504/ЕО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2008/654/ЕО на Комисията от 24 юли 2008 г. относно насоките за подпомагане на държавите членки при изготвянето на годишния доклад за единния интегриран многогодишен национален план за контрол, предвиден в Регламент (ЕО) № 882/2004 на Европейския парламент и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 xml:space="preserve">Регламент за изпълнение (ЕС) № 702/2013 на Комисията от 22 юли 2013 г. относно преходни разпоредби за прилагането на Регламент (ЕО) № 882/2004 на Европейския парламент и на Съвета по отношение на акредитирането на официалните лаборатории, които извършват официалните тестове за </w:t>
            </w:r>
            <w:r>
              <w:rPr>
                <w:i/>
                <w:noProof/>
              </w:rPr>
              <w:t>Trichinella</w:t>
            </w:r>
            <w:r>
              <w:rPr>
                <w:noProof/>
              </w:rPr>
              <w:t>, и за изменение на Регламент (ЕО) № 1162/2009 на Комисията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854/2004 на Европейския парламент и на Съвета от 29 април 2004 г. за определяне на специфичните правила за организирането на официален контрол върху продуктите от животински произход, предназначени за човешка консумация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2004/41/ЕО на Европейския парламент и на Съвета от 21 април 2004 г. за отмяна на някои директиви, отнасящи се до хигиената на хранитe и здравните условия при производството и пускането на пазара на някои продукти от животински произход, предназначени за консумация от човека, и за изменение на директиви 89/662/ЕИО и 92/118/ЕИО на Съвета и на Решение 95/408/ЕО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 470/2009 на Европейския парламент и на Съвета от 6 май 2009 г.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произход, за отмяна на Регламент (ЕИО) № 2377/90 на Съвета и за изменение на Директива 2001/82/ЕО на Европейския парламент и на Съвета и на Регламент (ЕО) № 726/2004 на Европейския парламент и на Съвета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strike/>
                <w:noProof/>
                <w:szCs w:val="24"/>
              </w:rPr>
            </w:pPr>
            <w:r>
              <w:rPr>
                <w:noProof/>
              </w:rPr>
              <w:t>Регламент (ЕО) № 2075/2005 на Комисията от 5 декември 2005 г. относно установяване на специфични правила за официалния контрол на трихинели (</w:t>
            </w:r>
            <w:r>
              <w:rPr>
                <w:i/>
                <w:noProof/>
              </w:rPr>
              <w:t>Trichinella</w:t>
            </w:r>
            <w:r>
              <w:rPr>
                <w:noProof/>
              </w:rPr>
              <w:t>) в месото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92/608/EИО на Съвета от 14 ноември 1992 г. за определяне на методи за анализ и изследване на топлинно обработеното мляко, предназначено за пряка консумация от човека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2002/226/EО на Комисията от 15 март 2002 г. за въвеждане на специален ветеринарно-санитарен контрол върху събирането и преработката на някои двучерупчести мекотели, съдържащи токсина ASP (</w:t>
            </w:r>
            <w:r>
              <w:rPr>
                <w:i/>
                <w:noProof/>
              </w:rPr>
              <w:t>amnesic shellfish poison</w:t>
            </w:r>
            <w:r>
              <w:rPr>
                <w:noProof/>
              </w:rPr>
              <w:t>) в количества, надвишаващи границата, определена с Директива 91/492/ЕИО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Регламент за изпълнение (ЕС) № 702/2013 на Комисията от 22 юли 2013 г. относно преходни разпоредби за прилагането на Регламент (ЕО) № 882/2004 на Европейския парламент и на Съвета по отношение на акредитирането на официалните лаборатории, които извършват официалните тестове за </w:t>
            </w:r>
            <w:r>
              <w:rPr>
                <w:i/>
                <w:noProof/>
              </w:rPr>
              <w:t>Trichinella</w:t>
            </w:r>
            <w:r>
              <w:rPr>
                <w:noProof/>
              </w:rPr>
              <w:t>, и за изменение на Регламент (ЕО) № 1162/2009 на Комисията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1069/2009 на Европейския парламент и на Съвета от 21 октомври 2009 г. за установяване на здравни правила относно странични животински продукти и производни продукти, непредназначени за консумация от човека и за отмяна на Регламент (ЕО) № 1774/2002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(ЕС) № 142/2011 на Комисията от 25 февруари 2011 г. за прилагане на Регламент (ЕО) № 1069/2009 на Европейския парламент и на Съвета за установяване на здравни правила относно странични животински продукти и производни продукти, непредназначени за консумация от човека, и за прилагане на Директива 97/78/ЕО на Съвета по отношение на някои проби и артикули, освободени от ветеринарни проверки на границата съгласно посочената директива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882/2004 на Европейския парламент и на Съвета от 29 април 2004 г.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183/2005 на Европейския парламент и на Съвета от 12 януари 2005 г. за определяне на изискванията за хигиена на фуражите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141/2007 на Комисията от 14 февруари 2007 г. относно изискванията за одобрение в съответствие с Регламент (ЕО) № 183/2005 на Европейския парламент и на Съвета на предприятия за фураж, произвеждащи или пускащи на пазара фуражни добавки от категорията „кокцидиостати и хистомоностати“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  <w:bookmarkStart w:id="4" w:name="_Toc394585665"/>
            <w:r>
              <w:rPr>
                <w:b/>
                <w:noProof/>
              </w:rPr>
              <w:t>Раздел 4 — Правила за безопасност на храните</w:t>
            </w:r>
            <w:bookmarkEnd w:id="4"/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i/>
                <w:noProof/>
                <w:szCs w:val="24"/>
              </w:rPr>
            </w:pPr>
            <w:r>
              <w:rPr>
                <w:noProof/>
              </w:rPr>
              <w:t xml:space="preserve">Регламент (ЕС) № 1169/2011 на Европейския парламент и на Съвета от 25 октомври 2011 г. за предоставянето на информация за храните на потребителите, за изменение на регламенти (ЕО) № 1924/2006 и (ЕО) № 1925/2006 на Европейския парламент и на Съвета и за отмяна на Директива 87/250/ЕИО на Комисията, Директива 90/496/ЕИО на Съвета, Директива 1999/10/ЕО на Комисията, Директива 2000/13/ЕО на Европейския парламент и на Съвета, директиви 2002/67/ЕО и 2008/5/ЕО на Комисията и на Регламент (ЕО) № 608/2004 на Комисията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1924/2006 на Европейския парламент и на Съвета от 20 декември 2006 г. относно хранителни и здравни претенции за храните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 2011/91/ЕС на Европейския парламент и на Съвета от 13 декември 2011 г. относно означенията или маркировките, идентифициращи партидата, към която принадлежи дадена храна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(ЕС) № 432/2012 на Комисията от 16 май 2012 г. за създаване на списък на разрешените здравни претенции за храни, различни от претенциите, които се отнасят до намаляване на риска от заболяване и до развитието и здравето на децата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 (ЕС) № 1047/2012 на Комисията от 8 ноември 2012 г. за изменение на Регламент (ЕО) № 1924/2006 във връзка със списъка на хранителните претенции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Решение за изпълнение 2013/63/ЕС на Комисията от 24 януари 2013 г. за приемане на насоки за прилагането на специфичните условия за здравни претенции, изложени в член 10 от Регламент (ЕО) № 1924/2006 на Европейския парламент и на Съвета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 (ЕС) № 851/2013 на Комисията от 3 септември 2013 г. за разрешаване на някои здравни претенции за храни, различни от претенциите, които се отнасят до намаляване на риска от заболяване и до развитието и здравето на децата, и за изменение на Регламент (ЕС) № 432/2012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 (ЕС) № 40/2014 на Комисията от 17 януари 2014 г. за разрешаване на здравна претенция за храни, различна от претенциите, които се отнасят до намаляване на риска от заболяване и до развитието и здравето на децата, и за изменение на Регламент (ЕС) № 432/2012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 1925/2006 на Европейския парламент и на Съвета от 20 декември 2006 г. относно влагането на витамини, минерали и някои други вещества в храните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 (ЕО) № 1170/2009 на Комисията от 30 ноември 2009 г. за изменение на Директива 2002/46/ЕО на Европейския парламент и на Съвета и Регламент (ЕО) № 1925/2006 на Европейския парламент и на Съвета по отношение на списъците с витамини и минерали и формите, под които те могат да се влагат в храни, включително и добавките към храните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1331/2008 на Европейския парламент и на Съвета от 16 декември 2008 г. за установяване на обща разрешителна процедура за добавките в храните, ензимите в храните и ароматизантите в храните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(ЕС) № 234/2011 на Комисията от 10 март 2011 г. за прилагане на Регламент (ЕО) № 1331/2008 на Европейския парламент и на Съвета за установяване на обща разрешителна процедура за добавките в храните, ензимите в храните и ароматизантите в храните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 1332/2008 на Европейския парламент и на Съвета от 16 декември 2008 г. относно ензимите в храните и за изменение на Директива 83/417/ЕИО на Съвета, Регламент (ЕО) № 1493/1999 на Съвета, Директива 2000/13/ЕО, Директива 2001/112/ЕО на Съвета и Регламент (ЕО) № 258/97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2009/32/ЕО на Европейския парламент и на Съвета от 23 април 2009 г. за сближаване на законодателствата на държавите членки относно екстракционните разтворители, използвани в производството на храни и съставките на храни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 2232/96 на Европейския парламент и на Съвета от 28 октомври 1996 г. за определяне на общностна процедура за ароматичните вещества, използвани или предназначени за влагане във или върху храни — член 1, член 2, член 3, параграфи 1 и 2, както е предвидено в член 6, параграф 2 от Регламент за изпълнение (ЕС) № 872/2012 на Комисията от 1 октомври 2012 г.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2065/2003 на Европейския парламент и на Съвета от 10 ноември 2003 г. относно пушилни ароматизанти, използвани или предназначени за влагане в или върху храни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 1334/2008 на Европейския парламент и на Съвета от 16 декември 2008 г. относно ароматизантите и определени хранителни съставки с ароматични свойства за влагане във или върху храни и за изменение на Регламент (ЕИО) № 1601/91 на Съвета, регламенти (ЕО) № 2232/96 и (ЕО) № 110/2008 и Директива 2000/13/ЕО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872/2012 на Комисията от 1 октомври 2012 г. за приемане на предвидения в Регламент (ЕО) № 2232/96 на Европейския парламент и на Съвета списък на ароматичните вещества, за въвеждането му в приложение I към Регламент (ЕО) № 1334/2008 на Европейския парламент и на Съвета и за отмяна на Регламент (ЕО) № 1565/2000 на Комисията и на Решение 1999/217/ЕО на Комисията.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ab/>
              <w:t>Регламент (ЕС) № 873/2012 на Комисията от 1 октомври 2012 г. относно преходните мерки, засягащи списъка на Съюза на ароматизантите и изходните материали, установен в приложение I към Регламент (ЕО) № 1334/2008 на Европейския парламент и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за изпълнение (ЕС) № 1321/2013 на Комисията от 10 декември 2013 г. за съставяне на списък на Съюза на първичните продукти за пушилни ароматизанти, разрешени за използване като такива във или върху храни и/или за производство на производни пушилни ароматизанти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82/711/ЕИО на Съвета от 18 октомври 1982 г. за установяване на основните правила, необходими за изпитване на миграцията на съставките на пластмасови материали и изделия, предназначени за контакт с храни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 (ЕС) № 10/2011 на Комисията от 14 януари 2011 г. относно материалите и предметите от пластмаси, предназначени за контакт с храни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 84/500/ЕИО на Съвета от 15 октомври 1984 г. за сближаване на законодателствата на държавите членки относно керамичните предмети, предназначени за контакт с храни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2007/42/ЕО на Комисията от 29 юни 2007 г. относно материалите и предметите, изработени от филм от регенерирана целулоза, предназначени за контакт с храни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ab/>
              <w:t>Директива 78/142/ЕИО на Съвета от 30 януари 1978 г. за сближаване на законодателствата на държавите членки относно материалите и предметите, които съдържат винилхлориден мономер и са предназначени за контакт с храни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2017 г. 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93/11/ЕИО на Комисията от 15 март 1993 г. за изпускане на N</w:t>
            </w:r>
            <w:r>
              <w:rPr>
                <w:noProof/>
              </w:rPr>
              <w:noBreakHyphen/>
              <w:t>нитрозамини и N-нитрозиращи вещества от биберони и залъгалки, произведени от еластомер или каучук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2017 г. 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 1895/2005 на Комисията от 18 ноември 2005 г. за ограничаване на употребата на определени епоксидни производни, използвани за производство на материали и предмети, предназначени за контакт с храни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 450/2009 на Комисията от 29 май 2009 г. относно активните и интелигентните материали и предмети, предназначени за контакт с храни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(ЕС) № 284/2011 на Комисията от 22 март 2011 г. за определяне на специфични условия и подробни процедури за вноса на пластмасови кухненски съдове и прибори от полиамид и меламин с произход или изпратени от Китайската народна република и специалния административен район Хонконг, Китай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за изпълнение (ЕС) № 321/2011 на Комисията от 1 април 2011 г. за изменение на Регламент (ЕС) № 10/2011 във връзка с ограничението по отношение на употребата на бисфенол А в пластмасови шишета за хранене на кърмачета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 (ЕО) № 282/2008 на Комисията от 27 март 2008 г. относно материали и предмети от рециклирана пластмаса, предназначени за контакт с храни, и за изменение на Регламент (ЕО) № 2023/2006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2002/46/ЕО на Европейския парламент и на Съвета от 10 юни 2002 г. за сближаване на законодателствата на държавите членки по отношение на добавките към храни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 (ЕС) № 609/2013 на Европейския парламент и на Съвета от 12 юни 2013 г. относно храните, предназначени за кърмачета и малки деца, храните за специални медицински цели и заместителите на целодневния хранителен прием за регулиране на телесното тегло и за отмяна на Директива 92/52/ЕИО на Съвета, директиви 96/8/ЕО, 1999/21/ЕО, 2006/125/ЕО и 2006/141/ЕО на Комисията, Директива 2009/39/ЕО на Европейския парламент и на Съвета и регламенти (ЕО) № 41/2009 и (ЕО) № 953/2009 на Комисията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Директива 2006/141/ЕО на Комисията от 22 декември 2006 г. относно храните за кърмачета и преходните храни и за изменение на Директива 1999/21/ЕО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 41/2009 на Комисията от 20 януари 2009 г. относно състава и етикетирането на храни, подходящи за употреба от хора, които имат непоносимост към глутен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 953/2009 на Комисията от 13 октомври 2009 г. относно веществата, които могат да се добавят за специални хранителни цели в храни за специфична хранителна употреба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92/2/ЕИО на Комисията от 13 януари 1992 г. за определяне на процедура за вземане на проби и за единен метод на Общността за анализ при официалния контрол на температурата на бързо замразени храни, предназначени за консумация от човека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 37/2005 на Комисията от 12 януари 2005 г. относно мониторинга на температурата в транспортните средства и съоръженията за складиране и съхраняване на бързозамразени храни, предназначени за консумация от човека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(ЕИО) № 315/93 на Съвета от 8 февруари 1993 г. за установяване на общностни процедури относно замърсителите в храните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Препоръка 2006/794/ЕО на Комисията от 16 ноември 2006 г. относно мониторинга на фоновите нива на диоксини, диоксиноподобни ПХБ и недиоксиноподобни ПХБ в храните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1881/2006 на Комисията от 19 декември 2006 г. за определяне на максимално допустимите количества на някои замърсители в храните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 333/2007 на Комисията от 28 март 2007 г. за определяне на методите за вземане на проби и анализ за официалния контрол върху съдържанието на олово, кадмий, живак, неорганичен калай, 3-MCPD и полициклични ароматни хидрокарбони в храни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Препоръка 2011/516/EС на Комисията от 23 август 2011 г. за намаляване на наличието на диоксини, фурани и ПХБ във фуражите и храните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(ЕС) № 589/2014 на Комисията от 2 юни 2014 г. за определяне на методи за вземане на проби и анализ за контрол на съдържанието на диоксини, диоксиноподобни полихлорирани бифенили (PCB) и недиоксиноподобни PCB в определени храни и за отмяна на Регламент (ЕС) № 252/2012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Препоръка 2013/165/EC на Комисията от 27 март 2013 г. относно наличието на Т-2 токсин и HT-2 токсин в зърнено-житните култури и зърнените продукти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Регламент (ЕО) № 258/97 на Европейския парламент и на Съвета от 27 януари 1997 г. относно нови храни и нови хранителни съставки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 1999/2/ЕО на Европейския парламент и на Съвета от 22 февруари 1999 г. за сближаване на законодателствата на държавите членки относно храните и хранителните съставки, които са обработени с йонизиращо лъчение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 1999/3/ЕО на Европейския парламент и на Съвета от 22 февруари 1999 г. относно съставянето на списък на Общността за храни и хранителни съставки, които са обработени с йонизиращо лъчение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2009/54/ЕО на Европейския парламент и на Съвета от 18 юни 2009 г. относно експлоатацията и предлагането на пазара на натурални минерални води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2003/40/ЕО на Комисията от 16 май 2003 г. за установяване на списъка, границите на концентрация и изискванията към етикетирането за съставките на натуралните минерални води и условията за употреба на обогатен с озон въздух за обработката на натурални минерални води и на изворни води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 (ЕС) № 115/2010 на Комисията от 9 февруари 2010 г. за определяне на условията за използване на активиран алуминиев оксид за отстраняване на флуорид от натурални минерални води и изворни води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  <w:bookmarkStart w:id="5" w:name="_Toc394585681"/>
            <w:r>
              <w:rPr>
                <w:b/>
                <w:noProof/>
              </w:rPr>
              <w:t>Раздел 5 — Специални правила за фуражите</w:t>
            </w:r>
            <w:bookmarkEnd w:id="5"/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 (ЕО) № 767/2009 на Европейския парламент и на Съвета от 13 юли 2009 г. относно пускането на пазара и употребата на фуражи, за изменение на Регламент (ЕО) № 1831/2003 на Европейския парламент и на Съвета, за отмяна на Директива 79/373/ЕИО на Съвета, Директива 80/511/ЕИО на Комисията, директиви 82/471/ЕИО, 83/228/ЕИО, 93/74/ЕИО, 93/113/ЕО и 96/25/ЕО на Съвета, както и на Решение 2004/217/ЕО на Комисията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 82/475/EИО на Комисията от 23 юни 1982 г. относно определяне на категориите фуражни суровини, които могат да бъдат използвани за етикетирането на комбинирани храни за домашни любимци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 2008/38/ЕО на Комисията от 5 март 2008 г. за съставяне на списък на предназначенията на фуражите със специфични хранителни цели (кодифицирана версия)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Препоръка 2011/25/EC на Комисията от 14 януари 2011 г. за установяване на насоки за разграничаването между фуражни суровини, фуражни добавки, биоциди и ветеринарни лекарствени продукти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(ЕС) № 68/2013 на Комисията от 16 януари 2013 г. относно каталога на фуражните суровини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 1876/2006 на Комисията от 18 декември 2006 г. относно временното и постоянно разрешение на някои добавки в храни за животни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 429/2008 на Комисията от 25 април 2008 г. относно подробни правила за прилагане на Регламент (ЕО) № 1831/2003 на Европейския парламент и на Съвета по отношение на подготовката и представянето на заявления и оценката и разрешаването на фуражни добавки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(ЕС) № 1270/2009 на Комисията от 21 декември 2009 г. относно безсрочното разрешаване на определени добавки във фуражите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(ЕС) № 892/2010 на Комисията от 8 октомври 2010 г. относно статуса на някои продукти по отношение на фуражните добавки, попадащи в обхвата на Регламент (ЕО) № 1831/2003 на Европейския парламент и на Съвета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Препоръка 2004/704/ЕО на Комисията от 11 октомври 2004 г. относно мониторинга на фоновите нива на диоксини, диоксиноподобни ПХБ и недиоксиноподобни ПХБ в храните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0"/>
              <w:jc w:val="center"/>
              <w:rPr>
                <w:rFonts w:eastAsia="Times New Roman"/>
                <w:b/>
                <w:noProof/>
                <w:szCs w:val="24"/>
              </w:rPr>
            </w:pPr>
            <w:bookmarkStart w:id="6" w:name="_Toc127327624"/>
            <w:bookmarkStart w:id="7" w:name="_Toc303008844"/>
            <w:r>
              <w:rPr>
                <w:b/>
                <w:noProof/>
              </w:rPr>
              <w:t>Раздел 6 — Фитосанитарни въпроси</w:t>
            </w:r>
            <w:bookmarkEnd w:id="6"/>
            <w:bookmarkEnd w:id="7"/>
            <w:r>
              <w:rPr>
                <w:b/>
                <w:i/>
                <w:noProof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2000/29/ЕО на Съвета от 8 май 2000 г.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 1756/2004 на Комисията от 11 октомври 2004 г. за определяне на подробните условия за необходимите доказателства и критерии за типа и равнището на намаляването на фитосанитарните проверки на някои растения, растителни продукти или други предмети, изброени в част Б на приложение V към Директива 2000/29/ЕО на Съвета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 2004/103/ЕО на Комисията от 7 октомври 2004 г. относно контрола за идентичност и проверките на фитосанитарното състояние на растенията, растителните продукти и други предмети, изброени в част Б от приложение V към Директива 2000/29/ЕО на Съвета, които могат да бъдат извършвани на място, различно от входния пункт на Общността, или на място в непосредствена близост до него и за определяне на условията, свързани с тези проверки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за изпълнение 2014/78/ЕС на Комисията от 17 юни 2014 г. за изменение на приложения I, II, III, IV и V към Директива 2000/29/ЕО на Съвета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за изпълнение 2014/83/ЕС на Комисията от 25 юни 2014 г. за изменение на приложения I, II, III, IV и V към Директива 2000/29/ЕО на Съвета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74/647/ЕИО на Съвета от 9 декември 1974 г. за борбата срещу листозавивачките по карамфила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2014/497/ЕС на Комисията от 23 юли 2014 г. относно мерките за предотвратяване на въвеждането и разпространението на </w:t>
            </w:r>
            <w:r>
              <w:rPr>
                <w:i/>
                <w:noProof/>
              </w:rPr>
              <w:t>Xylella fastidiosa</w:t>
            </w:r>
            <w:r>
              <w:rPr>
                <w:noProof/>
              </w:rPr>
              <w:t xml:space="preserve"> (Well et Raju) в Съюза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 2002/757/ЕО на Комисията от 19 септември 2002 г. относно временни извънредни фитосанитарни мерки за предотвратяване на въвеждането и разпространението в Общността на </w:t>
            </w:r>
            <w:r>
              <w:rPr>
                <w:i/>
                <w:noProof/>
              </w:rPr>
              <w:t>Phytophthora ramorum</w:t>
            </w:r>
            <w:r>
              <w:rPr>
                <w:noProof/>
              </w:rPr>
              <w:t xml:space="preserve"> Werres, De Cock &amp; Man in 't Veld sp. nov.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 2006/464/ЕО на Комисията от 27 юни 2006 г. за спешните временни мерки, чиято цел е да се избегне внасянето и разпространението в Общността на организма </w:t>
            </w:r>
            <w:r>
              <w:rPr>
                <w:i/>
                <w:noProof/>
              </w:rPr>
              <w:t>Dryocosmus kuriphilus</w:t>
            </w:r>
            <w:r>
              <w:rPr>
                <w:noProof/>
              </w:rPr>
              <w:t xml:space="preserve"> Yasumatsu.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 2003/766/ЕО на Комисията от 24 октомври 2003 г. относно някои спешни мерки за предотвратяване разпространението в Общността на </w:t>
            </w:r>
            <w:r>
              <w:rPr>
                <w:i/>
                <w:noProof/>
              </w:rPr>
              <w:t>Diabrotica virgifera</w:t>
            </w:r>
            <w:r>
              <w:rPr>
                <w:noProof/>
              </w:rPr>
              <w:t xml:space="preserve"> Le Conte</w:t>
            </w:r>
          </w:p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0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Директива за изпълнение 2014/19/ЕС на Комисията от 6 февруари 2014 г. за изменение на приложение I към Директива 2000/29/ЕО на Съвета относно защитните мерки срещу въвеждането в Общността на вредители по растенията или растителните продукти и срещу тяхното разпространение в Общността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за изпълнение (ЕС) 2015/749 на Комисията от 7 май 2015 г. за отмяна на Решение 2007/410/ЕО относно мерки за предотвратяване на въвеждането и разпространението в Общността на Potato spindle tuber viroid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 2008/840/ЕО на Комисията от 7 ноември 2008 г. относно неотложни мерки за предотвратяване на въвеждането и разпространението в рамките на Общността на </w:t>
            </w:r>
            <w:r>
              <w:rPr>
                <w:i/>
                <w:noProof/>
              </w:rPr>
              <w:t>Anoplophora chinensis</w:t>
            </w:r>
            <w:r>
              <w:rPr>
                <w:noProof/>
              </w:rPr>
              <w:t xml:space="preserve"> (Forster)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2012/270/ЕС на Комисията от 16 май 2012 г. относно неотложни мерки за предотвратяване на въвеждането и разпространението в рамките на Съюза на </w:t>
            </w:r>
            <w:r>
              <w:rPr>
                <w:i/>
                <w:noProof/>
              </w:rPr>
              <w:t>Epitrix cucumeris</w:t>
            </w:r>
            <w:r>
              <w:rPr>
                <w:noProof/>
              </w:rPr>
              <w:t xml:space="preserve"> (Harris), </w:t>
            </w:r>
            <w:r>
              <w:rPr>
                <w:i/>
                <w:noProof/>
              </w:rPr>
              <w:t>Epitrix similaris</w:t>
            </w:r>
            <w:r>
              <w:rPr>
                <w:noProof/>
              </w:rPr>
              <w:t xml:space="preserve"> (Gentner), </w:t>
            </w:r>
            <w:r>
              <w:rPr>
                <w:i/>
                <w:noProof/>
              </w:rPr>
              <w:t>Epitrix subcrinita</w:t>
            </w:r>
            <w:r>
              <w:rPr>
                <w:noProof/>
              </w:rPr>
              <w:t xml:space="preserve"> (Lec.) и </w:t>
            </w:r>
            <w:r>
              <w:rPr>
                <w:i/>
                <w:noProof/>
              </w:rPr>
              <w:t>Epitrix tuberis</w:t>
            </w:r>
            <w:r>
              <w:rPr>
                <w:noProof/>
              </w:rPr>
              <w:t xml:space="preserve"> (Gentner)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 2006/133/ЕО на Комисията от 13 февруари 2006 г. относно изискване към държавите членки временно да вземат допълнителни мерки срещу разпространението на </w:t>
            </w:r>
            <w:r>
              <w:rPr>
                <w:i/>
                <w:noProof/>
              </w:rPr>
              <w:t>Bursaphelenchus xylophilus</w:t>
            </w:r>
            <w:r>
              <w:rPr>
                <w:noProof/>
              </w:rPr>
              <w:t xml:space="preserve"> (Steiner et Buhrer) Nickle </w:t>
            </w:r>
            <w:r>
              <w:rPr>
                <w:i/>
                <w:noProof/>
              </w:rPr>
              <w:t>et al.</w:t>
            </w:r>
            <w:r>
              <w:rPr>
                <w:noProof/>
              </w:rPr>
              <w:t xml:space="preserve"> (нематод по боровата дървесина) по отношение на области в Португалия, различни от тези, в които е известно, че заболяването не се среща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2012/535/ЕС на Комисията от 26 септември 2012 г. относно спешни мерки за предотвратяване на разпространението в рамките на Съюза на </w:t>
            </w:r>
            <w:r>
              <w:rPr>
                <w:i/>
                <w:noProof/>
              </w:rPr>
              <w:t>Bursaphelenchus xylophilus</w:t>
            </w:r>
            <w:r>
              <w:rPr>
                <w:noProof/>
              </w:rPr>
              <w:t xml:space="preserve"> (Steiner et Buhrer) Nickle </w:t>
            </w:r>
            <w:r>
              <w:rPr>
                <w:i/>
                <w:noProof/>
              </w:rPr>
              <w:t>et al.</w:t>
            </w:r>
            <w:r>
              <w:rPr>
                <w:noProof/>
              </w:rPr>
              <w:t xml:space="preserve"> (нематод по боровата дървесина)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2012/138/ЕС на Комисията от 1 март 2012 г. относно неотложни мерки за предотвратяване на въвеждането и разпространението в рамките на Съюза на </w:t>
            </w:r>
            <w:r>
              <w:rPr>
                <w:i/>
                <w:noProof/>
              </w:rPr>
              <w:t>Anoplophora chinensis</w:t>
            </w:r>
            <w:r>
              <w:rPr>
                <w:noProof/>
              </w:rPr>
              <w:t xml:space="preserve"> (Forster)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 690/2008 на Комисията от 4 юли 2008 г. относно признаване на защитени зони в Общността, изложени на специфични фитосанитарни рискове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93/50/ЕИО на Комисията oт 24 юни 1993 г. за определяне на някои растения, невключени в списъка на приложение V, част А към Директива 77/93/ЕИО на Съвета, чиито производители или складове или спедиторски центрове, разположени в зоните на производство на тези растения, трябва да бъдат вписани в официален регистър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2004/416/ЕО на Комисията от 29 април 2004 г. относно спешни мерки по отношение на някои цитрусови плодове с произход от Бразилия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 2006/473/ЕО на Комисията от 5 юли 2006 г. за признаване на някои трети страни и на някои региони от трети страни за незасегнати от </w:t>
            </w:r>
            <w:r>
              <w:rPr>
                <w:i/>
                <w:noProof/>
              </w:rPr>
              <w:t>Xanthomonas campestris</w:t>
            </w:r>
            <w:r>
              <w:rPr>
                <w:noProof/>
              </w:rPr>
              <w:t xml:space="preserve"> (всички патогенни за цитрусите щамове), </w:t>
            </w:r>
            <w:r>
              <w:rPr>
                <w:i/>
                <w:noProof/>
              </w:rPr>
              <w:t>Cercospora angolensis</w:t>
            </w:r>
            <w:r>
              <w:rPr>
                <w:noProof/>
              </w:rPr>
              <w:t xml:space="preserve"> Carv. et Mendes или </w:t>
            </w:r>
            <w:r>
              <w:rPr>
                <w:i/>
                <w:noProof/>
              </w:rPr>
              <w:t>Guignardia citricarpa</w:t>
            </w:r>
            <w:r>
              <w:rPr>
                <w:noProof/>
              </w:rPr>
              <w:t xml:space="preserve"> Kiely (всички патогенни за цитрусите щамове)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2012/756/ЕС на Комисията от 5 декември 2012 г. относно мерки за предотвратяване на въвеждането и разпространението в рамките на Съюза на </w:t>
            </w:r>
            <w:r>
              <w:rPr>
                <w:i/>
                <w:noProof/>
              </w:rPr>
              <w:t>Pseudomonas syringae</w:t>
            </w:r>
            <w:r>
              <w:rPr>
                <w:noProof/>
              </w:rPr>
              <w:t xml:space="preserve"> pv. </w:t>
            </w:r>
            <w:r>
              <w:rPr>
                <w:i/>
                <w:noProof/>
              </w:rPr>
              <w:t>аctinidiae</w:t>
            </w:r>
            <w:r>
              <w:rPr>
                <w:noProof/>
              </w:rPr>
              <w:t xml:space="preserve"> Takikawa, Serizawa, Ichikawa, Tsuyumu &amp; Goto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за изпълнение 2013/92/ЕС на Комисията от 18 февруари 2013 г. относно надзора, фитосанитарните проверки и мерките по отношение на дървения опаковъчен материал, действително използван при транспорта на определени стоки с произход от Китай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за изпълнение 2014/237/ЕС на Комисията от 24 април 2014 г. относно мерки за предотвратяване на въвеждането и разпространението в Съюза на вредители по отношение на някои плодове и зеленчуци с произход от Индия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Решение за изпълнение 2014/422/ЕС на Комисията от 2 юли 2014 г. за определяне на мерки по отношение на някои цитрусови плодове с произход от Южна Африка за предотвратяване на въвеждането и разпространението в рамките на Съюза на </w:t>
            </w:r>
            <w:r>
              <w:rPr>
                <w:i/>
                <w:noProof/>
              </w:rPr>
              <w:t>Phyllosticta citricarpa</w:t>
            </w:r>
            <w:r>
              <w:rPr>
                <w:noProof/>
              </w:rPr>
              <w:t xml:space="preserve"> (McAlpine) Van der Aa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98/22/ЕО на Комисията от 15 април 1998 г. за определяне на минималните условия за осъществяването на фитосанитарни проверки в Общността на инспекционни пунктове, различни от тези, разположени на местоназначението, върху растения, растителни продукти или други предмети, идващи от трети страни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2008/61/ЕО на Комисията от 17 юни 2008 г. за определяне на условията, при които някои вредители, растения, растителни продукти и други предмети, посочени в приложения I—V към Директива 2000/29/ЕО на Съвета, могат да бъдат въвеждани или придвижвани в рамките на Общността или в някои нейни защитени зони за опити или научни цели, както и за работа по сортови селекции (кодифицирана версия)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(ЕО) № 1107/2009 на Европейския парламент и на Съвета от 21 октомври 2009 г. относно пускането на пазара на продукти за растителна защита и за отмяна на директиви 79/117/ЕИО и 91/414/ЕИО на Съвета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2020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за изпълнение (ЕС) № 540/2011 на Комисията от 25 май 2011 г. за прилагане на Регламент (ЕО) № 1107/2009 на Европейския парламент и на Съвета по отношение на списъка на одобрените активни вещества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(ЕC) № 544/2011 на Комисията от 10 юни 2011 г. за прилагане на Регламент (ЕО) № 1107/2009 на Европейския парламент и на Съвета по отношение на изискванията за данни за активните вещества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 (ЕC) № 545/2011 на Комисията от 10 юни 2011 г. за прилагане на Регламент (ЕО) № 1107/2009 на Европейския парламент и на Съвета по отношение на изискванията за данни за продукти за растителна защита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Регламент (ЕС) № 546/2011 на Комисията от 10 юни 2011 г. за прилагане на Регламент (ЕО) № 1107/2009 на Европейския парламент и на Съвета по отношение на единните принципи за оценка и разрешаване на продукти за растителна защита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Регламент (ЕС) № 547/2011 на Комисията от 8 юни 2011 г. за прилагане на Регламент (ЕО) № 1107/2009 на Европейския парламент и на Съвета по отношение на изискванията за етикетиране на продукти за растителна защита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2009/128/ЕО на Европейския парламент и на Съвета от 21 октомври 2009 г. за създаване на рамка за действие на Общността за постигане на устойчива употреба на пестициди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2005/834/ЕО на Съвета от 8 ноември 2005 г. относно еквивалентността на проверките по отношение на практиките за сортоподдържане, извършвани в трети страни, и за изменение на Решение 2003/17/ЕО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2004/29/ЕO на Комисията от 4 март 2004 г. относно определяне на характеристиките и минималните условия за изпитване на сортовете лози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 1999/105/ЕО на Съвета от 22 декември 1999 г. относно търговията с горски репродуктивен материал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ab/>
              <w:t>Регламент (ЕО) № 1597/2002 на Комисията от 6 септември 2002 г. за определяне на подробни правила за прилагане на Директива 1999/105/ЕО на Съвета по отношение на образеца на националните списъци на базов източник, предназначен за производство на горски репродуктивен материал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Регламент (ЕО) № 2301/2002 на Комисията от 20 декември 2002 г. за определяне на подробни правила за прилагане на Директива 1999/105/ЕО на Съвета по отношение на определението за малки количества семена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ab/>
              <w:t>Регламент (EО) № 69/2004 на Комисията от 15 януари 2004 г. за допускането на дерогации от някои разпоредби на Директива 1999/105/ЕО на Съвета по отношение на търговията с горски репродуктивен материал, добиван от някои базови източници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2008/971/ЕО на Съвета от 16 декември 2008 г. относно еквивалентността на горския репродуктивен материал, произведен в трети страни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 2008/989/ЕО на Комисията от 23 декември 2008 г. за разрешаване на държавите членки да вземат решения относно еквивалентността на гаранциите, давани от горския репродуктивен материал, внасян от някои трети страни, в съответствие с Директива 1999/105/ЕО на Съвета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Препоръка 2012/90/EС на Комисията от 14 февруари 2012 г. относно насоки за представянето на информацията за идентифициране на партиди от горски репродуктивен материал и на информацията, която трябва да се съдържа в етикета или документа на доставчика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 2003/91/EО на Комисията от 6 октомври 2003 г. относно установяването на мерки за прилагане на член 7 от Директива 2002/55/ЕО на Съвета по отношение на минимално изискваните характеристики, които следва да бъдат обхванати от изследването, и минималните условия за изследване на някои сортове зеленчукови видове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за изпълнение 2014/20/ЕС на Комисията от 6 февруари 2014 г. за определяне на класове на Съюза за базов и сертифициран посадъчен материал от картофи и на приложимите за тях условия и обозначения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за изпълнение 2014/21/ЕС на Комисията от 6 февруари 2014 г. за определяне на минимални условия и класове на Съюза за предбазов посадъчен материал от картофи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 2008/62/ЕО на Комисията от 20 юни 2008 г. уреждаща някои дерогации за признаване на земеделски местни видове и сортове, които са естествено адаптирани към местните и регионалните условия и са заплашени от генетична ерозия, и търговията със семена и посадъчен материал от картофи на тези местни видове и сортове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tabs>
                <w:tab w:val="center" w:pos="1418"/>
                <w:tab w:val="left" w:pos="1985"/>
                <w:tab w:val="right" w:pos="2997"/>
                <w:tab w:val="left" w:pos="3087"/>
              </w:tabs>
              <w:autoSpaceDE w:val="0"/>
              <w:autoSpaceDN w:val="0"/>
              <w:adjustRightInd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Директива 2009/145/ЕО на Комисията от 26 ноември 2009 г. за предоставяне на някои дерогации относно признаването на зеленчукови местни видове и сортове, които са традиционно отглеждани в определени местности и райони и са застрашени от генетична ерозия, и на зеленчукови сортове без истинска стойност за производството на търговски култури, но развивани с цел отглеждане при специални условия, както и относно търговията със семена от посочените местни видове и сортове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97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0"/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Раздел 7 — Генетично модифицирани организми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Директива 2001/18/ЕО на Европейския парламент и на Съвета от 12 март 2001 г. относно съзнателното освобождаване на генетично модифицирани организми в околната среда и за отмяна на Директива 90/220/ЕИО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В съответствие с посоченото в приложение ХVI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Решение 2002/811/EО на Съвета от 3 октомври 2002 г. за създаване на обяснителни бележки, които да допълнят приложение VII към Директива 2001/18/ЕО на Европейския парламент и на Съвета относно съзнателното освобождаване на генетично модифицирани организми в околната среда и за отмяна на Директива 90/220/ЕИО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Решение 2002/812/EО на Съвета от 3 октомври 2002 г. за установяване съгласно Директива 2001/18/ЕО на Европейския парламент и на Съвета на формуляр за обобщена информация, свързан с пускането на пазара на генетично модифицирани организми като продукти или в продукти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1946/2003 на Европейския парламент и на Съвета от 15 юли 2003 г. относно трансграничното придвижване на генетично модифицирани организми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 1829/2003 на Европейския парламент и на Съвета от 22 септември 2003 г. относно генетично модифицираните храни и фуражи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641/2004 на Комисията от 6 април 2004 г. за определяне на подробни правила за прилагане на Регламент (ЕО) № 1829/2003 на Европейския парламент и на Съвета относно заявлението за разрешение за нови генетично модифицирани храни и фуражи, нотификацията на съществуващи продукти, инцидентното или технически неизбежното наличие на генетично модифициран материал, който е бил предмет на оценяване на съществуващия риск и е получил благоприятно становище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Регламент (ЕО) № 1830/2003 на Европейския парламент и на Съвета от 22 септември 2003 г. относно проследяването и етикирането на генетично модифицирани организми и проследяването на храни и фуражи от генетично модифицирани продукти и за изменение на Директива 2001/18/ЕО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noProof/>
                <w:szCs w:val="24"/>
              </w:rPr>
            </w:pPr>
            <w:r>
              <w:rPr>
                <w:noProof/>
              </w:rPr>
              <w:t>Препоръка 2010/C 200/01 на Комисията от 13 юли 2010 г. относно насоките за разработване на национални мерки за съвместно съществуване на генетично модифицирани култури с традиционните и биологичните земеделски култури с цел избягване на случайното наличие на ГМО в тях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Директива 2009/41/ЕО на Европейския парламент и на Съвета от 6 май 2009 г. относно работата с генетично модифицирани микроорганизми в контролирани условия (преработена)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В съответствие с посоченото в приложение ХVI</w:t>
            </w:r>
            <w:r>
              <w:rPr>
                <w:noProof/>
                <w:highlight w:val="yellow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Решение 2009/770/EО на Комисията от 13 октомври 2009 г. за утвърждаване на стандартните формуляри за отчитане на резултатите от наблюдението на съзнателното освобождаване в околната среда на генетично модифицирани организми като продукти или като съставка на продукти с цел пускане на пазара съгласно Директива 2001/18/ЕО на Европейския парламент и на Съвета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97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b/>
                <w:noProof/>
              </w:rPr>
              <w:t>Раздел 8 — Ветеринарни лекарствени продукти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bCs/>
                <w:noProof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t>Директива 2001/82/ЕО на Европейския парламент и на Съвета от 6 ноември 2001 г. относно кодекса на Общността за ветеринарните лекарствени продукти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В съответствие с посоченото в приложение ХVI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bCs/>
                <w:noProof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t>Директива 2004/28/ЕО на Европейския парламент и на Съвета от 31 март 2004 г. за изменение на Директива 2001/82/ЕО относно Кодекса на Общността за ветеринарните лекарствени продукти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2019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bCs/>
                <w:noProof/>
                <w:szCs w:val="24"/>
                <w:highlight w:val="yellow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t>Регламент (ЕС) № 37/2010 на Комисията от 22 декември 2009 г. относно фармакологичноактивните субстанции и тяхната класификация по отношение на максимално допустимите стойности на остатъчните количества в храните от животински произход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2018 г.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  <w:shd w:val="clear" w:color="auto" w:fill="FFFFFF"/>
              </w:rPr>
            </w:pPr>
            <w:r>
              <w:rPr>
                <w:noProof/>
              </w:rPr>
              <w:t>Директива 2006/130/ЕО на Комисията от 11 декември 2006 г. за прилагане на Директива 2001/82/ЕО на Европейския парламент и на Съвета по отношение на установяването на критерии за изключване на някои ветеринарни лекарствени продукти за животни за производство на храни от изискването за ветеринарна рецепта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В съответствие с посоченото в приложение ХVI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noProof/>
                <w:szCs w:val="24"/>
                <w:shd w:val="clear" w:color="auto" w:fill="FFFFFF"/>
              </w:rPr>
            </w:pPr>
            <w:r>
              <w:rPr>
                <w:noProof/>
              </w:rPr>
              <w:t>Регламент (ЕО) № 1662/95 на Комисията от 7 юли 1995 г. за установяване на условията и реда за прилагане на общностните процедури за вземане на решения по отношение на разрешителните за пускане на пазара на лекарствени продукти за хуманна или ветеринарна употреба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В съответствие с посоченото в приложение ХVI</w:t>
            </w:r>
          </w:p>
        </w:tc>
      </w:tr>
      <w:tr>
        <w:trPr>
          <w:trHeight w:val="20"/>
        </w:trPr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0" w:after="200"/>
              <w:rPr>
                <w:rFonts w:eastAsia="Times New Roman"/>
                <w:bCs/>
                <w:noProof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t>Регламент (ЕО) № 469/2009 на Европейския парламент и на Съвета от 6 май 2009 г. относно сертификата за допълнителна закрила на лекарствените продукти (кодифицирана версия)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>
            <w:pPr>
              <w:widowControl w:val="0"/>
              <w:spacing w:before="40" w:after="40"/>
              <w:jc w:val="center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В съответствие с посоченото в приложение ХVI</w:t>
            </w:r>
          </w:p>
        </w:tc>
      </w:tr>
    </w:tbl>
    <w:p>
      <w:pPr>
        <w:widowControl w:val="0"/>
        <w:spacing w:before="0" w:after="0" w:line="360" w:lineRule="auto"/>
        <w:jc w:val="left"/>
        <w:rPr>
          <w:caps/>
          <w:noProof/>
        </w:rPr>
      </w:pPr>
      <w:r>
        <w:rPr>
          <w:noProof/>
        </w:rPr>
        <w:t>“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8341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DB022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6489B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FD012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1C280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08AA6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53E8C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E80D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4-11 10:30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CB0757264AC454DBC91CCE0FD99AAFC"/>
    <w:docVar w:name="LW_CROSSREFERENCE" w:val="&lt;UNUSED&gt;"/>
    <w:docVar w:name="LW_DocType" w:val="ANNEX"/>
    <w:docVar w:name="LW_EMISSION" w:val="18.4.2016"/>
    <w:docVar w:name="LW_EMISSION_ISODATE" w:val="2016-04-1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5?\u1086?\u1076?\u1082?\u1086?\u1084?\u1080?\u1090?\u1077?\u1090?\u1072? \u1087?\u1086? \u1089?\u1072?\u1085?\u1080?\u1090?\u1072?\u1088?\u1085?\u1080?\u1090?\u1077? \u1080? \u1092?\u1080?\u1090?\u1086?\u1089?\u1072?\u1085?\u1080?\u1090?\u1072?\u1088?\u1085?\u1080?\u1090?\u1077? \u1084?\u1077?\u1088?\u1082?\u1080?, \u1089?\u1098?\u1079?\u1076?\u1072?\u1076?\u1077?\u1085? \u1087?\u1086? \u1089?\u1080?\u1083?\u1072?\u1090?\u1072? \u1085?\u1072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2?\u1086?\u1083?\u1076?\u1086?\u1074?\u1072?, \u1086?\u1090? \u1076?\u1088?\u1091?\u1075?\u1072? \u1089?\u1090?\u1088?\u1072?\u1085?\u1072?"/>
    <w:docVar w:name="LW_OBJETACTEPRINCIPAL.CP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5?\u1086?\u1076?\u1082?\u1086?\u1084?\u1080?\u1090?\u1077?\u1090?\u1072? \u1087?\u1086? \u1089?\u1072?\u1085?\u1080?\u1090?\u1072?\u1088?\u1085?\u1080?\u1090?\u1077? \u1080? \u1092?\u1080?\u1090?\u1086?\u1089?\u1072?\u1085?\u1080?\u1090?\u1072?\u1088?\u1085?\u1080?\u1090?\u1077? \u1084?\u1077?\u1088?\u1082?\u1080?, \u1089?\u1098?\u1079?\u1076?\u1072?\u1076?\u1077?\u1085? \u1087?\u1086? \u1089?\u1080?\u1083?\u1072?\u1090?\u1072? \u1085?\u1072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2?\u1086?\u1083?\u1076?\u1086?\u1074?\u1072?, \u1086?\u1090? \u1076?\u1088?\u1091?\u1075?\u1072? \u1089?\u1090?\u1088?\u1072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211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27</Pages>
  <Words>9444</Words>
  <Characters>51286</Characters>
  <Application>Microsoft Office Word</Application>
  <DocSecurity>0</DocSecurity>
  <Lines>1282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2016-04-04T06:54:00Z</dcterms:created>
  <dcterms:modified xsi:type="dcterms:W3CDTF">2016-04-11T08:30:00Z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