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4D64484CCF4887B7A6156C97B4FE70" style="width:450.8pt;height:306.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DRAFT AMENDING BUDGET N° 2</w:t>
      </w:r>
      <w:r>
        <w:rPr>
          <w:noProof/>
        </w:rPr>
        <w:br/>
        <w:t>TO THE GENERAL BUDGET 2016</w:t>
      </w:r>
    </w:p>
    <w:p>
      <w:pPr>
        <w:pStyle w:val="Titreobjet"/>
        <w:rPr>
          <w:noProof/>
        </w:rPr>
      </w:pPr>
      <w:r>
        <w:rPr>
          <w:noProof/>
        </w:rPr>
        <w:t xml:space="preserve">ENTERING THE SURPLUS OF THE FINANCIAL YEAR 2015 </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pPr>
        <w:rPr>
          <w:noProof/>
        </w:rPr>
      </w:pPr>
      <w:r>
        <w:rPr>
          <w:noProof/>
        </w:rPr>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rPr>
          <w:rFonts w:cs="Arial"/>
          <w:noProof/>
          <w:szCs w:val="18"/>
        </w:rPr>
      </w:pPr>
      <w:r>
        <w:rPr>
          <w:noProof/>
        </w:rPr>
        <w:t>the Regulation (EU, Euratom) No 966/2012 of the European Parliament and of the Council of 25 October 2012 on the Financial Regulation applicable to the general budget of the Union</w:t>
      </w:r>
      <w:r>
        <w:rPr>
          <w:rStyle w:val="FootnoteReference"/>
          <w:noProof/>
        </w:rPr>
        <w:footnoteReference w:id="2"/>
      </w:r>
      <w:r>
        <w:rPr>
          <w:noProof/>
        </w:rPr>
        <w:t>, and in particular Articles 18(3) and 41 thereof,</w:t>
      </w:r>
    </w:p>
    <w:p>
      <w:pPr>
        <w:pStyle w:val="Tiret0"/>
        <w:rPr>
          <w:noProof/>
        </w:rPr>
      </w:pPr>
      <w:r>
        <w:rPr>
          <w:noProof/>
        </w:rPr>
        <w:t>the general budget of the European Union for the financial year 2016 adopted on 23 November 2015</w:t>
      </w:r>
      <w:r>
        <w:rPr>
          <w:rStyle w:val="FootnoteReference"/>
          <w:noProof/>
        </w:rPr>
        <w:footnoteReference w:id="3"/>
      </w:r>
      <w:r>
        <w:rPr>
          <w:noProof/>
        </w:rPr>
        <w:t>,</w:t>
      </w:r>
    </w:p>
    <w:p>
      <w:pPr>
        <w:pStyle w:val="Tiret0"/>
        <w:rPr>
          <w:noProof/>
        </w:rPr>
      </w:pPr>
      <w:r>
        <w:rPr>
          <w:noProof/>
        </w:rPr>
        <w:t>the amending budget No 1/2016</w:t>
      </w:r>
      <w:r>
        <w:rPr>
          <w:rStyle w:val="FootnoteReference"/>
          <w:noProof/>
        </w:rPr>
        <w:footnoteReference w:id="4"/>
      </w:r>
      <w:r>
        <w:rPr>
          <w:noProof/>
        </w:rPr>
        <w:t>, adopted on 14 April 2016,</w:t>
      </w:r>
    </w:p>
    <w:p>
      <w:pPr>
        <w:jc w:val="both"/>
        <w:rPr>
          <w:noProof/>
        </w:rPr>
      </w:pPr>
      <w:r>
        <w:rPr>
          <w:noProof/>
        </w:rPr>
        <w:t>The European Commission hereby presents to the European Parliament and to the Council the Draft Amending Budget No 2 to the 2016 budget.</w:t>
      </w:r>
    </w:p>
    <w:p>
      <w:pPr>
        <w:rPr>
          <w:b/>
          <w:noProof/>
          <w:u w:val="single"/>
        </w:rPr>
      </w:pPr>
    </w:p>
    <w:p>
      <w:pPr>
        <w:jc w:val="both"/>
        <w:rPr>
          <w:b/>
          <w:noProof/>
          <w:u w:val="single"/>
          <w:lang w:eastAsia="ko-KR"/>
        </w:rPr>
      </w:pPr>
      <w:r>
        <w:rPr>
          <w:b/>
          <w:noProof/>
          <w:u w:val="single"/>
          <w:lang w:eastAsia="ko-KR"/>
        </w:rPr>
        <w:t>CHANGES TO THE STATEMENT OF REVENUE AND EXPENDITURE BY SECTION</w:t>
      </w:r>
    </w:p>
    <w:p>
      <w:pPr>
        <w:rPr>
          <w:b/>
          <w:noProof/>
          <w:u w:val="single"/>
          <w:lang w:eastAsia="ko-KR"/>
        </w:rPr>
      </w:pPr>
    </w:p>
    <w:p>
      <w:pPr>
        <w:jc w:val="both"/>
        <w:rPr>
          <w:noProof/>
          <w:lang w:eastAsia="ko-KR"/>
        </w:rPr>
      </w:pPr>
      <w:r>
        <w:rPr>
          <w:noProof/>
        </w:rPr>
        <w:t>The changes to the statement of revenue and expenditure by section are available on EUR-Lex (</w:t>
      </w:r>
      <w:hyperlink r:id="rId22"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134" w:right="1417" w:bottom="1134" w:left="1417" w:header="709" w:footer="709" w:gutter="0"/>
          <w:cols w:space="708"/>
          <w:docGrid w:linePitch="360"/>
        </w:sectPr>
      </w:pPr>
    </w:p>
    <w:p>
      <w:pPr>
        <w:pStyle w:val="Exposdesmotifstitre"/>
        <w:rPr>
          <w:noProof/>
        </w:rPr>
      </w:pPr>
      <w:bookmarkStart w:id="2" w:name="_Toc194220890"/>
      <w:bookmarkStart w:id="3" w:name="_Toc294675429"/>
      <w:bookmarkStart w:id="4" w:name="_Toc378575883"/>
      <w:r>
        <w:rPr>
          <w:noProof/>
        </w:rPr>
        <w:t>EXPLANATORY MEMORANDUM</w:t>
      </w:r>
    </w:p>
    <w:p>
      <w:pPr>
        <w:jc w:val="both"/>
        <w:rPr>
          <w:noProof/>
          <w:lang w:val="en-US"/>
        </w:rPr>
      </w:pPr>
      <w:r>
        <w:rPr>
          <w:noProof/>
        </w:rPr>
        <w:t>The present Draft Amending Budget (DAB) No 2/2016 is intended to enter in the budget 2016 the surplus resulting from the implementation of the budget year 2015. As provided for in the Financial Regulation applicable to the general budget of the Union</w:t>
      </w:r>
      <w:r>
        <w:rPr>
          <w:noProof/>
          <w:vertAlign w:val="superscript"/>
        </w:rPr>
        <w:footnoteReference w:id="5"/>
      </w:r>
      <w:r>
        <w:rPr>
          <w:noProof/>
          <w:color w:val="000000"/>
        </w:rPr>
        <w:t>,</w:t>
      </w:r>
      <w:r>
        <w:rPr>
          <w:noProof/>
        </w:rPr>
        <w:t xml:space="preserve"> under Article 18 § 3, it is the only subject of this DAB and it has to be submitted </w:t>
      </w:r>
      <w:r>
        <w:rPr>
          <w:noProof/>
          <w:lang w:val="en-US"/>
        </w:rPr>
        <w:t>within 15 days following the submission of the provisional accounts at end March 2016.</w:t>
      </w:r>
    </w:p>
    <w:p>
      <w:pPr>
        <w:pStyle w:val="NumPar1"/>
        <w:rPr>
          <w:noProof/>
        </w:rPr>
      </w:pPr>
      <w:r>
        <w:rPr>
          <w:noProof/>
        </w:rPr>
        <w:t xml:space="preserve">The implementation of the budget year 2015 shows a surplus of EUR 1 349 116 813,74 (excluding the outturn of contributions received from European Free Trade Association (EFTA) countries part of the European Economic Area (EEA) agreement), </w:t>
      </w:r>
      <w:r>
        <w:rPr>
          <w:noProof/>
          <w:color w:val="000000"/>
        </w:rPr>
        <w:t>which is therefore entered as revenue in the 2016 budget.</w:t>
      </w:r>
    </w:p>
    <w:p>
      <w:pPr>
        <w:pStyle w:val="Text1"/>
        <w:spacing w:after="240"/>
        <w:ind w:left="851"/>
        <w:rPr>
          <w:noProof/>
        </w:rPr>
      </w:pPr>
      <w:r>
        <w:rPr>
          <w:noProof/>
        </w:rPr>
        <w:t>The surplus results from the sum of the elements listed in the table below:</w:t>
      </w:r>
    </w:p>
    <w:p>
      <w:pPr>
        <w:pStyle w:val="NormalRight"/>
        <w:keepNext/>
        <w:tabs>
          <w:tab w:val="left" w:pos="9781"/>
        </w:tabs>
        <w:spacing w:before="0" w:after="0"/>
        <w:ind w:right="-58"/>
        <w:rPr>
          <w:noProof/>
        </w:rPr>
      </w:pPr>
      <w:r>
        <w:rPr>
          <w:i/>
          <w:iCs/>
          <w:noProof/>
          <w:sz w:val="20"/>
          <w:szCs w:val="20"/>
        </w:rPr>
        <w:t>(in EUR)</w:t>
      </w:r>
    </w:p>
    <w:tbl>
      <w:tblPr>
        <w:tblW w:w="9101" w:type="dxa"/>
        <w:jc w:val="right"/>
        <w:tblInd w:w="-492" w:type="dxa"/>
        <w:tblLayout w:type="fixed"/>
        <w:tblLook w:val="0000" w:firstRow="0" w:lastRow="0" w:firstColumn="0" w:lastColumn="0" w:noHBand="0" w:noVBand="0"/>
      </w:tblPr>
      <w:tblGrid>
        <w:gridCol w:w="4063"/>
        <w:gridCol w:w="1680"/>
        <w:gridCol w:w="1657"/>
        <w:gridCol w:w="1701"/>
      </w:tblGrid>
      <w:tr>
        <w:trPr>
          <w:trHeight w:val="396"/>
          <w:jc w:val="right"/>
        </w:trPr>
        <w:tc>
          <w:tcPr>
            <w:tcW w:w="4063" w:type="dxa"/>
            <w:tcBorders>
              <w:top w:val="single" w:sz="6" w:space="0" w:color="auto"/>
              <w:left w:val="single" w:sz="6" w:space="0" w:color="auto"/>
              <w:bottom w:val="single" w:sz="6" w:space="0" w:color="auto"/>
              <w:right w:val="single" w:sz="6" w:space="0" w:color="auto"/>
            </w:tcBorders>
            <w:shd w:val="clear" w:color="auto" w:fill="E0E0E0"/>
            <w:vAlign w:val="center"/>
          </w:tcPr>
          <w:p>
            <w:pPr>
              <w:autoSpaceDE w:val="0"/>
              <w:autoSpaceDN w:val="0"/>
              <w:adjustRightInd w:val="0"/>
              <w:jc w:val="center"/>
              <w:rPr>
                <w:b/>
                <w:bCs/>
                <w:noProof/>
                <w:color w:val="000000"/>
                <w:sz w:val="20"/>
                <w:szCs w:val="20"/>
              </w:rPr>
            </w:pPr>
            <w:r>
              <w:rPr>
                <w:b/>
                <w:bCs/>
                <w:noProof/>
                <w:color w:val="000000"/>
                <w:sz w:val="20"/>
                <w:szCs w:val="20"/>
              </w:rPr>
              <w:t>2015</w:t>
            </w:r>
          </w:p>
        </w:tc>
        <w:tc>
          <w:tcPr>
            <w:tcW w:w="1680" w:type="dxa"/>
            <w:tcBorders>
              <w:top w:val="single" w:sz="6" w:space="0" w:color="auto"/>
              <w:left w:val="single" w:sz="6" w:space="0" w:color="auto"/>
              <w:bottom w:val="single" w:sz="6" w:space="0" w:color="auto"/>
              <w:right w:val="single" w:sz="6" w:space="0" w:color="auto"/>
            </w:tcBorders>
            <w:shd w:val="clear" w:color="auto" w:fill="E0E0E0"/>
            <w:vAlign w:val="center"/>
          </w:tcPr>
          <w:p>
            <w:pPr>
              <w:autoSpaceDE w:val="0"/>
              <w:autoSpaceDN w:val="0"/>
              <w:adjustRightInd w:val="0"/>
              <w:jc w:val="center"/>
              <w:rPr>
                <w:b/>
                <w:bCs/>
                <w:noProof/>
                <w:color w:val="000000"/>
                <w:sz w:val="20"/>
                <w:szCs w:val="20"/>
              </w:rPr>
            </w:pPr>
            <w:r>
              <w:rPr>
                <w:b/>
                <w:bCs/>
                <w:noProof/>
                <w:color w:val="000000"/>
                <w:sz w:val="20"/>
                <w:szCs w:val="20"/>
              </w:rPr>
              <w:t>EFTA-EEA</w:t>
            </w:r>
          </w:p>
        </w:tc>
        <w:tc>
          <w:tcPr>
            <w:tcW w:w="1657" w:type="dxa"/>
            <w:tcBorders>
              <w:top w:val="single" w:sz="6" w:space="0" w:color="auto"/>
              <w:left w:val="single" w:sz="6" w:space="0" w:color="auto"/>
              <w:bottom w:val="single" w:sz="6" w:space="0" w:color="auto"/>
              <w:right w:val="single" w:sz="6" w:space="0" w:color="auto"/>
            </w:tcBorders>
            <w:shd w:val="clear" w:color="auto" w:fill="E0E0E0"/>
            <w:vAlign w:val="center"/>
          </w:tcPr>
          <w:p>
            <w:pPr>
              <w:autoSpaceDE w:val="0"/>
              <w:autoSpaceDN w:val="0"/>
              <w:adjustRightInd w:val="0"/>
              <w:jc w:val="center"/>
              <w:rPr>
                <w:b/>
                <w:bCs/>
                <w:noProof/>
                <w:color w:val="000000"/>
                <w:sz w:val="20"/>
                <w:szCs w:val="20"/>
              </w:rPr>
            </w:pPr>
            <w:r>
              <w:rPr>
                <w:b/>
                <w:bCs/>
                <w:noProof/>
                <w:color w:val="000000"/>
                <w:sz w:val="20"/>
                <w:szCs w:val="20"/>
              </w:rPr>
              <w:t>European Union</w:t>
            </w: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pPr>
              <w:autoSpaceDE w:val="0"/>
              <w:autoSpaceDN w:val="0"/>
              <w:adjustRightInd w:val="0"/>
              <w:jc w:val="center"/>
              <w:rPr>
                <w:b/>
                <w:bCs/>
                <w:noProof/>
                <w:color w:val="000000"/>
                <w:sz w:val="20"/>
                <w:szCs w:val="20"/>
              </w:rPr>
            </w:pPr>
            <w:r>
              <w:rPr>
                <w:b/>
                <w:bCs/>
                <w:noProof/>
                <w:color w:val="000000"/>
                <w:sz w:val="20"/>
                <w:szCs w:val="20"/>
              </w:rPr>
              <w:t>Total</w:t>
            </w:r>
          </w:p>
        </w:tc>
      </w:tr>
      <w:tr>
        <w:trPr>
          <w:trHeight w:val="360"/>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bCs/>
                <w:noProof/>
                <w:color w:val="000000"/>
                <w:sz w:val="16"/>
                <w:szCs w:val="16"/>
              </w:rPr>
              <w:t>Revenue for the financial year</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392 009 812,00</w:t>
            </w: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146 231 620 482,45</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146 623 630 294,45</w:t>
            </w:r>
          </w:p>
        </w:tc>
      </w:tr>
      <w:tr>
        <w:trPr>
          <w:trHeight w:val="407"/>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bCs/>
                <w:noProof/>
                <w:color w:val="000000"/>
                <w:sz w:val="16"/>
                <w:szCs w:val="16"/>
              </w:rPr>
              <w:t>Payments against current year appropriations</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-390 202 429,00</w:t>
            </w: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-143 094 537 574,31</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ind w:left="181" w:hanging="181"/>
              <w:jc w:val="right"/>
              <w:rPr>
                <w:b/>
                <w:bCs/>
                <w:noProof/>
                <w:color w:val="000000"/>
                <w:sz w:val="16"/>
                <w:szCs w:val="16"/>
              </w:rPr>
            </w:pPr>
            <w:r>
              <w:rPr>
                <w:b/>
                <w:bCs/>
                <w:noProof/>
                <w:color w:val="000000"/>
                <w:sz w:val="16"/>
                <w:szCs w:val="16"/>
              </w:rPr>
              <w:t>-143 484 740 003,31</w:t>
            </w:r>
          </w:p>
        </w:tc>
      </w:tr>
      <w:tr>
        <w:trPr>
          <w:trHeight w:val="400"/>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bCs/>
                <w:noProof/>
                <w:color w:val="000000"/>
                <w:sz w:val="16"/>
                <w:szCs w:val="16"/>
              </w:rPr>
              <w:t>Payment appropriations carried over to</w:t>
            </w:r>
            <w:r>
              <w:rPr>
                <w:rStyle w:val="CommentReference"/>
                <w:noProof/>
              </w:rPr>
              <w:t xml:space="preserve"> </w:t>
            </w:r>
            <w:r>
              <w:rPr>
                <w:rStyle w:val="CommentReference"/>
                <w:b/>
                <w:noProof/>
              </w:rPr>
              <w:t>y</w:t>
            </w:r>
            <w:r>
              <w:rPr>
                <w:b/>
                <w:bCs/>
                <w:noProof/>
                <w:color w:val="000000"/>
                <w:sz w:val="16"/>
                <w:szCs w:val="16"/>
              </w:rPr>
              <w:t>ear N+1</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-4 428 001,55</w:t>
            </w: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-1 294 470 333,92</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-1 298 898 335,47</w:t>
            </w:r>
          </w:p>
        </w:tc>
      </w:tr>
      <w:tr>
        <w:trPr>
          <w:trHeight w:val="494"/>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bCs/>
                <w:noProof/>
                <w:color w:val="000000"/>
                <w:sz w:val="16"/>
                <w:szCs w:val="16"/>
              </w:rPr>
              <w:t>Cancellation of unused appropriations carried over from year N-1</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382 622,81</w:t>
            </w: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28 202 729,20</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28 585 352,01</w:t>
            </w:r>
          </w:p>
        </w:tc>
      </w:tr>
      <w:tr>
        <w:trPr>
          <w:trHeight w:val="494"/>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i/>
                <w:noProof/>
                <w:color w:val="000000"/>
                <w:sz w:val="16"/>
                <w:szCs w:val="16"/>
              </w:rPr>
            </w:pPr>
            <w:r>
              <w:rPr>
                <w:b/>
                <w:bCs/>
                <w:i/>
                <w:noProof/>
                <w:color w:val="000000"/>
                <w:sz w:val="16"/>
                <w:szCs w:val="16"/>
              </w:rPr>
              <w:t>Difference between assigned revenue carried over from years N-1 to N and N to N+1</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-704 014 356,32</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-704 014 356,32</w:t>
            </w:r>
          </w:p>
        </w:tc>
      </w:tr>
      <w:tr>
        <w:trPr>
          <w:trHeight w:val="391"/>
          <w:jc w:val="right"/>
        </w:trPr>
        <w:tc>
          <w:tcPr>
            <w:tcW w:w="4063"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rPr>
                <w:b/>
                <w:bCs/>
                <w:noProof/>
                <w:color w:val="000000"/>
                <w:sz w:val="16"/>
                <w:szCs w:val="16"/>
              </w:rPr>
            </w:pPr>
            <w:r>
              <w:rPr>
                <w:b/>
                <w:bCs/>
                <w:noProof/>
                <w:color w:val="000000"/>
                <w:sz w:val="16"/>
                <w:szCs w:val="16"/>
              </w:rPr>
              <w:t>Exchange differences for the year</w:t>
            </w:r>
          </w:p>
        </w:tc>
        <w:tc>
          <w:tcPr>
            <w:tcW w:w="1680"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p>
        </w:tc>
        <w:tc>
          <w:tcPr>
            <w:tcW w:w="1657"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182 315 866,64</w:t>
            </w:r>
          </w:p>
        </w:tc>
        <w:tc>
          <w:tcPr>
            <w:tcW w:w="1701" w:type="dxa"/>
            <w:tcBorders>
              <w:top w:val="single" w:sz="6" w:space="0" w:color="auto"/>
              <w:left w:val="single" w:sz="6" w:space="0" w:color="auto"/>
              <w:bottom w:val="single" w:sz="6" w:space="0" w:color="auto"/>
              <w:right w:val="single" w:sz="6" w:space="0" w:color="auto"/>
            </w:tcBorders>
            <w:shd w:val="solid" w:color="FFFFFF" w:fill="FFFFFF"/>
            <w:vAlign w:val="center"/>
          </w:tcPr>
          <w:p>
            <w:pPr>
              <w:autoSpaceDE w:val="0"/>
              <w:autoSpaceDN w:val="0"/>
              <w:adjustRightInd w:val="0"/>
              <w:jc w:val="right"/>
              <w:rPr>
                <w:b/>
                <w:bCs/>
                <w:noProof/>
                <w:color w:val="000000"/>
                <w:sz w:val="16"/>
                <w:szCs w:val="16"/>
              </w:rPr>
            </w:pPr>
            <w:r>
              <w:rPr>
                <w:b/>
                <w:bCs/>
                <w:noProof/>
                <w:color w:val="000000"/>
                <w:sz w:val="16"/>
                <w:szCs w:val="16"/>
              </w:rPr>
              <w:t>182 315 866,64</w:t>
            </w:r>
          </w:p>
        </w:tc>
      </w:tr>
      <w:tr>
        <w:trPr>
          <w:trHeight w:val="325"/>
          <w:jc w:val="right"/>
        </w:trPr>
        <w:tc>
          <w:tcPr>
            <w:tcW w:w="4063" w:type="dxa"/>
            <w:tcBorders>
              <w:top w:val="single" w:sz="6" w:space="0" w:color="auto"/>
              <w:left w:val="single" w:sz="6" w:space="0" w:color="auto"/>
              <w:bottom w:val="single" w:sz="6" w:space="0" w:color="auto"/>
              <w:right w:val="single" w:sz="6" w:space="0" w:color="auto"/>
            </w:tcBorders>
            <w:shd w:val="clear" w:color="auto" w:fill="D9D9D9"/>
            <w:vAlign w:val="center"/>
          </w:tcPr>
          <w:p>
            <w:pPr>
              <w:autoSpaceDE w:val="0"/>
              <w:autoSpaceDN w:val="0"/>
              <w:adjustRightInd w:val="0"/>
              <w:jc w:val="center"/>
              <w:rPr>
                <w:b/>
                <w:bCs/>
                <w:noProof/>
                <w:color w:val="000000"/>
                <w:sz w:val="16"/>
                <w:szCs w:val="16"/>
              </w:rPr>
            </w:pPr>
            <w:r>
              <w:rPr>
                <w:b/>
                <w:bCs/>
                <w:noProof/>
                <w:color w:val="000000"/>
                <w:sz w:val="16"/>
                <w:szCs w:val="16"/>
              </w:rPr>
              <w:t>Budget outturn 2015</w:t>
            </w:r>
          </w:p>
        </w:tc>
        <w:tc>
          <w:tcPr>
            <w:tcW w:w="1680" w:type="dxa"/>
            <w:tcBorders>
              <w:top w:val="single" w:sz="6" w:space="0" w:color="auto"/>
              <w:left w:val="single" w:sz="6" w:space="0" w:color="auto"/>
              <w:bottom w:val="single" w:sz="6" w:space="0" w:color="auto"/>
              <w:right w:val="single" w:sz="6" w:space="0" w:color="auto"/>
            </w:tcBorders>
            <w:shd w:val="clear" w:color="auto" w:fill="D9D9D9"/>
            <w:vAlign w:val="center"/>
          </w:tcPr>
          <w:p>
            <w:pPr>
              <w:autoSpaceDE w:val="0"/>
              <w:autoSpaceDN w:val="0"/>
              <w:adjustRightInd w:val="0"/>
              <w:jc w:val="right"/>
              <w:rPr>
                <w:b/>
                <w:bCs/>
                <w:noProof/>
                <w:color w:val="000000"/>
                <w:sz w:val="16"/>
                <w:szCs w:val="16"/>
              </w:rPr>
            </w:pPr>
            <w:r>
              <w:rPr>
                <w:b/>
                <w:bCs/>
                <w:noProof/>
                <w:color w:val="000000"/>
                <w:sz w:val="16"/>
                <w:szCs w:val="16"/>
              </w:rPr>
              <w:t>-2 237 995,74</w:t>
            </w:r>
          </w:p>
        </w:tc>
        <w:tc>
          <w:tcPr>
            <w:tcW w:w="1657" w:type="dxa"/>
            <w:tcBorders>
              <w:top w:val="single" w:sz="6" w:space="0" w:color="auto"/>
              <w:left w:val="single" w:sz="6" w:space="0" w:color="auto"/>
              <w:bottom w:val="single" w:sz="6" w:space="0" w:color="auto"/>
              <w:right w:val="single" w:sz="6" w:space="0" w:color="auto"/>
            </w:tcBorders>
            <w:shd w:val="clear" w:color="auto" w:fill="D9D9D9"/>
            <w:vAlign w:val="center"/>
          </w:tcPr>
          <w:p>
            <w:pPr>
              <w:autoSpaceDE w:val="0"/>
              <w:autoSpaceDN w:val="0"/>
              <w:adjustRightInd w:val="0"/>
              <w:jc w:val="right"/>
              <w:rPr>
                <w:b/>
                <w:bCs/>
                <w:noProof/>
                <w:color w:val="000000"/>
                <w:sz w:val="16"/>
                <w:szCs w:val="16"/>
              </w:rPr>
            </w:pPr>
            <w:r>
              <w:rPr>
                <w:b/>
                <w:bCs/>
                <w:noProof/>
                <w:color w:val="000000"/>
                <w:sz w:val="16"/>
                <w:szCs w:val="16"/>
              </w:rPr>
              <w:t>1 349 116 813,74</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pPr>
              <w:autoSpaceDE w:val="0"/>
              <w:autoSpaceDN w:val="0"/>
              <w:adjustRightInd w:val="0"/>
              <w:jc w:val="right"/>
              <w:rPr>
                <w:b/>
                <w:bCs/>
                <w:noProof/>
                <w:color w:val="000000"/>
                <w:sz w:val="16"/>
                <w:szCs w:val="16"/>
              </w:rPr>
            </w:pPr>
            <w:r>
              <w:rPr>
                <w:b/>
                <w:bCs/>
                <w:noProof/>
                <w:color w:val="000000"/>
                <w:sz w:val="16"/>
                <w:szCs w:val="16"/>
              </w:rPr>
              <w:t>1 346 878 818,00</w:t>
            </w:r>
          </w:p>
        </w:tc>
      </w:tr>
    </w:tbl>
    <w:bookmarkEnd w:id="2"/>
    <w:p>
      <w:pPr>
        <w:pStyle w:val="NumPar1"/>
        <w:spacing w:before="240"/>
        <w:ind w:left="851" w:hanging="851"/>
        <w:rPr>
          <w:noProof/>
        </w:rPr>
      </w:pPr>
      <w:r>
        <w:rPr>
          <w:noProof/>
        </w:rPr>
        <w:t xml:space="preserve">The budgeting of the surplus will diminish accordingly the global contribution of the Member States to the financing of the 2016 EU Budget. </w:t>
      </w:r>
    </w:p>
    <w:p>
      <w:pPr>
        <w:pStyle w:val="NumPar1"/>
        <w:spacing w:before="240"/>
        <w:ind w:left="851" w:hanging="851"/>
        <w:rPr>
          <w:noProof/>
        </w:rPr>
      </w:pPr>
      <w:r>
        <w:rPr>
          <w:noProof/>
        </w:rPr>
        <w:t>The table below presents a breakdown of the European Union outturn for 2015 in terms of budget implementation (revenue and expenditure, for all Institutions):</w:t>
      </w:r>
    </w:p>
    <w:p>
      <w:pPr>
        <w:pStyle w:val="NormalRight"/>
        <w:keepNext/>
        <w:spacing w:before="0" w:after="0"/>
        <w:ind w:right="651"/>
        <w:rPr>
          <w:noProof/>
        </w:rPr>
      </w:pPr>
      <w:r>
        <w:rPr>
          <w:i/>
          <w:iCs/>
          <w:noProof/>
          <w:sz w:val="20"/>
          <w:szCs w:val="20"/>
        </w:rPr>
        <w:br w:type="page"/>
        <w:t>(in million EUR)</w:t>
      </w:r>
    </w:p>
    <w:tbl>
      <w:tblPr>
        <w:tblW w:w="0" w:type="auto"/>
        <w:jc w:val="center"/>
        <w:tblLayout w:type="fixed"/>
        <w:tblCellMar>
          <w:left w:w="40" w:type="dxa"/>
          <w:right w:w="40" w:type="dxa"/>
        </w:tblCellMar>
        <w:tblLook w:val="0000" w:firstRow="0" w:lastRow="0" w:firstColumn="0" w:lastColumn="0" w:noHBand="0" w:noVBand="0"/>
      </w:tblPr>
      <w:tblGrid>
        <w:gridCol w:w="426"/>
        <w:gridCol w:w="7560"/>
        <w:gridCol w:w="738"/>
      </w:tblGrid>
      <w:tr>
        <w:trPr>
          <w:tblHeader/>
          <w:jc w:val="center"/>
        </w:trPr>
        <w:tc>
          <w:tcPr>
            <w:tcW w:w="8724" w:type="dxa"/>
            <w:gridSpan w:val="3"/>
            <w:tcBorders>
              <w:top w:val="single" w:sz="4" w:space="0" w:color="auto"/>
              <w:left w:val="single" w:sz="4" w:space="0" w:color="auto"/>
              <w:bottom w:val="single" w:sz="4" w:space="0" w:color="auto"/>
              <w:right w:val="single" w:sz="4" w:space="0" w:color="auto"/>
            </w:tcBorders>
            <w:shd w:val="clear" w:color="auto" w:fill="E0E0E0"/>
          </w:tcPr>
          <w:p>
            <w:pPr>
              <w:pStyle w:val="NormalCentered"/>
              <w:spacing w:before="30" w:after="30"/>
              <w:rPr>
                <w:noProof/>
                <w:sz w:val="16"/>
                <w:szCs w:val="16"/>
              </w:rPr>
            </w:pPr>
            <w:r>
              <w:rPr>
                <w:b/>
                <w:bCs/>
                <w:noProof/>
                <w:sz w:val="16"/>
                <w:szCs w:val="16"/>
              </w:rPr>
              <w:t>Outturn breakdown 2015</w:t>
            </w:r>
          </w:p>
        </w:tc>
      </w:tr>
      <w:tr>
        <w:trPr>
          <w:jc w:val="center"/>
        </w:trPr>
        <w:tc>
          <w:tcPr>
            <w:tcW w:w="7986" w:type="dxa"/>
            <w:gridSpan w:val="2"/>
            <w:tcBorders>
              <w:top w:val="nil"/>
              <w:left w:val="single" w:sz="4" w:space="0" w:color="auto"/>
              <w:bottom w:val="single" w:sz="4" w:space="0" w:color="auto"/>
              <w:right w:val="nil"/>
            </w:tcBorders>
            <w:shd w:val="clear" w:color="auto" w:fill="E0E0E0"/>
          </w:tcPr>
          <w:p>
            <w:pPr>
              <w:spacing w:before="30" w:after="30"/>
              <w:rPr>
                <w:noProof/>
                <w:sz w:val="16"/>
                <w:szCs w:val="16"/>
              </w:rPr>
            </w:pPr>
            <w:r>
              <w:rPr>
                <w:b/>
                <w:bCs/>
                <w:noProof/>
                <w:sz w:val="16"/>
                <w:szCs w:val="16"/>
              </w:rPr>
              <w:t>Sub-total outturn on income</w:t>
            </w:r>
          </w:p>
        </w:tc>
        <w:tc>
          <w:tcPr>
            <w:tcW w:w="738" w:type="dxa"/>
            <w:tcBorders>
              <w:top w:val="nil"/>
              <w:left w:val="nil"/>
              <w:bottom w:val="single" w:sz="4" w:space="0" w:color="auto"/>
              <w:right w:val="single" w:sz="4" w:space="0" w:color="auto"/>
            </w:tcBorders>
            <w:shd w:val="clear" w:color="auto" w:fill="E0E0E0"/>
          </w:tcPr>
          <w:p>
            <w:pPr>
              <w:pStyle w:val="NormalRight"/>
              <w:tabs>
                <w:tab w:val="left" w:pos="589"/>
              </w:tabs>
              <w:spacing w:before="30" w:after="30"/>
              <w:rPr>
                <w:b/>
                <w:noProof/>
                <w:sz w:val="16"/>
                <w:szCs w:val="16"/>
              </w:rPr>
            </w:pPr>
            <w:r>
              <w:rPr>
                <w:b/>
                <w:noProof/>
                <w:sz w:val="16"/>
                <w:szCs w:val="16"/>
              </w:rPr>
              <w:t>980</w:t>
            </w:r>
          </w:p>
        </w:tc>
      </w:tr>
      <w:tr>
        <w:trPr>
          <w:jc w:val="center"/>
        </w:trPr>
        <w:tc>
          <w:tcPr>
            <w:tcW w:w="7986" w:type="dxa"/>
            <w:gridSpan w:val="2"/>
            <w:tcBorders>
              <w:top w:val="nil"/>
              <w:left w:val="single" w:sz="4" w:space="0" w:color="auto"/>
              <w:bottom w:val="dotted" w:sz="2" w:space="0" w:color="auto"/>
              <w:right w:val="nil"/>
            </w:tcBorders>
          </w:tcPr>
          <w:p>
            <w:pPr>
              <w:spacing w:before="30" w:after="30"/>
              <w:rPr>
                <w:noProof/>
                <w:sz w:val="16"/>
                <w:szCs w:val="16"/>
              </w:rPr>
            </w:pPr>
            <w:r>
              <w:rPr>
                <w:b/>
                <w:bCs/>
                <w:noProof/>
                <w:sz w:val="16"/>
                <w:szCs w:val="16"/>
              </w:rPr>
              <w:t>Outturn on income (differences between revenue collected and budgeted), of which:</w:t>
            </w:r>
          </w:p>
        </w:tc>
        <w:tc>
          <w:tcPr>
            <w:tcW w:w="738" w:type="dxa"/>
            <w:tcBorders>
              <w:top w:val="nil"/>
              <w:left w:val="nil"/>
              <w:bottom w:val="dotted" w:sz="2" w:space="0" w:color="auto"/>
              <w:right w:val="single" w:sz="4" w:space="0" w:color="auto"/>
            </w:tcBorders>
          </w:tcPr>
          <w:p>
            <w:pPr>
              <w:pStyle w:val="NormalRight"/>
              <w:spacing w:before="30" w:after="30"/>
              <w:rPr>
                <w:b/>
                <w:noProof/>
                <w:sz w:val="16"/>
                <w:szCs w:val="16"/>
              </w:rPr>
            </w:pPr>
          </w:p>
        </w:tc>
      </w:tr>
      <w:tr>
        <w:trPr>
          <w:jc w:val="center"/>
        </w:trPr>
        <w:tc>
          <w:tcPr>
            <w:tcW w:w="426" w:type="dxa"/>
            <w:tcBorders>
              <w:top w:val="nil"/>
              <w:left w:val="single" w:sz="4" w:space="0" w:color="auto"/>
              <w:bottom w:val="dotted" w:sz="2" w:space="0" w:color="auto"/>
              <w:right w:val="nil"/>
            </w:tcBorders>
          </w:tcPr>
          <w:p>
            <w:pPr>
              <w:pStyle w:val="NormalRight"/>
              <w:spacing w:before="30" w:after="30"/>
              <w:rPr>
                <w:noProof/>
                <w:sz w:val="16"/>
                <w:szCs w:val="16"/>
              </w:rPr>
            </w:pPr>
            <w:r>
              <w:rPr>
                <w:i/>
                <w:iCs/>
                <w:noProof/>
                <w:sz w:val="16"/>
                <w:szCs w:val="16"/>
              </w:rPr>
              <w:t>—</w:t>
            </w:r>
          </w:p>
        </w:tc>
        <w:tc>
          <w:tcPr>
            <w:tcW w:w="7560" w:type="dxa"/>
            <w:tcBorders>
              <w:top w:val="nil"/>
              <w:left w:val="nil"/>
              <w:bottom w:val="dotted" w:sz="2" w:space="0" w:color="auto"/>
              <w:right w:val="nil"/>
            </w:tcBorders>
          </w:tcPr>
          <w:p>
            <w:pPr>
              <w:spacing w:before="30" w:after="30"/>
              <w:rPr>
                <w:noProof/>
                <w:sz w:val="16"/>
                <w:szCs w:val="16"/>
              </w:rPr>
            </w:pPr>
            <w:r>
              <w:rPr>
                <w:noProof/>
                <w:sz w:val="16"/>
                <w:szCs w:val="16"/>
              </w:rPr>
              <w:t>Title 1 (own resources)</w:t>
            </w:r>
          </w:p>
        </w:tc>
        <w:tc>
          <w:tcPr>
            <w:tcW w:w="738"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szCs w:val="16"/>
              </w:rPr>
              <w:t>1 071</w:t>
            </w:r>
          </w:p>
        </w:tc>
      </w:tr>
      <w:tr>
        <w:trPr>
          <w:jc w:val="center"/>
        </w:trPr>
        <w:tc>
          <w:tcPr>
            <w:tcW w:w="426" w:type="dxa"/>
            <w:tcBorders>
              <w:top w:val="dotted" w:sz="2" w:space="0" w:color="auto"/>
              <w:left w:val="single" w:sz="4" w:space="0" w:color="auto"/>
              <w:bottom w:val="dotted" w:sz="2" w:space="0" w:color="auto"/>
              <w:right w:val="nil"/>
            </w:tcBorders>
          </w:tcPr>
          <w:p>
            <w:pPr>
              <w:pStyle w:val="NormalRight"/>
              <w:spacing w:before="30" w:after="30"/>
              <w:rPr>
                <w:i/>
                <w:iCs/>
                <w:noProof/>
                <w:sz w:val="16"/>
                <w:szCs w:val="16"/>
              </w:rPr>
            </w:pPr>
            <w:r>
              <w:rPr>
                <w:i/>
                <w:iCs/>
                <w:noProof/>
                <w:sz w:val="16"/>
                <w:szCs w:val="16"/>
              </w:rPr>
              <w:t>—</w:t>
            </w:r>
          </w:p>
        </w:tc>
        <w:tc>
          <w:tcPr>
            <w:tcW w:w="7560" w:type="dxa"/>
            <w:tcBorders>
              <w:top w:val="dotted" w:sz="2" w:space="0" w:color="auto"/>
              <w:left w:val="nil"/>
              <w:bottom w:val="dotted" w:sz="2" w:space="0" w:color="auto"/>
              <w:right w:val="nil"/>
            </w:tcBorders>
          </w:tcPr>
          <w:p>
            <w:pPr>
              <w:spacing w:before="30" w:after="30"/>
              <w:rPr>
                <w:i/>
                <w:iCs/>
                <w:noProof/>
                <w:sz w:val="16"/>
                <w:szCs w:val="16"/>
              </w:rPr>
            </w:pPr>
            <w:r>
              <w:rPr>
                <w:noProof/>
                <w:sz w:val="16"/>
                <w:szCs w:val="16"/>
              </w:rPr>
              <w:t>Title 3 (surpluses, balances and adjustments)</w:t>
            </w:r>
          </w:p>
        </w:tc>
        <w:tc>
          <w:tcPr>
            <w:tcW w:w="738" w:type="dxa"/>
            <w:tcBorders>
              <w:top w:val="dotted" w:sz="2" w:space="0" w:color="auto"/>
              <w:left w:val="nil"/>
              <w:bottom w:val="dotted" w:sz="2" w:space="0" w:color="auto"/>
              <w:right w:val="single" w:sz="4" w:space="0" w:color="auto"/>
            </w:tcBorders>
          </w:tcPr>
          <w:p>
            <w:pPr>
              <w:pStyle w:val="NormalRight"/>
              <w:spacing w:before="30" w:after="30"/>
              <w:rPr>
                <w:iCs/>
                <w:noProof/>
                <w:sz w:val="16"/>
                <w:szCs w:val="16"/>
              </w:rPr>
            </w:pPr>
            <w:r>
              <w:rPr>
                <w:iCs/>
                <w:noProof/>
                <w:sz w:val="16"/>
                <w:szCs w:val="16"/>
              </w:rPr>
              <w:t>-537</w:t>
            </w:r>
          </w:p>
        </w:tc>
      </w:tr>
      <w:tr>
        <w:trPr>
          <w:jc w:val="center"/>
        </w:trPr>
        <w:tc>
          <w:tcPr>
            <w:tcW w:w="426" w:type="dxa"/>
            <w:tcBorders>
              <w:top w:val="dotted" w:sz="2" w:space="0" w:color="auto"/>
              <w:left w:val="single" w:sz="4" w:space="0" w:color="auto"/>
              <w:bottom w:val="dotted" w:sz="2" w:space="0" w:color="auto"/>
              <w:right w:val="nil"/>
            </w:tcBorders>
          </w:tcPr>
          <w:p>
            <w:pPr>
              <w:pStyle w:val="NormalRight"/>
              <w:spacing w:before="30" w:after="30"/>
              <w:rPr>
                <w:i/>
                <w:iCs/>
                <w:noProof/>
                <w:sz w:val="16"/>
                <w:szCs w:val="16"/>
              </w:rPr>
            </w:pPr>
            <w:r>
              <w:rPr>
                <w:i/>
                <w:iCs/>
                <w:noProof/>
                <w:sz w:val="16"/>
                <w:szCs w:val="16"/>
              </w:rPr>
              <w:t>—</w:t>
            </w:r>
          </w:p>
        </w:tc>
        <w:tc>
          <w:tcPr>
            <w:tcW w:w="7560" w:type="dxa"/>
            <w:tcBorders>
              <w:top w:val="dotted" w:sz="2" w:space="0" w:color="auto"/>
              <w:left w:val="nil"/>
              <w:bottom w:val="dotted" w:sz="2" w:space="0" w:color="auto"/>
              <w:right w:val="nil"/>
            </w:tcBorders>
          </w:tcPr>
          <w:p>
            <w:pPr>
              <w:spacing w:before="30" w:after="30"/>
              <w:rPr>
                <w:i/>
                <w:iCs/>
                <w:noProof/>
                <w:sz w:val="16"/>
                <w:szCs w:val="16"/>
              </w:rPr>
            </w:pPr>
            <w:r>
              <w:rPr>
                <w:noProof/>
                <w:sz w:val="16"/>
                <w:szCs w:val="16"/>
              </w:rPr>
              <w:t>Title 7 (interest on late payments and fines)</w:t>
            </w:r>
          </w:p>
        </w:tc>
        <w:tc>
          <w:tcPr>
            <w:tcW w:w="738" w:type="dxa"/>
            <w:tcBorders>
              <w:top w:val="dotted" w:sz="2" w:space="0" w:color="auto"/>
              <w:left w:val="nil"/>
              <w:bottom w:val="dotted" w:sz="2" w:space="0" w:color="auto"/>
              <w:right w:val="single" w:sz="4" w:space="0" w:color="auto"/>
            </w:tcBorders>
          </w:tcPr>
          <w:p>
            <w:pPr>
              <w:pStyle w:val="NormalRight"/>
              <w:spacing w:before="30" w:after="30"/>
              <w:rPr>
                <w:iCs/>
                <w:noProof/>
                <w:sz w:val="16"/>
                <w:szCs w:val="16"/>
              </w:rPr>
            </w:pPr>
            <w:r>
              <w:rPr>
                <w:iCs/>
                <w:noProof/>
                <w:sz w:val="16"/>
                <w:szCs w:val="16"/>
              </w:rPr>
              <w:t>180</w:t>
            </w:r>
          </w:p>
        </w:tc>
      </w:tr>
      <w:tr>
        <w:trPr>
          <w:jc w:val="center"/>
        </w:trPr>
        <w:tc>
          <w:tcPr>
            <w:tcW w:w="426" w:type="dxa"/>
            <w:tcBorders>
              <w:top w:val="dotted" w:sz="2" w:space="0" w:color="auto"/>
              <w:left w:val="single" w:sz="4" w:space="0" w:color="auto"/>
              <w:bottom w:val="single" w:sz="4" w:space="0" w:color="auto"/>
              <w:right w:val="nil"/>
            </w:tcBorders>
          </w:tcPr>
          <w:p>
            <w:pPr>
              <w:pStyle w:val="NormalRight"/>
              <w:spacing w:before="30" w:after="30"/>
              <w:rPr>
                <w:noProof/>
                <w:sz w:val="16"/>
                <w:szCs w:val="16"/>
              </w:rPr>
            </w:pPr>
            <w:r>
              <w:rPr>
                <w:i/>
                <w:iCs/>
                <w:noProof/>
                <w:sz w:val="16"/>
                <w:szCs w:val="16"/>
              </w:rPr>
              <w:t>—</w:t>
            </w:r>
          </w:p>
        </w:tc>
        <w:tc>
          <w:tcPr>
            <w:tcW w:w="7560" w:type="dxa"/>
            <w:tcBorders>
              <w:top w:val="dotted" w:sz="2" w:space="0" w:color="auto"/>
              <w:left w:val="nil"/>
              <w:bottom w:val="single" w:sz="4" w:space="0" w:color="auto"/>
              <w:right w:val="nil"/>
            </w:tcBorders>
          </w:tcPr>
          <w:p>
            <w:pPr>
              <w:spacing w:before="30" w:after="30"/>
              <w:rPr>
                <w:noProof/>
                <w:sz w:val="16"/>
                <w:szCs w:val="16"/>
              </w:rPr>
            </w:pPr>
            <w:r>
              <w:rPr>
                <w:noProof/>
                <w:sz w:val="16"/>
                <w:szCs w:val="16"/>
              </w:rPr>
              <w:t>Other Titles</w:t>
            </w:r>
          </w:p>
        </w:tc>
        <w:tc>
          <w:tcPr>
            <w:tcW w:w="738"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szCs w:val="16"/>
              </w:rPr>
              <w:t>266</w:t>
            </w:r>
          </w:p>
        </w:tc>
      </w:tr>
      <w:tr>
        <w:trPr>
          <w:jc w:val="center"/>
        </w:trPr>
        <w:tc>
          <w:tcPr>
            <w:tcW w:w="7986" w:type="dxa"/>
            <w:gridSpan w:val="2"/>
            <w:tcBorders>
              <w:top w:val="nil"/>
              <w:left w:val="single" w:sz="4" w:space="0" w:color="auto"/>
              <w:bottom w:val="single" w:sz="4" w:space="0" w:color="auto"/>
              <w:right w:val="nil"/>
            </w:tcBorders>
            <w:shd w:val="clear" w:color="auto" w:fill="E0E0E0"/>
          </w:tcPr>
          <w:p>
            <w:pPr>
              <w:spacing w:before="30" w:after="30"/>
              <w:rPr>
                <w:noProof/>
                <w:sz w:val="16"/>
                <w:szCs w:val="16"/>
              </w:rPr>
            </w:pPr>
            <w:r>
              <w:rPr>
                <w:b/>
                <w:bCs/>
                <w:noProof/>
                <w:sz w:val="16"/>
                <w:szCs w:val="16"/>
              </w:rPr>
              <w:t>Sub-total outturn on expenditure</w:t>
            </w:r>
          </w:p>
        </w:tc>
        <w:tc>
          <w:tcPr>
            <w:tcW w:w="738" w:type="dxa"/>
            <w:tcBorders>
              <w:top w:val="nil"/>
              <w:left w:val="nil"/>
              <w:bottom w:val="single" w:sz="4" w:space="0" w:color="auto"/>
              <w:right w:val="single" w:sz="4" w:space="0" w:color="auto"/>
            </w:tcBorders>
            <w:shd w:val="clear" w:color="auto" w:fill="E0E0E0"/>
          </w:tcPr>
          <w:p>
            <w:pPr>
              <w:pStyle w:val="NormalRight"/>
              <w:spacing w:before="30" w:after="30"/>
              <w:rPr>
                <w:b/>
                <w:noProof/>
                <w:sz w:val="16"/>
                <w:szCs w:val="16"/>
              </w:rPr>
            </w:pPr>
            <w:r>
              <w:rPr>
                <w:b/>
                <w:noProof/>
                <w:sz w:val="16"/>
                <w:szCs w:val="16"/>
              </w:rPr>
              <w:t>187</w:t>
            </w:r>
          </w:p>
        </w:tc>
      </w:tr>
      <w:tr>
        <w:trPr>
          <w:jc w:val="center"/>
        </w:trPr>
        <w:tc>
          <w:tcPr>
            <w:tcW w:w="7986" w:type="dxa"/>
            <w:gridSpan w:val="2"/>
            <w:tcBorders>
              <w:top w:val="nil"/>
              <w:left w:val="single" w:sz="4" w:space="0" w:color="auto"/>
              <w:bottom w:val="dotted" w:sz="2" w:space="0" w:color="auto"/>
              <w:right w:val="nil"/>
            </w:tcBorders>
          </w:tcPr>
          <w:p>
            <w:pPr>
              <w:spacing w:before="30" w:after="30"/>
              <w:rPr>
                <w:noProof/>
                <w:sz w:val="16"/>
                <w:szCs w:val="16"/>
              </w:rPr>
            </w:pPr>
            <w:r>
              <w:rPr>
                <w:b/>
                <w:bCs/>
                <w:noProof/>
                <w:sz w:val="16"/>
                <w:szCs w:val="16"/>
              </w:rPr>
              <w:t xml:space="preserve">Outturn on expenditure, of which: </w:t>
            </w:r>
          </w:p>
        </w:tc>
        <w:tc>
          <w:tcPr>
            <w:tcW w:w="738" w:type="dxa"/>
            <w:tcBorders>
              <w:top w:val="nil"/>
              <w:left w:val="nil"/>
              <w:bottom w:val="dotted" w:sz="2" w:space="0" w:color="auto"/>
              <w:right w:val="single" w:sz="4" w:space="0" w:color="auto"/>
            </w:tcBorders>
          </w:tcPr>
          <w:p>
            <w:pPr>
              <w:pStyle w:val="NormalRight"/>
              <w:spacing w:before="30" w:after="30"/>
              <w:rPr>
                <w:b/>
                <w:noProof/>
                <w:sz w:val="16"/>
                <w:szCs w:val="16"/>
              </w:rPr>
            </w:pPr>
          </w:p>
        </w:tc>
      </w:tr>
      <w:tr>
        <w:trPr>
          <w:jc w:val="center"/>
        </w:trPr>
        <w:tc>
          <w:tcPr>
            <w:tcW w:w="426" w:type="dxa"/>
            <w:tcBorders>
              <w:top w:val="nil"/>
              <w:left w:val="single" w:sz="4" w:space="0" w:color="auto"/>
              <w:bottom w:val="dotted" w:sz="2" w:space="0" w:color="auto"/>
              <w:right w:val="nil"/>
            </w:tcBorders>
          </w:tcPr>
          <w:p>
            <w:pPr>
              <w:pStyle w:val="NormalRight"/>
              <w:spacing w:before="30" w:after="30"/>
              <w:rPr>
                <w:noProof/>
                <w:sz w:val="16"/>
                <w:szCs w:val="16"/>
              </w:rPr>
            </w:pPr>
            <w:r>
              <w:rPr>
                <w:i/>
                <w:iCs/>
                <w:noProof/>
                <w:sz w:val="16"/>
                <w:szCs w:val="16"/>
              </w:rPr>
              <w:t>—</w:t>
            </w:r>
          </w:p>
        </w:tc>
        <w:tc>
          <w:tcPr>
            <w:tcW w:w="7560" w:type="dxa"/>
            <w:tcBorders>
              <w:top w:val="nil"/>
              <w:left w:val="nil"/>
              <w:bottom w:val="dotted" w:sz="2" w:space="0" w:color="auto"/>
              <w:right w:val="nil"/>
            </w:tcBorders>
          </w:tcPr>
          <w:p>
            <w:pPr>
              <w:spacing w:before="30" w:after="30"/>
              <w:rPr>
                <w:noProof/>
                <w:sz w:val="16"/>
                <w:szCs w:val="16"/>
              </w:rPr>
            </w:pPr>
            <w:r>
              <w:rPr>
                <w:noProof/>
                <w:sz w:val="16"/>
                <w:szCs w:val="16"/>
              </w:rPr>
              <w:t>Under-implementation of appropriations authorised in 2015 budget: Commission</w:t>
            </w:r>
          </w:p>
        </w:tc>
        <w:tc>
          <w:tcPr>
            <w:tcW w:w="738"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szCs w:val="16"/>
              </w:rPr>
              <w:t>78</w:t>
            </w:r>
          </w:p>
        </w:tc>
      </w:tr>
      <w:tr>
        <w:trPr>
          <w:jc w:val="center"/>
        </w:trPr>
        <w:tc>
          <w:tcPr>
            <w:tcW w:w="426" w:type="dxa"/>
            <w:tcBorders>
              <w:top w:val="dotted" w:sz="2" w:space="0" w:color="auto"/>
              <w:left w:val="single" w:sz="4" w:space="0" w:color="auto"/>
              <w:bottom w:val="dotted" w:sz="2" w:space="0" w:color="auto"/>
              <w:right w:val="nil"/>
            </w:tcBorders>
          </w:tcPr>
          <w:p>
            <w:pPr>
              <w:pStyle w:val="NormalRight"/>
              <w:spacing w:before="30" w:after="30"/>
              <w:rPr>
                <w:noProof/>
                <w:sz w:val="16"/>
                <w:szCs w:val="16"/>
              </w:rPr>
            </w:pPr>
            <w:r>
              <w:rPr>
                <w:i/>
                <w:iCs/>
                <w:noProof/>
                <w:sz w:val="16"/>
                <w:szCs w:val="16"/>
              </w:rPr>
              <w:t>—</w:t>
            </w:r>
          </w:p>
        </w:tc>
        <w:tc>
          <w:tcPr>
            <w:tcW w:w="7560" w:type="dxa"/>
            <w:tcBorders>
              <w:top w:val="dotted" w:sz="2" w:space="0" w:color="auto"/>
              <w:left w:val="nil"/>
              <w:bottom w:val="dotted" w:sz="2" w:space="0" w:color="auto"/>
              <w:right w:val="nil"/>
            </w:tcBorders>
          </w:tcPr>
          <w:p>
            <w:pPr>
              <w:spacing w:before="30" w:after="30"/>
              <w:rPr>
                <w:noProof/>
                <w:sz w:val="16"/>
                <w:szCs w:val="16"/>
              </w:rPr>
            </w:pPr>
            <w:r>
              <w:rPr>
                <w:noProof/>
                <w:sz w:val="16"/>
                <w:szCs w:val="16"/>
              </w:rPr>
              <w:t>Under-implementation of appropriations carried over from 2014: Commission</w:t>
            </w:r>
          </w:p>
        </w:tc>
        <w:tc>
          <w:tcPr>
            <w:tcW w:w="738"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szCs w:val="16"/>
              </w:rPr>
              <w:t>14</w:t>
            </w:r>
          </w:p>
        </w:tc>
      </w:tr>
      <w:tr>
        <w:trPr>
          <w:jc w:val="center"/>
        </w:trPr>
        <w:tc>
          <w:tcPr>
            <w:tcW w:w="426" w:type="dxa"/>
            <w:tcBorders>
              <w:top w:val="dotted" w:sz="2" w:space="0" w:color="auto"/>
              <w:left w:val="single" w:sz="4" w:space="0" w:color="auto"/>
              <w:bottom w:val="dotted" w:sz="2" w:space="0" w:color="auto"/>
              <w:right w:val="nil"/>
            </w:tcBorders>
          </w:tcPr>
          <w:p>
            <w:pPr>
              <w:pStyle w:val="NormalRight"/>
              <w:spacing w:before="30" w:after="30"/>
              <w:rPr>
                <w:i/>
                <w:iCs/>
                <w:noProof/>
                <w:sz w:val="16"/>
                <w:szCs w:val="16"/>
              </w:rPr>
            </w:pPr>
            <w:r>
              <w:rPr>
                <w:i/>
                <w:iCs/>
                <w:noProof/>
                <w:sz w:val="16"/>
                <w:szCs w:val="16"/>
              </w:rPr>
              <w:t>—</w:t>
            </w:r>
          </w:p>
        </w:tc>
        <w:tc>
          <w:tcPr>
            <w:tcW w:w="7560" w:type="dxa"/>
            <w:tcBorders>
              <w:top w:val="dotted" w:sz="2" w:space="0" w:color="auto"/>
              <w:left w:val="nil"/>
              <w:bottom w:val="dotted" w:sz="2" w:space="0" w:color="auto"/>
              <w:right w:val="nil"/>
            </w:tcBorders>
          </w:tcPr>
          <w:p>
            <w:pPr>
              <w:spacing w:before="30" w:after="30"/>
              <w:rPr>
                <w:noProof/>
                <w:sz w:val="16"/>
                <w:szCs w:val="16"/>
              </w:rPr>
            </w:pPr>
            <w:r>
              <w:rPr>
                <w:noProof/>
                <w:sz w:val="16"/>
                <w:szCs w:val="16"/>
              </w:rPr>
              <w:t>Un-mobilised reserves in 2015</w:t>
            </w:r>
          </w:p>
        </w:tc>
        <w:tc>
          <w:tcPr>
            <w:tcW w:w="738"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szCs w:val="16"/>
              </w:rPr>
              <w:t>0</w:t>
            </w:r>
          </w:p>
        </w:tc>
      </w:tr>
      <w:tr>
        <w:trPr>
          <w:jc w:val="center"/>
        </w:trPr>
        <w:tc>
          <w:tcPr>
            <w:tcW w:w="426" w:type="dxa"/>
            <w:tcBorders>
              <w:top w:val="nil"/>
              <w:left w:val="single" w:sz="4" w:space="0" w:color="auto"/>
              <w:bottom w:val="single" w:sz="4" w:space="0" w:color="auto"/>
              <w:right w:val="nil"/>
            </w:tcBorders>
          </w:tcPr>
          <w:p>
            <w:pPr>
              <w:pStyle w:val="NormalRight"/>
              <w:spacing w:before="30" w:after="30"/>
              <w:rPr>
                <w:noProof/>
                <w:sz w:val="16"/>
                <w:szCs w:val="16"/>
              </w:rPr>
            </w:pPr>
            <w:r>
              <w:rPr>
                <w:i/>
                <w:iCs/>
                <w:noProof/>
                <w:sz w:val="16"/>
                <w:szCs w:val="16"/>
              </w:rPr>
              <w:t>—</w:t>
            </w:r>
          </w:p>
        </w:tc>
        <w:tc>
          <w:tcPr>
            <w:tcW w:w="7560" w:type="dxa"/>
            <w:tcBorders>
              <w:top w:val="nil"/>
              <w:left w:val="nil"/>
              <w:bottom w:val="single" w:sz="4" w:space="0" w:color="auto"/>
              <w:right w:val="nil"/>
            </w:tcBorders>
          </w:tcPr>
          <w:p>
            <w:pPr>
              <w:spacing w:before="30" w:after="30"/>
              <w:rPr>
                <w:noProof/>
                <w:sz w:val="16"/>
                <w:szCs w:val="16"/>
              </w:rPr>
            </w:pPr>
            <w:r>
              <w:rPr>
                <w:noProof/>
                <w:sz w:val="16"/>
                <w:szCs w:val="16"/>
              </w:rPr>
              <w:t>Under-implementation of appropriations authorised in 2015 budget and appropriations carried over from 2014: administration heading 5 (other Institutions)</w:t>
            </w:r>
          </w:p>
        </w:tc>
        <w:tc>
          <w:tcPr>
            <w:tcW w:w="738"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szCs w:val="16"/>
              </w:rPr>
              <w:t>94</w:t>
            </w:r>
          </w:p>
        </w:tc>
      </w:tr>
      <w:tr>
        <w:trPr>
          <w:jc w:val="center"/>
        </w:trPr>
        <w:tc>
          <w:tcPr>
            <w:tcW w:w="7986" w:type="dxa"/>
            <w:gridSpan w:val="2"/>
            <w:tcBorders>
              <w:top w:val="single" w:sz="4" w:space="0" w:color="auto"/>
              <w:left w:val="single" w:sz="4" w:space="0" w:color="auto"/>
              <w:bottom w:val="single" w:sz="4" w:space="0" w:color="auto"/>
              <w:right w:val="nil"/>
            </w:tcBorders>
            <w:shd w:val="clear" w:color="auto" w:fill="E0E0E0"/>
          </w:tcPr>
          <w:p>
            <w:pPr>
              <w:spacing w:before="30" w:after="30"/>
              <w:rPr>
                <w:noProof/>
                <w:sz w:val="16"/>
                <w:szCs w:val="16"/>
              </w:rPr>
            </w:pPr>
            <w:r>
              <w:rPr>
                <w:b/>
                <w:bCs/>
                <w:noProof/>
                <w:sz w:val="16"/>
                <w:szCs w:val="16"/>
              </w:rPr>
              <w:t>Sub-total exchange rate differences</w:t>
            </w:r>
          </w:p>
        </w:tc>
        <w:tc>
          <w:tcPr>
            <w:tcW w:w="738" w:type="dxa"/>
            <w:tcBorders>
              <w:top w:val="single" w:sz="4" w:space="0" w:color="auto"/>
              <w:left w:val="nil"/>
              <w:bottom w:val="single" w:sz="4" w:space="0" w:color="auto"/>
              <w:right w:val="single" w:sz="4" w:space="0" w:color="auto"/>
            </w:tcBorders>
            <w:shd w:val="clear" w:color="auto" w:fill="E0E0E0"/>
          </w:tcPr>
          <w:p>
            <w:pPr>
              <w:pStyle w:val="NormalRight"/>
              <w:spacing w:before="30" w:after="30"/>
              <w:rPr>
                <w:b/>
                <w:noProof/>
                <w:sz w:val="16"/>
                <w:szCs w:val="16"/>
              </w:rPr>
            </w:pPr>
            <w:r>
              <w:rPr>
                <w:b/>
                <w:noProof/>
                <w:sz w:val="16"/>
                <w:szCs w:val="16"/>
              </w:rPr>
              <w:t>182</w:t>
            </w:r>
          </w:p>
        </w:tc>
      </w:tr>
      <w:tr>
        <w:trPr>
          <w:jc w:val="center"/>
        </w:trPr>
        <w:tc>
          <w:tcPr>
            <w:tcW w:w="7986" w:type="dxa"/>
            <w:gridSpan w:val="2"/>
            <w:tcBorders>
              <w:top w:val="nil"/>
              <w:left w:val="single" w:sz="4" w:space="0" w:color="auto"/>
              <w:bottom w:val="single" w:sz="4" w:space="0" w:color="auto"/>
              <w:right w:val="nil"/>
            </w:tcBorders>
            <w:shd w:val="clear" w:color="auto" w:fill="E0E0E0"/>
          </w:tcPr>
          <w:p>
            <w:pPr>
              <w:spacing w:before="30" w:after="30"/>
              <w:rPr>
                <w:noProof/>
                <w:sz w:val="16"/>
                <w:szCs w:val="16"/>
              </w:rPr>
            </w:pPr>
            <w:r>
              <w:rPr>
                <w:b/>
                <w:bCs/>
                <w:noProof/>
                <w:sz w:val="16"/>
                <w:szCs w:val="16"/>
              </w:rPr>
              <w:t>Total outturn 2015</w:t>
            </w:r>
          </w:p>
        </w:tc>
        <w:tc>
          <w:tcPr>
            <w:tcW w:w="738" w:type="dxa"/>
            <w:tcBorders>
              <w:top w:val="nil"/>
              <w:left w:val="nil"/>
              <w:bottom w:val="single" w:sz="4" w:space="0" w:color="auto"/>
              <w:right w:val="single" w:sz="4" w:space="0" w:color="auto"/>
            </w:tcBorders>
            <w:shd w:val="clear" w:color="auto" w:fill="E0E0E0"/>
          </w:tcPr>
          <w:p>
            <w:pPr>
              <w:pStyle w:val="NormalRight"/>
              <w:spacing w:before="30" w:after="30"/>
              <w:rPr>
                <w:b/>
                <w:noProof/>
                <w:sz w:val="16"/>
                <w:szCs w:val="16"/>
              </w:rPr>
            </w:pPr>
            <w:r>
              <w:rPr>
                <w:b/>
                <w:noProof/>
                <w:sz w:val="16"/>
                <w:szCs w:val="16"/>
              </w:rPr>
              <w:t>1 349</w:t>
            </w:r>
          </w:p>
        </w:tc>
      </w:tr>
      <w:bookmarkEnd w:id="3"/>
      <w:bookmarkEnd w:id="4"/>
    </w:tbl>
    <w:p>
      <w:pPr>
        <w:pStyle w:val="ListDash"/>
        <w:numPr>
          <w:ilvl w:val="0"/>
          <w:numId w:val="0"/>
        </w:num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sz w:val="19"/>
          <w:szCs w:val="19"/>
          <w:lang w:val="pt-PT"/>
        </w:rPr>
        <w:tab/>
      </w:r>
      <w:r>
        <w:rPr>
          <w:sz w:val="18"/>
          <w:szCs w:val="18"/>
          <w:lang w:val="pt-PT"/>
        </w:rPr>
        <w:t>OJ L 298, 26.10.2012, p. 1.</w:t>
      </w:r>
    </w:p>
  </w:footnote>
  <w:footnote w:id="3">
    <w:p>
      <w:pPr>
        <w:pStyle w:val="FootnoteText"/>
      </w:pPr>
      <w:r>
        <w:rPr>
          <w:rStyle w:val="FootnoteReference"/>
        </w:rPr>
        <w:footnoteRef/>
      </w:r>
      <w:r>
        <w:tab/>
      </w:r>
      <w:r>
        <w:rPr>
          <w:sz w:val="18"/>
          <w:szCs w:val="18"/>
          <w:lang w:val="pt-PT"/>
        </w:rPr>
        <w:t>OJ L 48, 24.2.2016, p. 1</w:t>
      </w:r>
      <w:r>
        <w:rPr>
          <w:sz w:val="18"/>
          <w:szCs w:val="18"/>
        </w:rPr>
        <w:t>.</w:t>
      </w:r>
    </w:p>
  </w:footnote>
  <w:footnote w:id="4">
    <w:p>
      <w:pPr>
        <w:pStyle w:val="FootnoteText"/>
      </w:pPr>
      <w:r>
        <w:rPr>
          <w:rStyle w:val="FootnoteReference"/>
        </w:rPr>
        <w:footnoteRef/>
      </w:r>
      <w:r>
        <w:t xml:space="preserve"> </w:t>
      </w:r>
      <w:r>
        <w:tab/>
      </w:r>
      <w:r>
        <w:rPr>
          <w:sz w:val="18"/>
          <w:szCs w:val="18"/>
        </w:rPr>
        <w:t>OJ L XXX, XX.XX.XXX</w:t>
      </w:r>
      <w:r>
        <w:t>.</w:t>
      </w:r>
    </w:p>
  </w:footnote>
  <w:footnote w:id="5">
    <w:p>
      <w:pPr>
        <w:pStyle w:val="FootnoteText"/>
        <w:rPr>
          <w:lang w:val="pt-PT"/>
        </w:rPr>
      </w:pPr>
      <w:r>
        <w:rPr>
          <w:rStyle w:val="FootnoteReference"/>
        </w:rPr>
        <w:footnoteRef/>
      </w:r>
      <w:r>
        <w:rPr>
          <w:sz w:val="19"/>
          <w:szCs w:val="19"/>
          <w:lang w:val="pt-PT"/>
        </w:rPr>
        <w:tab/>
      </w:r>
      <w:r>
        <w:rPr>
          <w:sz w:val="18"/>
          <w:szCs w:val="18"/>
          <w:lang w:val="pt-PT"/>
        </w:rPr>
        <w:t>OJ L 298, 26.10.2012,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A7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ED41C8C"/>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F090162"/>
    <w:multiLevelType w:val="hybridMultilevel"/>
    <w:tmpl w:val="97F2B26A"/>
    <w:lvl w:ilvl="0" w:tplc="61E27E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41AF2082"/>
    <w:multiLevelType w:val="hybridMultilevel"/>
    <w:tmpl w:val="A67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1">
    <w:nsid w:val="7123216D"/>
    <w:multiLevelType w:val="hybridMultilevel"/>
    <w:tmpl w:val="F648ECEA"/>
    <w:lvl w:ilvl="0" w:tplc="AB00A56E">
      <w:start w:val="1"/>
      <w:numFmt w:val="bullet"/>
      <w:lvlText w:val=""/>
      <w:lvlJc w:val="left"/>
      <w:pPr>
        <w:tabs>
          <w:tab w:val="num" w:pos="720"/>
        </w:tabs>
        <w:ind w:left="720" w:hanging="360"/>
      </w:pPr>
      <w:rPr>
        <w:rFonts w:ascii="Symbol" w:hAnsi="Symbol" w:hint="default"/>
      </w:rPr>
    </w:lvl>
    <w:lvl w:ilvl="1" w:tplc="047A04A6" w:tentative="1">
      <w:start w:val="1"/>
      <w:numFmt w:val="bullet"/>
      <w:lvlText w:val="o"/>
      <w:lvlJc w:val="left"/>
      <w:pPr>
        <w:tabs>
          <w:tab w:val="num" w:pos="1440"/>
        </w:tabs>
        <w:ind w:left="1440" w:hanging="360"/>
      </w:pPr>
      <w:rPr>
        <w:rFonts w:ascii="Courier New" w:hAnsi="Courier New" w:cs="Courier New" w:hint="default"/>
      </w:rPr>
    </w:lvl>
    <w:lvl w:ilvl="2" w:tplc="CED8E37C" w:tentative="1">
      <w:start w:val="1"/>
      <w:numFmt w:val="bullet"/>
      <w:lvlText w:val=""/>
      <w:lvlJc w:val="left"/>
      <w:pPr>
        <w:tabs>
          <w:tab w:val="num" w:pos="2160"/>
        </w:tabs>
        <w:ind w:left="2160" w:hanging="360"/>
      </w:pPr>
      <w:rPr>
        <w:rFonts w:ascii="Wingdings" w:hAnsi="Wingdings" w:hint="default"/>
      </w:rPr>
    </w:lvl>
    <w:lvl w:ilvl="3" w:tplc="99803BDA" w:tentative="1">
      <w:start w:val="1"/>
      <w:numFmt w:val="bullet"/>
      <w:lvlText w:val=""/>
      <w:lvlJc w:val="left"/>
      <w:pPr>
        <w:tabs>
          <w:tab w:val="num" w:pos="2880"/>
        </w:tabs>
        <w:ind w:left="2880" w:hanging="360"/>
      </w:pPr>
      <w:rPr>
        <w:rFonts w:ascii="Symbol" w:hAnsi="Symbol" w:hint="default"/>
      </w:rPr>
    </w:lvl>
    <w:lvl w:ilvl="4" w:tplc="64F20456" w:tentative="1">
      <w:start w:val="1"/>
      <w:numFmt w:val="bullet"/>
      <w:lvlText w:val="o"/>
      <w:lvlJc w:val="left"/>
      <w:pPr>
        <w:tabs>
          <w:tab w:val="num" w:pos="3600"/>
        </w:tabs>
        <w:ind w:left="3600" w:hanging="360"/>
      </w:pPr>
      <w:rPr>
        <w:rFonts w:ascii="Courier New" w:hAnsi="Courier New" w:cs="Courier New" w:hint="default"/>
      </w:rPr>
    </w:lvl>
    <w:lvl w:ilvl="5" w:tplc="9D789344" w:tentative="1">
      <w:start w:val="1"/>
      <w:numFmt w:val="bullet"/>
      <w:lvlText w:val=""/>
      <w:lvlJc w:val="left"/>
      <w:pPr>
        <w:tabs>
          <w:tab w:val="num" w:pos="4320"/>
        </w:tabs>
        <w:ind w:left="4320" w:hanging="360"/>
      </w:pPr>
      <w:rPr>
        <w:rFonts w:ascii="Wingdings" w:hAnsi="Wingdings" w:hint="default"/>
      </w:rPr>
    </w:lvl>
    <w:lvl w:ilvl="6" w:tplc="440617F6" w:tentative="1">
      <w:start w:val="1"/>
      <w:numFmt w:val="bullet"/>
      <w:lvlText w:val=""/>
      <w:lvlJc w:val="left"/>
      <w:pPr>
        <w:tabs>
          <w:tab w:val="num" w:pos="5040"/>
        </w:tabs>
        <w:ind w:left="5040" w:hanging="360"/>
      </w:pPr>
      <w:rPr>
        <w:rFonts w:ascii="Symbol" w:hAnsi="Symbol" w:hint="default"/>
      </w:rPr>
    </w:lvl>
    <w:lvl w:ilvl="7" w:tplc="BA5AA682" w:tentative="1">
      <w:start w:val="1"/>
      <w:numFmt w:val="bullet"/>
      <w:lvlText w:val="o"/>
      <w:lvlJc w:val="left"/>
      <w:pPr>
        <w:tabs>
          <w:tab w:val="num" w:pos="5760"/>
        </w:tabs>
        <w:ind w:left="5760" w:hanging="360"/>
      </w:pPr>
      <w:rPr>
        <w:rFonts w:ascii="Courier New" w:hAnsi="Courier New" w:cs="Courier New" w:hint="default"/>
      </w:rPr>
    </w:lvl>
    <w:lvl w:ilvl="8" w:tplc="64C40A7C" w:tentative="1">
      <w:start w:val="1"/>
      <w:numFmt w:val="bullet"/>
      <w:lvlText w:val=""/>
      <w:lvlJc w:val="left"/>
      <w:pPr>
        <w:tabs>
          <w:tab w:val="num" w:pos="6480"/>
        </w:tabs>
        <w:ind w:left="6480" w:hanging="360"/>
      </w:pPr>
      <w:rPr>
        <w:rFonts w:ascii="Wingdings" w:hAnsi="Wingdings" w:hint="default"/>
      </w:rPr>
    </w:lvl>
  </w:abstractNum>
  <w:abstractNum w:abstractNumId="2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2"/>
  </w:num>
  <w:num w:numId="4">
    <w:abstractNumId w:val="16"/>
  </w:num>
  <w:num w:numId="5">
    <w:abstractNumId w:val="21"/>
  </w:num>
  <w:num w:numId="6">
    <w:abstractNumId w:val="16"/>
  </w:num>
  <w:num w:numId="7">
    <w:abstractNumId w:val="20"/>
  </w:num>
  <w:num w:numId="8">
    <w:abstractNumId w:val="14"/>
  </w:num>
  <w:num w:numId="9">
    <w:abstractNumId w:val="7"/>
  </w:num>
  <w:num w:numId="10">
    <w:abstractNumId w:val="12"/>
  </w:num>
  <w:num w:numId="11">
    <w:abstractNumId w:val="13"/>
  </w:num>
  <w:num w:numId="12">
    <w:abstractNumId w:val="5"/>
  </w:num>
  <w:num w:numId="13">
    <w:abstractNumId w:val="6"/>
  </w:num>
  <w:num w:numId="14">
    <w:abstractNumId w:val="8"/>
  </w:num>
  <w:num w:numId="15">
    <w:abstractNumId w:val="10"/>
  </w:num>
  <w:num w:numId="16">
    <w:abstractNumId w:val="18"/>
  </w:num>
  <w:num w:numId="17">
    <w:abstractNumId w:val="16"/>
  </w:num>
  <w:num w:numId="18">
    <w:abstractNumId w:val="19"/>
  </w:num>
  <w:num w:numId="19">
    <w:abstractNumId w:val="4"/>
  </w:num>
  <w:num w:numId="20">
    <w:abstractNumId w:val="9"/>
  </w:num>
  <w:num w:numId="21">
    <w:abstractNumId w:val="16"/>
  </w:num>
  <w:num w:numId="22">
    <w:abstractNumId w:val="16"/>
  </w:num>
  <w:num w:numId="23">
    <w:abstractNumId w:val="0"/>
  </w:num>
  <w:num w:numId="24">
    <w:abstractNumId w:val="17"/>
  </w:num>
  <w:num w:numId="25">
    <w:abstractNumId w:val="15"/>
  </w:num>
  <w:num w:numId="26">
    <w:abstractNumId w:val="3"/>
  </w:num>
  <w:num w:numId="27">
    <w:abstractNumId w:val="22"/>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6C4D64484CCF4887B7A6156C97B4FE70"/>
    <w:docVar w:name="LW_CROSSREFERENCE" w:val="&lt;UNUSED&gt;"/>
    <w:docVar w:name="LW_DocType" w:val="NORMAL"/>
    <w:docVar w:name="LW_EMISSION" w:val="15.4.2016"/>
    <w:docVar w:name="LW_EMISSION_ISODATE" w:val="2016-04-15"/>
    <w:docVar w:name="LW_EMISSION_LOCATION" w:val="BRX"/>
    <w:docVar w:name="LW_EMISSION_PREFIX" w:val="Brussels, "/>
    <w:docVar w:name="LW_EMISSION_SUFFIX" w:val="&lt;EMPTY&gt;"/>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27"/>
    <w:docVar w:name="LW_REF.INTERNE" w:val="&lt;UNUSED&gt;"/>
    <w:docVar w:name="LW_SOUS.TITRE.OBJ.CP" w:val="&lt;UNUSED&gt;"/>
    <w:docVar w:name="LW_SUPERTITRE" w:val="&lt;UNUSED&gt;"/>
    <w:docVar w:name="LW_TITRE.OBJ.CP" w:val="ENTERING THE SURPLUS OF THE FINANCIAL YEAR 2015 "/>
    <w:docVar w:name="LW_TITRE.OBJ.CP_PREVIOUS" w:val="&lt;UNUSED&gt;"/>
    <w:docVar w:name="LW_TYPE.DOC.CP" w:val="DRAFT AMENDING BUDGET N° 2_x000b_TO THE GENERAL BUDGET 2016"/>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semiHidden/>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semiHidden/>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budget/www/index-en.ht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0FCE-3387-40F3-9922-0DEA750D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620</Words>
  <Characters>3248</Characters>
  <Application>Microsoft Office Word</Application>
  <DocSecurity>0</DocSecurity>
  <Lines>120</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3779</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2016-04-01T12:50:00Z</cp:lastPrinted>
  <dcterms:created xsi:type="dcterms:W3CDTF">2016-04-13T10:09:00Z</dcterms:created>
  <dcterms:modified xsi:type="dcterms:W3CDTF">2016-04-14T08:07:00Z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